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center"/>
        <w:rPr>
          <w:rFonts w:ascii="方正小标宋简体" w:eastAsia="方正小标宋简体" w:hAnsiTheme="minorEastAsia" w:cstheme="minorBidi"/>
          <w:b w:val="0"/>
          <w:color w:val="000000" w:themeColor="text1"/>
          <w14:textFill>
            <w14:solidFill>
              <w14:schemeClr w14:val="tx1"/>
            </w14:solidFill>
          </w14:textFill>
        </w:rPr>
      </w:pPr>
      <w:bookmarkStart w:id="0" w:name="_Toc440532465"/>
      <w:r>
        <w:rPr>
          <w:rFonts w:hint="eastAsia" w:ascii="方正小标宋简体" w:eastAsia="方正小标宋简体" w:hAnsiTheme="minorEastAsia"/>
          <w:b w:val="0"/>
          <w:color w:val="000000" w:themeColor="text1"/>
          <w14:textFill>
            <w14:solidFill>
              <w14:schemeClr w14:val="tx1"/>
            </w14:solidFill>
          </w14:textFill>
        </w:rPr>
        <w:t>聊城市公共资源交易中心</w:t>
      </w:r>
    </w:p>
    <w:p>
      <w:pPr>
        <w:pStyle w:val="2"/>
        <w:spacing w:before="0" w:after="0" w:line="600" w:lineRule="exact"/>
        <w:jc w:val="center"/>
        <w:rPr>
          <w:rFonts w:ascii="方正小标宋简体" w:eastAsia="方正小标宋简体" w:hAnsiTheme="minorEastAsia"/>
          <w:b w:val="0"/>
          <w:color w:val="000000" w:themeColor="text1"/>
          <w14:textFill>
            <w14:solidFill>
              <w14:schemeClr w14:val="tx1"/>
            </w14:solidFill>
          </w14:textFill>
        </w:rPr>
      </w:pPr>
      <w:r>
        <w:rPr>
          <w:rFonts w:hint="eastAsia" w:ascii="方正小标宋简体" w:eastAsia="方正小标宋简体" w:hAnsiTheme="minorEastAsia"/>
          <w:b w:val="0"/>
          <w:color w:val="000000" w:themeColor="text1"/>
          <w14:textFill>
            <w14:solidFill>
              <w14:schemeClr w14:val="tx1"/>
            </w14:solidFill>
          </w14:textFill>
        </w:rPr>
        <w:t>交易保证金管理办法</w:t>
      </w:r>
      <w:bookmarkEnd w:id="0"/>
    </w:p>
    <w:p>
      <w:pPr>
        <w:rPr>
          <w:rFonts w:ascii="Tahoma" w:hAnsi="Tahoma" w:eastAsia="微软雅黑"/>
        </w:rPr>
      </w:pP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第一条</w:t>
      </w:r>
      <w:r>
        <w:rPr>
          <w:rFonts w:hint="eastAsia" w:ascii="仿宋" w:hAnsi="仿宋" w:eastAsia="仿宋" w:cs="仿宋"/>
          <w:color w:val="000000" w:themeColor="text1"/>
          <w:sz w:val="32"/>
          <w:szCs w:val="32"/>
          <w14:textFill>
            <w14:solidFill>
              <w14:schemeClr w14:val="tx1"/>
            </w14:solidFill>
          </w14:textFill>
        </w:rPr>
        <w:t xml:space="preserve">  为规范交易保证金的管理，防范交易风险，确保保证金的安全缴纳和及时退付，维护招投标各方的合法权益，依据《中华人民共和国招标投标法》、《中华人民共和国招标投标法实施条例》、《中华人民共和国政府采购法》、《中华人民共和国政府采购法实施条例》、《中华人民共和国土地管理法》以及《山东省公共资源交易平台管理暂行办法》等相关法律法规的规定，结合工作实际，制定本办法。</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14:textFill>
            <w14:solidFill>
              <w14:schemeClr w14:val="tx1"/>
            </w14:solidFill>
          </w14:textFill>
        </w:rPr>
        <w:t xml:space="preserve">  本办法适用于在市公共资源交易中心（以下简称“中心”）的建设工程、土地及矿产交易、医疗器械采购、其他采购、交通水利农田项目投标（交易）保证金（以下简称“保证金”）的管理。</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14:textFill>
            <w14:solidFill>
              <w14:schemeClr w14:val="tx1"/>
            </w14:solidFill>
          </w14:textFill>
        </w:rPr>
        <w:t xml:space="preserve">  保证金的管理应遵循合法、规范、安全、高效的原则。</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第四条</w:t>
      </w:r>
      <w:r>
        <w:rPr>
          <w:rFonts w:hint="eastAsia" w:ascii="仿宋" w:hAnsi="仿宋" w:eastAsia="仿宋" w:cs="仿宋"/>
          <w:color w:val="000000" w:themeColor="text1"/>
          <w:sz w:val="32"/>
          <w:szCs w:val="32"/>
          <w14:textFill>
            <w14:solidFill>
              <w14:schemeClr w14:val="tx1"/>
            </w14:solidFill>
          </w14:textFill>
        </w:rPr>
        <w:t xml:space="preserve">  中心各科室、招标代理机构以及银行等合作方应按其职责做好保证金管理的相关工作。具体职责如下：</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（一）业务科室的职责</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1.开标前，出具保证金到账明细；</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2.保证金系统自动退款一级审核；</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3.保证金线下退款申请的一级审核；</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4.依据法律法规规定，结合行业监督管理部门和招标人的处置意见，办理违规投标人保证金事宜。</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（二）综合科的职责</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1.负责保证金的账务处理，核对账户信息，每月按时与银行对账；</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2.辅助查询已开标项目的保证金到账情况；</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3.根据业务科室和领导审核意见，办理保证金线下退款业务；</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4.根据相关部门处理意见，办理违规投标人保证金划转或上缴国库业务；</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5.负责保证金账户利息收入和利息支出的核算、保证金利息结余上缴国库等工作；</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6.办理其他情形的保证金线下转出业务。</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（三）信息科的职责</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1.提供技术支持和保障，负责电子交易系统与银行系统的对接，保持子账号系统稳定运行，确保保证金的正常缴纳和退付；</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2.保证金退款失败时，与软件开发公司、合作银行共同查明原因，对系统潜在风险进行评估，并对系统进行维护、升级和完善，确保保证金收退安全；</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3.对招标代理机构、投标人进行保证金业务培训。</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（四）招标代理机构的职责</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1.在招标文件中明确保证金缴纳事宜，包括账户信息、</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缴纳方式、缴纳金额、到账时限等内容；</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2.将中心业务科室提供的保证金到账明细，收集到招标汇总资料当中，予以备查；</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3.配合保证金的管理要求，做好特殊情形的保证金退付工作。</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（五)合作银行的职责</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1.配备技术力量，积极做好银行系统与中心电子交易系统的对接工作，确保保证金顺利缴纳和退付；</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2.对于保证金退款失败的情形，与中心信息科共同查明原因，与中心协商制定应急预案，妥善处理保证金退付业务。</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第五条</w:t>
      </w:r>
      <w:r>
        <w:rPr>
          <w:rFonts w:hint="eastAsia" w:ascii="仿宋" w:hAnsi="仿宋" w:eastAsia="仿宋" w:cs="仿宋"/>
          <w:color w:val="000000" w:themeColor="text1"/>
          <w:sz w:val="32"/>
          <w:szCs w:val="32"/>
          <w14:textFill>
            <w14:solidFill>
              <w14:schemeClr w14:val="tx1"/>
            </w14:solidFill>
          </w14:textFill>
        </w:rPr>
        <w:t xml:space="preserve">  中心设立保证金专用账户，具体负责保证金的代收、代退、保管和保密等工作。招标人、招标代理机构及其他单位和个人不得以任何名义收取进入中心交易的各类项目的保证金。</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第六条</w:t>
      </w:r>
      <w:r>
        <w:rPr>
          <w:rFonts w:hint="eastAsia" w:ascii="仿宋" w:hAnsi="仿宋" w:eastAsia="仿宋" w:cs="仿宋"/>
          <w:color w:val="000000" w:themeColor="text1"/>
          <w:sz w:val="32"/>
          <w:szCs w:val="32"/>
          <w14:textFill>
            <w14:solidFill>
              <w14:schemeClr w14:val="tx1"/>
            </w14:solidFill>
          </w14:textFill>
        </w:rPr>
        <w:t xml:space="preserve">  招标文件中应当明确规定保证金的缴纳方式、缴纳金额、到账截止时间和违约责任等内容。</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第七条</w:t>
      </w:r>
      <w:r>
        <w:rPr>
          <w:rFonts w:hint="eastAsia" w:ascii="仿宋" w:hAnsi="仿宋" w:eastAsia="仿宋" w:cs="仿宋"/>
          <w:color w:val="000000" w:themeColor="text1"/>
          <w:sz w:val="32"/>
          <w:szCs w:val="32"/>
          <w14:textFill>
            <w14:solidFill>
              <w14:schemeClr w14:val="tx1"/>
            </w14:solidFill>
          </w14:textFill>
        </w:rPr>
        <w:t xml:space="preserve">  保证金独立核算，专款专用，不得挪作他用</w:t>
      </w:r>
      <w:r>
        <w:rPr>
          <w:rFonts w:hint="eastAsia" w:eastAsia="仿宋_GB2312" w:cs="仿宋_GB2312"/>
          <w:color w:val="000000" w:themeColor="text1"/>
          <w:sz w:val="32"/>
          <w:szCs w:val="32"/>
          <w14:textFill>
            <w14:solidFill>
              <w14:schemeClr w14:val="tx1"/>
            </w14:solidFill>
          </w14:textFill>
        </w:rPr>
        <w:t>或者改变其用途</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第八条</w:t>
      </w:r>
      <w:r>
        <w:rPr>
          <w:rFonts w:hint="eastAsia" w:ascii="仿宋" w:hAnsi="仿宋" w:eastAsia="仿宋" w:cs="仿宋"/>
          <w:color w:val="000000" w:themeColor="text1"/>
          <w:sz w:val="32"/>
          <w:szCs w:val="32"/>
          <w14:textFill>
            <w14:solidFill>
              <w14:schemeClr w14:val="tx1"/>
            </w14:solidFill>
          </w14:textFill>
        </w:rPr>
        <w:t xml:space="preserve">  投标人必须以自身的名义一次或多次缴纳保证金，不得以分支机构等其他名义缴纳。保证金必须按照有关法律法规及招标文件的规定进行缴纳。</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第九条</w:t>
      </w:r>
      <w:r>
        <w:rPr>
          <w:rFonts w:hint="eastAsia" w:ascii="仿宋" w:hAnsi="仿宋" w:eastAsia="仿宋" w:cs="仿宋"/>
          <w:color w:val="000000" w:themeColor="text1"/>
          <w:sz w:val="32"/>
          <w:szCs w:val="32"/>
          <w14:textFill>
            <w14:solidFill>
              <w14:schemeClr w14:val="tx1"/>
            </w14:solidFill>
          </w14:textFill>
        </w:rPr>
        <w:t xml:space="preserve">  保证金的缴纳方式为银行电汇、银行转账支</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票、银行网银支付、纸质保函以及电子保函等。投标人以其他方式缴纳保证金，或因主观因素保证金无法正常到账，导致投标无效和保证金不能正常退付，责任自负。</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以保函形式缴纳保证金，按照其相关规定执行。</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国家对保证金的缴纳方式另有规定的，按相关规定执行。</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第十条</w:t>
      </w:r>
      <w:r>
        <w:rPr>
          <w:rFonts w:hint="eastAsia" w:ascii="仿宋" w:hAnsi="仿宋" w:eastAsia="仿宋" w:cs="仿宋"/>
          <w:bCs/>
          <w:color w:val="000000" w:themeColor="text1"/>
          <w:sz w:val="32"/>
          <w:szCs w:val="32"/>
          <w14:textFill>
            <w14:solidFill>
              <w14:schemeClr w14:val="tx1"/>
            </w14:solidFill>
          </w14:textFill>
        </w:rPr>
        <w:t xml:space="preserve">  投标人应通过向报名项目随机生成的唯一虚拟子账号汇入足额保证金，</w:t>
      </w:r>
      <w:r>
        <w:rPr>
          <w:rFonts w:hint="eastAsia" w:ascii="仿宋" w:hAnsi="仿宋" w:eastAsia="仿宋" w:cs="仿宋"/>
          <w:color w:val="000000" w:themeColor="text1"/>
          <w:sz w:val="32"/>
          <w:szCs w:val="32"/>
          <w14:textFill>
            <w14:solidFill>
              <w14:schemeClr w14:val="tx1"/>
            </w14:solidFill>
          </w14:textFill>
        </w:rPr>
        <w:t xml:space="preserve">并以资金足额到账时间为准。 </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第十一条</w:t>
      </w:r>
      <w:r>
        <w:rPr>
          <w:rFonts w:hint="eastAsia" w:ascii="仿宋" w:hAnsi="仿宋" w:eastAsia="仿宋" w:cs="仿宋"/>
          <w:color w:val="000000" w:themeColor="text1"/>
          <w:sz w:val="32"/>
          <w:szCs w:val="32"/>
          <w14:textFill>
            <w14:solidFill>
              <w14:schemeClr w14:val="tx1"/>
            </w14:solidFill>
          </w14:textFill>
        </w:rPr>
        <w:t xml:space="preserve">  联合体投标的，应当以联合体中牵头人的名义缴纳保证金（土地竞买人联合申请的，双方可按约定比例分别缴纳保证金，确保足额缴纳即可）。保证金缴纳的规定及要求，对联合体各成员均具有约束力。</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第十二条</w:t>
      </w:r>
      <w:r>
        <w:rPr>
          <w:rFonts w:hint="eastAsia" w:ascii="仿宋" w:hAnsi="仿宋" w:eastAsia="仿宋" w:cs="仿宋"/>
          <w:color w:val="000000" w:themeColor="text1"/>
          <w:sz w:val="32"/>
          <w:szCs w:val="32"/>
          <w14:textFill>
            <w14:solidFill>
              <w14:schemeClr w14:val="tx1"/>
            </w14:solidFill>
          </w14:textFill>
        </w:rPr>
        <w:t xml:space="preserve">  保证金以外币缴纳的，应按缴纳当日中国外汇交易中心授权公布的人民币汇率中间价进行折算或按照相应招标（交易）文件规定执行。</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第十三条</w:t>
      </w:r>
      <w:r>
        <w:rPr>
          <w:rFonts w:hint="eastAsia" w:ascii="仿宋" w:hAnsi="仿宋" w:eastAsia="仿宋" w:cs="仿宋"/>
          <w:color w:val="000000" w:themeColor="text1"/>
          <w:sz w:val="32"/>
          <w:szCs w:val="32"/>
          <w14:textFill>
            <w14:solidFill>
              <w14:schemeClr w14:val="tx1"/>
            </w14:solidFill>
          </w14:textFill>
        </w:rPr>
        <w:t xml:space="preserve">  开标前，中心业务科室查询并打印保证金到账明细。在确认无误后，业务科室对该明细加盖业务专用章，作为保证金到账证明。未加盖业务专用章的保证金到账明细，不作为评审依据。（土地交易类除外）</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第十四条</w:t>
      </w:r>
      <w:r>
        <w:rPr>
          <w:rFonts w:hint="eastAsia" w:ascii="仿宋" w:hAnsi="仿宋" w:eastAsia="仿宋" w:cs="仿宋"/>
          <w:color w:val="000000" w:themeColor="text1"/>
          <w:sz w:val="32"/>
          <w:szCs w:val="32"/>
          <w14:textFill>
            <w14:solidFill>
              <w14:schemeClr w14:val="tx1"/>
            </w14:solidFill>
          </w14:textFill>
        </w:rPr>
        <w:t xml:space="preserve">  凡出现保证金未及时到账或者未足额到账等与招标文件要求不一致的情况，按照招标文件规定处理。</w:t>
      </w:r>
    </w:p>
    <w:p>
      <w:pPr>
        <w:spacing w:line="600" w:lineRule="exact"/>
        <w:ind w:firstLine="643"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第十五条</w:t>
      </w:r>
      <w:r>
        <w:rPr>
          <w:rFonts w:hint="eastAsia" w:ascii="仿宋" w:hAnsi="仿宋" w:eastAsia="仿宋" w:cs="仿宋"/>
          <w:bCs/>
          <w:color w:val="000000" w:themeColor="text1"/>
          <w:sz w:val="32"/>
          <w:szCs w:val="32"/>
          <w14:textFill>
            <w14:solidFill>
              <w14:schemeClr w14:val="tx1"/>
            </w14:solidFill>
          </w14:textFill>
        </w:rPr>
        <w:t xml:space="preserve">  保证金缴纳的具体情况在开标前半个小时方可查询（土地保证金的缴纳情况在成交确认后方可查询），在此时间之前，任何单位不能通过任何方式查询保证金到账情况。</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第十六条</w:t>
      </w:r>
      <w:r>
        <w:rPr>
          <w:rFonts w:hint="eastAsia" w:ascii="仿宋" w:hAnsi="仿宋" w:eastAsia="仿宋" w:cs="仿宋"/>
          <w:color w:val="000000" w:themeColor="text1"/>
          <w:sz w:val="32"/>
          <w:szCs w:val="32"/>
          <w14:textFill>
            <w14:solidFill>
              <w14:schemeClr w14:val="tx1"/>
            </w14:solidFill>
          </w14:textFill>
        </w:rPr>
        <w:t xml:space="preserve">  投标人通过中心网站“招标与采购项目保证金缴纳及收退公开”模块查询已开标项目保证金缴纳与退付情况。</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第十七条</w:t>
      </w:r>
      <w:r>
        <w:rPr>
          <w:rFonts w:hint="eastAsia" w:ascii="仿宋" w:hAnsi="仿宋" w:eastAsia="仿宋" w:cs="仿宋"/>
          <w:color w:val="000000" w:themeColor="text1"/>
          <w:sz w:val="32"/>
          <w:szCs w:val="32"/>
          <w14:textFill>
            <w14:solidFill>
              <w14:schemeClr w14:val="tx1"/>
            </w14:solidFill>
          </w14:textFill>
        </w:rPr>
        <w:t xml:space="preserve">  相关行业监督管理部门、监察部门、审计部门等部门根据工作需要查询保证金的，中心应当协助配合。</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第十八条</w:t>
      </w:r>
      <w:r>
        <w:rPr>
          <w:rFonts w:hint="eastAsia" w:ascii="仿宋" w:hAnsi="仿宋" w:eastAsia="仿宋" w:cs="仿宋"/>
          <w:color w:val="000000" w:themeColor="text1"/>
          <w:sz w:val="32"/>
          <w:szCs w:val="32"/>
          <w14:textFill>
            <w14:solidFill>
              <w14:schemeClr w14:val="tx1"/>
            </w14:solidFill>
          </w14:textFill>
        </w:rPr>
        <w:t xml:space="preserve">  中心对建设工程、医疗器械采购、其他采购、交通水利农田项目的投标保证金计息退付，利息按照银行同期活期存款利率进行计算。</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保证金本息以转账方式退至保证金的原缴纳账户。如果投标人基本账户被冻结，投标人提供了合法合规证明材料的，可以向我中心申请延期退付保证金，也可以申请退至其一般账户，由此产生的后果投标人自负。</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第十九条</w:t>
      </w:r>
      <w:r>
        <w:rPr>
          <w:rFonts w:hint="eastAsia" w:ascii="仿宋" w:hAnsi="仿宋" w:eastAsia="仿宋" w:cs="仿宋"/>
          <w:color w:val="000000" w:themeColor="text1"/>
          <w:sz w:val="32"/>
          <w:szCs w:val="32"/>
          <w14:textFill>
            <w14:solidFill>
              <w14:schemeClr w14:val="tx1"/>
            </w14:solidFill>
          </w14:textFill>
        </w:rPr>
        <w:t xml:space="preserve">  保证金退付的一般情形</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中心的电子交易系统实现了保证金自动退款的功能，具体如下：</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（一）建设工程保证金的处理</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非中标候选人的保证金退付。发布中标候选人公示（公示期为3个工作日），期满后5日内，招标代理机构未提交非中标候选人保证金退款申请，电子交易系统在第6天向业务科室推送退款提示，经业务科室确认后，系统自动退还其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第二位、第三位中标候选人的保证金退付。发布中标通知书后，招标代理机构5日内未提交第二位、第三位中标候选人保证金申请，电子交易系统在第6天向业务科室推送退款提示，经业务科室确认后，系统自动退还其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第一位中标候选人的保证金退付。发布中标通知书后，招标代理机构35日内未提交第一位中标候选人保证金退款申请，电子交易系统在第36天向业务科室推送退款提示，经业务科室确认后，系统自动退还其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4.流标项目的保证金退付。项目异常审核通过后，招标代理机构5日内未提交所有投标人保证金退款申请，电子交易系统在第6天向业务科室推送退款提示，经业务科室确认后，系统自动退还其保证金。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（二）医疗器械采购、其他采购、交通水利农田项目保证金的处理</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1.未中标人的保证金退付。发布中标公告之后，招标代理机构5日内未提交未中标人保证金退款申请，电子交易系统在第6天向业务科室推送退款提示，经业务科室确认后，系统自动退还其保证金。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2.中标人的保证金退付。发布合同公示之后，若招标代理机构5日内未提交中标人保证金退款申请，电子交易系统在第6天向业务科室推送退款提示，经业务科室确认后，系统自动退还其保证金。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3.流标项目的保证金退付。发布废标公告之后，招标代</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理机构5日内未提交所有投标人保证金退款申请，电子交易系统在第6天向业务科室推送退款提示，经业务科室确认后，系统自动退还其保证金。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（三）土地交易保证金的处理</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1.未竞得人的保证金退付。确定成交（或流拍）之后，未竞得人在电子交易系统内向业务科室提交保证金线上退款申请，业务科室在网上交易活动结束后即时办理未竞得人的保证金线上退付手续。</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竞得人的保证金转出。发布《成交公示》五日之后，竞得人向业务科室提交《成交确认书》及《缴交出让金登记单》后，业务科室向综合科提交《土地出让金登记单》（附件1），将保证金转出至国库，并及时登记《土地保证金线下划转登记簿》（附件2）。</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3.未成交地块的保证金退付。由竞买人在电子交易系统内向业务科室提交保证金线上退款申请，业务科室在确定土地流拍后即时办理未竞得人的保证金线上退付手续。</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第二十条</w:t>
      </w:r>
      <w:r>
        <w:rPr>
          <w:rFonts w:hint="eastAsia" w:ascii="仿宋" w:hAnsi="仿宋" w:eastAsia="仿宋" w:cs="仿宋"/>
          <w:color w:val="000000" w:themeColor="text1"/>
          <w:sz w:val="32"/>
          <w:szCs w:val="32"/>
          <w14:textFill>
            <w14:solidFill>
              <w14:schemeClr w14:val="tx1"/>
            </w14:solidFill>
          </w14:textFill>
        </w:rPr>
        <w:t xml:space="preserve">  保证金退付的特殊情形</w:t>
      </w:r>
    </w:p>
    <w:p>
      <w:pPr>
        <w:widowControl/>
        <w:numPr>
          <w:ilvl w:val="0"/>
          <w:numId w:val="1"/>
        </w:numPr>
        <w:adjustRightInd w:val="0"/>
        <w:snapToGrid w:val="0"/>
        <w:spacing w:line="60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人在交易期间违反有关法律法规及招标文件规定或经巡场、清标过程中发现存在不当行为的，待行业监督管理部门、招标人明确保证金处理意见后，中心作出相应处理；监督管理部门、招标人没有出具明确保证金处理意见，经中心再次发函催促，15日内仍未出具明确意见的，</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中心将按正常保证金退还程序予以退付。</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二）招标人因特殊情况不能正常开标的或不能按时办理中标通知书备案的，经行业监督管理部门备案后，书面通知中心退付或延期保证金，中心在收到书面通知之后的3个工作日内办理保证金的退付或延期手续。</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（三）由于电子交易系统异常导致保证金批量退款失败的处理。</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1.在法定退款时间内，首先由业务科室重新补退；</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2.若业务科室无法从电子交易系统重新补退，中心按以下程序委托合作银行办理保证金批量退款手续：</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（1）业务科室根据电子交易系统显示的交易信息填写《委托银行批量退款明细表》（附件3，加盖业务章）；</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（2）财务人员核查保证金来往账记录，并加盖财务章；</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（3）合作银行根据《委托银行批量退款明细表》做批量退款业务，并向中心提供批量退款成功清单。</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由于投标人主观原因导致保证金退款失败的处理投标人因自身疏忽导致保证金汇款至错误的虚拟子账号、保证金重复汇款至同一虚拟子账号、开标之后保证金到账、投标人投标之后变更名称、变更账户、销户等情形，按照以下程序退付保证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1.投标人提出退款申请。申请材料如下：</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（1）保证金退款业务授权委托书（附件4，加盖公</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章、法人章）、经办人身份证原件及复印件；</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（2）保证金退款申请（加盖公章），注明项目名称、保</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证金金额、退款失败原因；</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（3）投标人保证金汇款证明（加盖公章）；</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（4）保证金线下退款审批单（附件5）。</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2.业务科室审核。业务科室工作人员在电子交易系统中查找并注明保证金情况，科室负责人签字并加盖业务章。</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3.财务退款。财务人员核查并打印保证金进账记录，查询是否有退款记录。对于没有退款记录的，根据《保证金线下退款审批单》办理退款手续,打印退款记录，并及时登记《保证金线下退款登记簿》（附件6）。</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4.保证金退款金额审批权限</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（1）保证金退款金额单笔10万元以下，由业务科室负责人签批；</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（2）保证金退款金额单笔10万元以上（含10万元）、50万元以下，由分管主任签批；</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（3）保证金退款金额单笔50万元以上（含50万</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元），由主任签批。</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第二十一条</w:t>
      </w:r>
      <w:r>
        <w:rPr>
          <w:rFonts w:hint="eastAsia" w:ascii="仿宋" w:hAnsi="仿宋" w:eastAsia="仿宋" w:cs="仿宋"/>
          <w:color w:val="000000" w:themeColor="text1"/>
          <w:sz w:val="32"/>
          <w:szCs w:val="32"/>
          <w14:textFill>
            <w14:solidFill>
              <w14:schemeClr w14:val="tx1"/>
            </w14:solidFill>
          </w14:textFill>
        </w:rPr>
        <w:t xml:space="preserve">  中心对保证金账户进行审计，实行结余利息定期核算、定期上缴。保证金外币账户按照银行挂牌公告的外币活期存款利率计息。每年年末，中心对保证金外币利息结汇至保证金人民币账户，计入保证金的利息收入。</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每年第一季度，中心聘请会计师事务所对上年度保证金</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进行财务审计，出具审计报告。第二季度，中心根据审计报</w:t>
      </w:r>
    </w:p>
    <w:p>
      <w:pPr>
        <w:spacing w:line="6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告，将结余利息上缴国库。</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第二十二条</w:t>
      </w:r>
      <w:r>
        <w:rPr>
          <w:rFonts w:hint="eastAsia" w:ascii="仿宋" w:hAnsi="仿宋" w:eastAsia="仿宋" w:cs="仿宋"/>
          <w:color w:val="000000" w:themeColor="text1"/>
          <w:sz w:val="32"/>
          <w:szCs w:val="32"/>
          <w14:textFill>
            <w14:solidFill>
              <w14:schemeClr w14:val="tx1"/>
            </w14:solidFill>
          </w14:textFill>
        </w:rPr>
        <w:t xml:space="preserve">  中心负责保证金的保密工作管理，所有涉密科室和工作人员应严格遵守保证金的保密规定。</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第二十三条</w:t>
      </w:r>
      <w:r>
        <w:rPr>
          <w:rFonts w:hint="eastAsia" w:ascii="仿宋" w:hAnsi="仿宋" w:eastAsia="仿宋" w:cs="仿宋"/>
          <w:color w:val="000000" w:themeColor="text1"/>
          <w:sz w:val="32"/>
          <w:szCs w:val="32"/>
          <w14:textFill>
            <w14:solidFill>
              <w14:schemeClr w14:val="tx1"/>
            </w14:solidFill>
          </w14:textFill>
        </w:rPr>
        <w:t xml:space="preserve">  中心与合作银行签订《保密协议》。合作银行应该向中心提供满足保密要求的保证金对接系统，按要求提供招标项目（标段）保证金到账明细。</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第二十四条</w:t>
      </w:r>
      <w:r>
        <w:rPr>
          <w:rFonts w:hint="eastAsia" w:ascii="仿宋" w:hAnsi="仿宋" w:eastAsia="仿宋" w:cs="仿宋"/>
          <w:color w:val="000000" w:themeColor="text1"/>
          <w:sz w:val="32"/>
          <w:szCs w:val="32"/>
          <w14:textFill>
            <w14:solidFill>
              <w14:schemeClr w14:val="tx1"/>
            </w14:solidFill>
          </w14:textFill>
        </w:rPr>
        <w:t xml:space="preserve">  中心对相关操作维护人员在上岗前进行严格的职业道德培训和保密培训，签订《保密承诺书》，明确相关涉及保证金工作的重要性和敏感性，规范日常维护管理工作流程，防止保证金信息泄漏。</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第二十五条</w:t>
      </w:r>
      <w:r>
        <w:rPr>
          <w:rFonts w:hint="eastAsia" w:ascii="仿宋" w:hAnsi="仿宋" w:eastAsia="仿宋" w:cs="仿宋"/>
          <w:color w:val="000000" w:themeColor="text1"/>
          <w:sz w:val="32"/>
          <w:szCs w:val="32"/>
          <w14:textFill>
            <w14:solidFill>
              <w14:schemeClr w14:val="tx1"/>
            </w14:solidFill>
          </w14:textFill>
        </w:rPr>
        <w:t xml:space="preserve">  从事保证金管理的财务和各科室工作人员在履行保证金管理职责中玩忽职守、滥用职权、违反规定泄漏信息的，依法给予行政纪律处分；构成犯罪的，依法追究刑事责任。</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第二十六条 </w:t>
      </w:r>
      <w:r>
        <w:rPr>
          <w:rFonts w:hint="eastAsia" w:ascii="仿宋" w:hAnsi="仿宋" w:eastAsia="仿宋" w:cs="仿宋"/>
          <w:color w:val="000000" w:themeColor="text1"/>
          <w:sz w:val="32"/>
          <w:szCs w:val="32"/>
          <w14:textFill>
            <w14:solidFill>
              <w14:schemeClr w14:val="tx1"/>
            </w14:solidFill>
          </w14:textFill>
        </w:rPr>
        <w:t xml:space="preserve"> 相关法律法规或行业监督管理部门对各类交易保证金有新的规定和要求的，按新的规定和要求执行。</w:t>
      </w:r>
    </w:p>
    <w:p>
      <w:pPr>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第二十七条</w:t>
      </w:r>
      <w:r>
        <w:rPr>
          <w:rFonts w:hint="eastAsia" w:ascii="仿宋" w:hAnsi="仿宋" w:eastAsia="仿宋" w:cs="仿宋"/>
          <w:color w:val="000000" w:themeColor="text1"/>
          <w:sz w:val="32"/>
          <w:szCs w:val="32"/>
          <w14:textFill>
            <w14:solidFill>
              <w14:schemeClr w14:val="tx1"/>
            </w14:solidFill>
          </w14:textFill>
        </w:rPr>
        <w:t xml:space="preserve">  本办法自发布之日起施行。</w:t>
      </w: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附件：1.土地出让金登记单</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2.土地保证金线下划转登记簿</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3.委托银行批量退款明细表</w:t>
      </w:r>
    </w:p>
    <w:p>
      <w:pPr>
        <w:pStyle w:val="28"/>
        <w:spacing w:after="0" w:line="600" w:lineRule="exact"/>
        <w:ind w:firstLine="1600" w:firstLineChars="5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4.保证金退款业务授权委托书</w:t>
      </w:r>
    </w:p>
    <w:p>
      <w:pPr>
        <w:pStyle w:val="28"/>
        <w:spacing w:after="0" w:line="600" w:lineRule="exact"/>
        <w:ind w:firstLine="1600" w:firstLineChars="5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5.保证金线下退款审批单</w:t>
      </w:r>
    </w:p>
    <w:p>
      <w:pPr>
        <w:spacing w:line="600" w:lineRule="exact"/>
        <w:ind w:firstLine="1600" w:firstLineChars="5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6.保证金线下退款登记簿</w:t>
      </w:r>
    </w:p>
    <w:p>
      <w:pPr>
        <w:spacing w:line="600" w:lineRule="exact"/>
        <w:ind w:right="640" w:firstLine="640" w:firstLineChars="200"/>
        <w:jc w:val="right"/>
        <w:rPr>
          <w:rFonts w:ascii="仿宋" w:hAnsi="仿宋" w:eastAsia="仿宋"/>
          <w:color w:val="000000" w:themeColor="text1"/>
          <w:sz w:val="32"/>
          <w:szCs w:val="32"/>
          <w14:textFill>
            <w14:solidFill>
              <w14:schemeClr w14:val="tx1"/>
            </w14:solidFill>
          </w14:textFill>
        </w:rPr>
      </w:pPr>
    </w:p>
    <w:p>
      <w:pPr>
        <w:spacing w:line="600" w:lineRule="exact"/>
        <w:ind w:right="640" w:firstLine="640" w:firstLineChars="20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聊城市公共资源交易中心</w:t>
      </w:r>
    </w:p>
    <w:p>
      <w:pPr>
        <w:spacing w:line="600" w:lineRule="exact"/>
        <w:ind w:firstLine="4800" w:firstLineChars="15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2020年9月16日</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line="560" w:lineRule="exact"/>
        <w:jc w:val="center"/>
        <w:rPr>
          <w:rFonts w:ascii="仿宋" w:hAnsi="仿宋" w:eastAsia="仿宋"/>
          <w:bCs/>
          <w:color w:val="000000" w:themeColor="text1"/>
          <w:sz w:val="44"/>
          <w:szCs w:val="44"/>
          <w14:textFill>
            <w14:solidFill>
              <w14:schemeClr w14:val="tx1"/>
            </w14:solidFill>
          </w14:textFill>
        </w:rPr>
      </w:pPr>
      <w:r>
        <w:rPr>
          <w:rFonts w:hint="eastAsia" w:ascii="黑体" w:hAnsi="黑体" w:eastAsia="黑体"/>
          <w:bCs/>
          <w:color w:val="000000" w:themeColor="text1"/>
          <w:sz w:val="44"/>
          <w:szCs w:val="44"/>
          <w14:textFill>
            <w14:solidFill>
              <w14:schemeClr w14:val="tx1"/>
            </w14:solidFill>
          </w14:textFill>
        </w:rPr>
        <w:t>土地出让金登记单</w:t>
      </w:r>
    </w:p>
    <w:p>
      <w:pPr>
        <w:spacing w:line="560" w:lineRule="exact"/>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中心综合科：</w:t>
      </w:r>
    </w:p>
    <w:p>
      <w:pPr>
        <w:spacing w:line="560" w:lineRule="exact"/>
        <w:ind w:firstLine="640" w:firstLineChars="200"/>
        <w:rPr>
          <w:rFonts w:ascii="仿宋" w:hAnsi="仿宋" w:eastAsia="仿宋"/>
          <w:color w:val="000000" w:themeColor="text1"/>
          <w:sz w:val="32"/>
          <w:szCs w:val="28"/>
          <w:u w:val="single"/>
          <w14:textFill>
            <w14:solidFill>
              <w14:schemeClr w14:val="tx1"/>
            </w14:solidFill>
          </w14:textFill>
        </w:rPr>
      </w:pP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（公司、自然人），已按照《聊城市国有建设用地使用权、矿业权网上交易规则》、竞买须知等法律法规规定，于</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年</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月</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日</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时</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分，在聊城市公共资源交易中心土地交易系统竞得编号为</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公告号为</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的地块。经国土资源主管部门审核，最终以</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竞得该地块,其保证金</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已转入我单位土地保证金账户，请予办理转出手续。</w:t>
      </w:r>
    </w:p>
    <w:p>
      <w:pPr>
        <w:spacing w:line="560" w:lineRule="exact"/>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 xml:space="preserve">                                土地及矿产交易科</w:t>
      </w:r>
    </w:p>
    <w:p>
      <w:pPr>
        <w:spacing w:line="560" w:lineRule="exact"/>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 xml:space="preserve">                                  年   月    日</w:t>
      </w:r>
    </w:p>
    <w:p>
      <w:pPr>
        <w:spacing w:line="560" w:lineRule="exact"/>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w:t>
      </w:r>
    </w:p>
    <w:p>
      <w:pPr>
        <w:spacing w:line="560" w:lineRule="exact"/>
        <w:jc w:val="center"/>
        <w:rPr>
          <w:rFonts w:ascii="黑体" w:hAnsi="黑体" w:eastAsia="黑体"/>
          <w:bCs/>
          <w:color w:val="000000" w:themeColor="text1"/>
          <w:sz w:val="44"/>
          <w:szCs w:val="44"/>
          <w14:textFill>
            <w14:solidFill>
              <w14:schemeClr w14:val="tx1"/>
            </w14:solidFill>
          </w14:textFill>
        </w:rPr>
      </w:pPr>
      <w:r>
        <w:rPr>
          <w:rFonts w:hint="eastAsia" w:ascii="黑体" w:hAnsi="黑体" w:eastAsia="黑体"/>
          <w:bCs/>
          <w:color w:val="000000" w:themeColor="text1"/>
          <w:sz w:val="44"/>
          <w:szCs w:val="44"/>
          <w14:textFill>
            <w14:solidFill>
              <w14:schemeClr w14:val="tx1"/>
            </w14:solidFill>
          </w14:textFill>
        </w:rPr>
        <w:t>土地出让金登记单</w:t>
      </w:r>
    </w:p>
    <w:p>
      <w:pPr>
        <w:spacing w:line="560" w:lineRule="exact"/>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土地及矿产交易科：</w:t>
      </w:r>
    </w:p>
    <w:p>
      <w:pPr>
        <w:spacing w:line="560" w:lineRule="exact"/>
        <w:ind w:firstLine="800" w:firstLineChars="250"/>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（公司、自然人），已按照《聊城市国有建设用地使用权、矿业权网上交易规则》、竞买须知等法律法规规定，于</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年</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月</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日</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时</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分，在聊城市公共资源交易中心土地交易系统竞得编号为</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公告号为</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的地块。经国土资源主管部门审核，最终以</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竞得该地块,其保证金</w:t>
      </w:r>
      <w:r>
        <w:rPr>
          <w:rFonts w:hint="eastAsia" w:ascii="仿宋" w:hAnsi="仿宋" w:eastAsia="仿宋"/>
          <w:color w:val="000000" w:themeColor="text1"/>
          <w:sz w:val="32"/>
          <w:szCs w:val="28"/>
          <w:u w:val="singl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已转入财</w:t>
      </w:r>
      <w:r>
        <w:rPr>
          <w:rFonts w:hint="eastAsia" w:ascii="仿宋" w:hAnsi="仿宋" w:eastAsia="仿宋"/>
          <w:color w:val="000000" w:themeColor="text1"/>
          <w:sz w:val="32"/>
          <w:szCs w:val="28"/>
          <w:lang w:eastAsia="zh-CN"/>
          <w14:textFill>
            <w14:solidFill>
              <w14:schemeClr w14:val="tx1"/>
            </w14:solidFill>
          </w14:textFill>
        </w:rPr>
        <w:t>政</w:t>
      </w:r>
      <w:r>
        <w:rPr>
          <w:rFonts w:hint="eastAsia" w:ascii="仿宋" w:hAnsi="仿宋" w:eastAsia="仿宋"/>
          <w:color w:val="000000" w:themeColor="text1"/>
          <w:sz w:val="32"/>
          <w:szCs w:val="28"/>
          <w14:textFill>
            <w14:solidFill>
              <w14:schemeClr w14:val="tx1"/>
            </w14:solidFill>
          </w14:textFill>
        </w:rPr>
        <w:t>局土地备用金账户。</w:t>
      </w:r>
    </w:p>
    <w:p>
      <w:pPr>
        <w:spacing w:line="560" w:lineRule="exact"/>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 xml:space="preserve">                                    综合科</w:t>
      </w:r>
    </w:p>
    <w:p>
      <w:pPr>
        <w:spacing w:line="560" w:lineRule="exact"/>
        <w:rPr>
          <w:rFonts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 xml:space="preserve">             </w:t>
      </w:r>
      <w:bookmarkStart w:id="1" w:name="_GoBack"/>
      <w:bookmarkEnd w:id="1"/>
      <w:r>
        <w:rPr>
          <w:rFonts w:hint="eastAsia" w:ascii="仿宋" w:hAnsi="仿宋" w:eastAsia="仿宋"/>
          <w:color w:val="000000" w:themeColor="text1"/>
          <w:sz w:val="32"/>
          <w:szCs w:val="28"/>
          <w14:textFill>
            <w14:solidFill>
              <w14:schemeClr w14:val="tx1"/>
            </w14:solidFill>
          </w14:textFill>
        </w:rPr>
        <w:t xml:space="preserve">                    年    月    日</w:t>
      </w:r>
    </w:p>
    <w:p>
      <w:pPr>
        <w:spacing w:line="60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jc w:val="center"/>
        <w:rPr>
          <w:rFonts w:ascii="黑体" w:hAnsi="黑体" w:eastAsia="黑体" w:cs="黑体"/>
          <w:sz w:val="44"/>
          <w:szCs w:val="44"/>
        </w:rPr>
      </w:pPr>
      <w:r>
        <w:rPr>
          <w:rFonts w:hint="eastAsia" w:ascii="黑体" w:hAnsi="黑体" w:eastAsia="黑体" w:cs="黑体"/>
          <w:sz w:val="44"/>
          <w:szCs w:val="44"/>
        </w:rPr>
        <w:t>聊城市公共资源交易中心</w:t>
      </w:r>
    </w:p>
    <w:p>
      <w:pPr>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sz w:val="44"/>
          <w:szCs w:val="44"/>
        </w:rPr>
        <w:t>土地保证金线下划转登记簿（    年）</w:t>
      </w: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70"/>
        <w:gridCol w:w="1060"/>
        <w:gridCol w:w="1066"/>
        <w:gridCol w:w="1216"/>
        <w:gridCol w:w="1006"/>
        <w:gridCol w:w="1243"/>
        <w:gridCol w:w="94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编号</w:t>
            </w: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退款日期</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收款人</w:t>
            </w: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收款人账号</w:t>
            </w:r>
          </w:p>
        </w:tc>
        <w:tc>
          <w:tcPr>
            <w:tcW w:w="12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金额</w:t>
            </w:r>
          </w:p>
          <w:p>
            <w:pPr>
              <w:adjustRightInd w:val="0"/>
              <w:snapToGrid w:val="0"/>
              <w:spacing w:line="60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（万元）</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联系人</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联系电话</w:t>
            </w: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转出行</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地块编号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bl>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jc w:val="center"/>
        <w:rPr>
          <w:rFonts w:ascii="黑体" w:hAnsi="黑体" w:eastAsia="黑体" w:cs="黑体"/>
          <w:sz w:val="44"/>
          <w:szCs w:val="44"/>
        </w:rPr>
      </w:pPr>
      <w:r>
        <w:rPr>
          <w:rFonts w:hint="eastAsia" w:ascii="黑体" w:hAnsi="黑体" w:eastAsia="黑体" w:cs="黑体"/>
          <w:sz w:val="44"/>
          <w:szCs w:val="44"/>
        </w:rPr>
        <w:t>聊城市公共资源交易中心</w:t>
      </w:r>
    </w:p>
    <w:p>
      <w:pPr>
        <w:jc w:val="center"/>
        <w:rPr>
          <w:rFonts w:ascii="黑体" w:hAnsi="黑体" w:eastAsia="黑体" w:cs="黑体"/>
          <w:sz w:val="44"/>
          <w:szCs w:val="44"/>
        </w:rPr>
      </w:pPr>
      <w:r>
        <w:rPr>
          <w:rFonts w:hint="eastAsia" w:ascii="黑体" w:hAnsi="黑体" w:eastAsia="黑体" w:cs="黑体"/>
          <w:sz w:val="44"/>
          <w:szCs w:val="44"/>
        </w:rPr>
        <w:t>委托银行批量退款明细表（项目名称）</w:t>
      </w:r>
    </w:p>
    <w:tbl>
      <w:tblPr>
        <w:tblStyle w:val="12"/>
        <w:tblW w:w="8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4"/>
        <w:gridCol w:w="1799"/>
        <w:gridCol w:w="1842"/>
        <w:gridCol w:w="1245"/>
        <w:gridCol w:w="1606"/>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序号</w:t>
            </w: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标段</w:t>
            </w: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收款人</w:t>
            </w: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金额（元）</w:t>
            </w: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收款账号</w:t>
            </w: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开户行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600" w:lineRule="exact"/>
              <w:jc w:val="center"/>
              <w:rPr>
                <w:rFonts w:ascii="仿宋" w:hAnsi="仿宋" w:eastAsia="仿宋" w:cs="仿宋"/>
                <w:color w:val="000000" w:themeColor="text1"/>
                <w:sz w:val="32"/>
                <w:szCs w:val="32"/>
                <w14:textFill>
                  <w14:solidFill>
                    <w14:schemeClr w14:val="tx1"/>
                  </w14:solidFill>
                </w14:textFill>
              </w:rPr>
            </w:pPr>
          </w:p>
        </w:tc>
      </w:tr>
    </w:tbl>
    <w:p>
      <w:pPr>
        <w:spacing w:line="600" w:lineRule="exact"/>
        <w:ind w:firstLine="160" w:firstLineChars="50"/>
        <w:rPr>
          <w:rFonts w:ascii="仿宋" w:hAnsi="仿宋" w:eastAsia="仿宋" w:cs="仿宋"/>
          <w:color w:val="000000" w:themeColor="text1"/>
          <w:sz w:val="32"/>
          <w:szCs w:val="32"/>
          <w14:textFill>
            <w14:solidFill>
              <w14:schemeClr w14:val="tx1"/>
            </w14:solidFill>
          </w14:textFill>
        </w:rPr>
      </w:pPr>
    </w:p>
    <w:p>
      <w:pPr>
        <w:spacing w:line="600" w:lineRule="exac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附件4</w:t>
      </w:r>
    </w:p>
    <w:p>
      <w:pPr>
        <w:spacing w:line="600" w:lineRule="exact"/>
        <w:jc w:val="center"/>
        <w:rPr>
          <w:rFonts w:ascii="黑体" w:hAnsi="黑体" w:eastAsia="黑体" w:cs="Arial"/>
          <w:bCs/>
          <w:color w:val="000000" w:themeColor="text1"/>
          <w:sz w:val="44"/>
          <w:szCs w:val="44"/>
          <w14:textFill>
            <w14:solidFill>
              <w14:schemeClr w14:val="tx1"/>
            </w14:solidFill>
          </w14:textFill>
        </w:rPr>
      </w:pPr>
      <w:r>
        <w:rPr>
          <w:rFonts w:hint="eastAsia" w:ascii="黑体" w:hAnsi="黑体" w:eastAsia="黑体" w:cs="Arial"/>
          <w:bCs/>
          <w:color w:val="000000" w:themeColor="text1"/>
          <w:sz w:val="44"/>
          <w:szCs w:val="44"/>
          <w14:textFill>
            <w14:solidFill>
              <w14:schemeClr w14:val="tx1"/>
            </w14:solidFill>
          </w14:textFill>
        </w:rPr>
        <w:t>保证金退款业务授权委托书</w:t>
      </w:r>
    </w:p>
    <w:p>
      <w:pPr>
        <w:spacing w:line="600" w:lineRule="exact"/>
        <w:rPr>
          <w:rFonts w:ascii="宋体" w:hAnsi="宋体" w:eastAsia="微软雅黑" w:cs="Arial"/>
          <w:color w:val="000000" w:themeColor="text1"/>
          <w:sz w:val="30"/>
          <w:szCs w:val="30"/>
          <w14:textFill>
            <w14:solidFill>
              <w14:schemeClr w14:val="tx1"/>
            </w14:solidFill>
          </w14:textFill>
        </w:rPr>
      </w:pPr>
    </w:p>
    <w:p>
      <w:pPr>
        <w:spacing w:line="600" w:lineRule="exact"/>
        <w:rPr>
          <w:rFonts w:ascii="仿宋" w:hAnsi="仿宋" w:eastAsia="仿宋" w:cs="Arial"/>
          <w:color w:val="000000" w:themeColor="text1"/>
          <w:sz w:val="32"/>
          <w:szCs w:val="30"/>
          <w14:textFill>
            <w14:solidFill>
              <w14:schemeClr w14:val="tx1"/>
            </w14:solidFill>
          </w14:textFill>
        </w:rPr>
      </w:pPr>
      <w:r>
        <w:rPr>
          <w:rFonts w:hint="eastAsia" w:ascii="仿宋" w:hAnsi="仿宋" w:eastAsia="仿宋" w:cs="Arial"/>
          <w:color w:val="000000" w:themeColor="text1"/>
          <w:sz w:val="32"/>
          <w:szCs w:val="30"/>
          <w14:textFill>
            <w14:solidFill>
              <w14:schemeClr w14:val="tx1"/>
            </w14:solidFill>
          </w14:textFill>
        </w:rPr>
        <w:t>聊城市公共资源交易中心：</w:t>
      </w:r>
    </w:p>
    <w:p>
      <w:pPr>
        <w:spacing w:line="600" w:lineRule="exact"/>
        <w:ind w:firstLine="640" w:firstLineChars="200"/>
        <w:rPr>
          <w:rFonts w:ascii="仿宋" w:hAnsi="仿宋" w:eastAsia="仿宋" w:cs="Arial"/>
          <w:color w:val="000000" w:themeColor="text1"/>
          <w:sz w:val="32"/>
          <w:szCs w:val="30"/>
          <w14:textFill>
            <w14:solidFill>
              <w14:schemeClr w14:val="tx1"/>
            </w14:solidFill>
          </w14:textFill>
        </w:rPr>
      </w:pPr>
      <w:r>
        <w:rPr>
          <w:rFonts w:hint="eastAsia" w:ascii="仿宋" w:hAnsi="仿宋" w:eastAsia="仿宋" w:cs="Arial"/>
          <w:color w:val="000000" w:themeColor="text1"/>
          <w:sz w:val="32"/>
          <w:szCs w:val="30"/>
          <w14:textFill>
            <w14:solidFill>
              <w14:schemeClr w14:val="tx1"/>
            </w14:solidFill>
          </w14:textFill>
        </w:rPr>
        <w:t>我单位现委托</w:t>
      </w:r>
      <w:r>
        <w:rPr>
          <w:rFonts w:hint="eastAsia" w:ascii="仿宋" w:hAnsi="仿宋" w:eastAsia="仿宋" w:cs="Arial"/>
          <w:color w:val="000000" w:themeColor="text1"/>
          <w:sz w:val="32"/>
          <w:szCs w:val="30"/>
          <w:u w:val="single"/>
          <w14:textFill>
            <w14:solidFill>
              <w14:schemeClr w14:val="tx1"/>
            </w14:solidFill>
          </w14:textFill>
        </w:rPr>
        <w:t xml:space="preserve">         </w:t>
      </w:r>
      <w:r>
        <w:rPr>
          <w:rFonts w:hint="eastAsia" w:ascii="仿宋" w:hAnsi="仿宋" w:eastAsia="仿宋" w:cs="Arial"/>
          <w:color w:val="000000" w:themeColor="text1"/>
          <w:sz w:val="32"/>
          <w:szCs w:val="30"/>
          <w14:textFill>
            <w14:solidFill>
              <w14:schemeClr w14:val="tx1"/>
            </w14:solidFill>
          </w14:textFill>
        </w:rPr>
        <w:t>作为我单位合法委托代理人，授权其代表我公司办理</w:t>
      </w:r>
      <w:r>
        <w:rPr>
          <w:rFonts w:hint="eastAsia" w:ascii="仿宋" w:hAnsi="仿宋" w:eastAsia="仿宋" w:cs="Arial"/>
          <w:color w:val="000000" w:themeColor="text1"/>
          <w:sz w:val="32"/>
          <w:szCs w:val="30"/>
          <w:u w:val="single"/>
          <w14:textFill>
            <w14:solidFill>
              <w14:schemeClr w14:val="tx1"/>
            </w14:solidFill>
          </w14:textFill>
        </w:rPr>
        <w:t xml:space="preserve">                           </w:t>
      </w:r>
      <w:r>
        <w:rPr>
          <w:rFonts w:hint="eastAsia" w:ascii="仿宋" w:hAnsi="仿宋" w:eastAsia="仿宋" w:cs="Arial"/>
          <w:color w:val="000000" w:themeColor="text1"/>
          <w:sz w:val="32"/>
          <w:szCs w:val="30"/>
          <w14:textFill>
            <w14:solidFill>
              <w14:schemeClr w14:val="tx1"/>
            </w14:solidFill>
          </w14:textFill>
        </w:rPr>
        <w:t>业务。该代理人的一切行为，均代表本公司，与本公司的行为具有同等法律效力。本公司将承担该代理人行为的全部法律后果和法律责任。</w:t>
      </w:r>
    </w:p>
    <w:p>
      <w:pPr>
        <w:spacing w:line="600" w:lineRule="exact"/>
        <w:ind w:firstLine="640" w:firstLineChars="200"/>
        <w:rPr>
          <w:rFonts w:ascii="仿宋" w:hAnsi="仿宋" w:eastAsia="仿宋" w:cs="Arial"/>
          <w:color w:val="000000" w:themeColor="text1"/>
          <w:sz w:val="32"/>
          <w:szCs w:val="30"/>
          <w14:textFill>
            <w14:solidFill>
              <w14:schemeClr w14:val="tx1"/>
            </w14:solidFill>
          </w14:textFill>
        </w:rPr>
      </w:pPr>
      <w:r>
        <w:rPr>
          <w:rFonts w:hint="eastAsia" w:ascii="仿宋" w:hAnsi="仿宋" w:eastAsia="仿宋" w:cs="Arial"/>
          <w:color w:val="000000" w:themeColor="text1"/>
          <w:sz w:val="32"/>
          <w:szCs w:val="30"/>
          <w14:textFill>
            <w14:solidFill>
              <w14:schemeClr w14:val="tx1"/>
            </w14:solidFill>
          </w14:textFill>
        </w:rPr>
        <w:t>特此委托。</w:t>
      </w:r>
    </w:p>
    <w:p>
      <w:pPr>
        <w:spacing w:line="600" w:lineRule="exact"/>
        <w:ind w:right="600" w:firstLine="4640" w:firstLineChars="1450"/>
        <w:rPr>
          <w:rFonts w:ascii="仿宋" w:hAnsi="仿宋" w:eastAsia="仿宋" w:cs="Arial"/>
          <w:color w:val="000000" w:themeColor="text1"/>
          <w:sz w:val="32"/>
          <w:szCs w:val="30"/>
          <w14:textFill>
            <w14:solidFill>
              <w14:schemeClr w14:val="tx1"/>
            </w14:solidFill>
          </w14:textFill>
        </w:rPr>
      </w:pPr>
      <w:r>
        <w:rPr>
          <w:rFonts w:hint="eastAsia" w:ascii="仿宋" w:hAnsi="仿宋" w:eastAsia="仿宋" w:cs="Arial"/>
          <w:color w:val="000000" w:themeColor="text1"/>
          <w:sz w:val="32"/>
          <w:szCs w:val="30"/>
          <w14:textFill>
            <w14:solidFill>
              <w14:schemeClr w14:val="tx1"/>
            </w14:solidFill>
          </w14:textFill>
        </w:rPr>
        <w:t>公司名称（签章）：</w:t>
      </w:r>
    </w:p>
    <w:p>
      <w:pPr>
        <w:spacing w:line="600" w:lineRule="exact"/>
        <w:ind w:right="600" w:firstLine="6240" w:firstLineChars="1950"/>
        <w:rPr>
          <w:rFonts w:ascii="仿宋" w:hAnsi="仿宋" w:eastAsia="仿宋" w:cs="Arial"/>
          <w:color w:val="000000" w:themeColor="text1"/>
          <w:sz w:val="32"/>
          <w:szCs w:val="30"/>
          <w14:textFill>
            <w14:solidFill>
              <w14:schemeClr w14:val="tx1"/>
            </w14:solidFill>
          </w14:textFill>
        </w:rPr>
      </w:pPr>
      <w:r>
        <w:rPr>
          <w:rFonts w:hint="eastAsia" w:ascii="仿宋" w:hAnsi="仿宋" w:eastAsia="仿宋" w:cs="Arial"/>
          <w:color w:val="000000" w:themeColor="text1"/>
          <w:sz w:val="32"/>
          <w:szCs w:val="30"/>
          <w14:textFill>
            <w14:solidFill>
              <w14:schemeClr w14:val="tx1"/>
            </w14:solidFill>
          </w14:textFill>
        </w:rPr>
        <w:t>法人章：</w:t>
      </w: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r>
        <w:rPr>
          <w:rFonts w:hint="eastAsia" w:ascii="仿宋" w:hAnsi="仿宋" w:eastAsia="仿宋" w:cs="Arial"/>
          <w:color w:val="000000" w:themeColor="text1"/>
          <w:sz w:val="32"/>
          <w:szCs w:val="30"/>
          <w14:textFill>
            <w14:solidFill>
              <w14:schemeClr w14:val="tx1"/>
            </w14:solidFill>
          </w14:textFill>
        </w:rPr>
        <w:t xml:space="preserve">                                   年   月   日</w:t>
      </w: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jc w:val="right"/>
        <w:rPr>
          <w:rFonts w:ascii="仿宋" w:hAnsi="仿宋" w:eastAsia="仿宋" w:cs="Arial"/>
          <w:color w:val="000000" w:themeColor="text1"/>
          <w:sz w:val="32"/>
          <w:szCs w:val="30"/>
          <w14:textFill>
            <w14:solidFill>
              <w14:schemeClr w14:val="tx1"/>
            </w14:solidFill>
          </w14:textFill>
        </w:rPr>
      </w:pPr>
    </w:p>
    <w:p>
      <w:pPr>
        <w:spacing w:line="600" w:lineRule="exact"/>
        <w:ind w:firstLine="640" w:firstLineChars="200"/>
        <w:rPr>
          <w:rFonts w:ascii="仿宋" w:hAnsi="仿宋" w:eastAsia="仿宋" w:cs="Arial"/>
          <w:color w:val="000000" w:themeColor="text1"/>
          <w:sz w:val="32"/>
          <w:szCs w:val="30"/>
          <w14:textFill>
            <w14:solidFill>
              <w14:schemeClr w14:val="tx1"/>
            </w14:solidFill>
          </w14:textFill>
        </w:rPr>
      </w:pPr>
    </w:p>
    <w:p>
      <w:pPr>
        <w:spacing w:line="60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附件5</w:t>
      </w:r>
    </w:p>
    <w:p>
      <w:pPr>
        <w:spacing w:line="600" w:lineRule="exact"/>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聊城市公共资源交易中心</w:t>
      </w:r>
    </w:p>
    <w:p>
      <w:pPr>
        <w:spacing w:line="600" w:lineRule="exact"/>
        <w:jc w:val="center"/>
        <w:rPr>
          <w:rFonts w:ascii="宋体" w:hAnsi="宋体" w:eastAsia="微软雅黑" w:cs="宋体"/>
          <w:color w:val="000000" w:themeColor="text1"/>
          <w:sz w:val="44"/>
          <w:szCs w:val="44"/>
          <w14:textFill>
            <w14:solidFill>
              <w14:schemeClr w14:val="tx1"/>
            </w14:solidFill>
          </w14:textFill>
        </w:rPr>
      </w:pPr>
      <w:r>
        <w:rPr>
          <w:rFonts w:hint="eastAsia" w:ascii="黑体" w:hAnsi="黑体" w:eastAsia="黑体" w:cs="宋体"/>
          <w:color w:val="000000" w:themeColor="text1"/>
          <w:sz w:val="44"/>
          <w:szCs w:val="44"/>
          <w14:textFill>
            <w14:solidFill>
              <w14:schemeClr w14:val="tx1"/>
            </w14:solidFill>
          </w14:textFill>
        </w:rPr>
        <w:t>保证金线下退款审批单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2482"/>
        <w:gridCol w:w="2012"/>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项目名称</w:t>
            </w:r>
          </w:p>
        </w:tc>
        <w:tc>
          <w:tcPr>
            <w:tcW w:w="24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招标项目编号</w:t>
            </w:r>
          </w:p>
        </w:tc>
        <w:tc>
          <w:tcPr>
            <w:tcW w:w="2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投标人</w:t>
            </w:r>
          </w:p>
        </w:tc>
        <w:tc>
          <w:tcPr>
            <w:tcW w:w="24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本项目保证金金额（元）</w:t>
            </w:r>
          </w:p>
        </w:tc>
        <w:tc>
          <w:tcPr>
            <w:tcW w:w="2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投标人银行账号及开户行</w:t>
            </w:r>
          </w:p>
        </w:tc>
        <w:tc>
          <w:tcPr>
            <w:tcW w:w="24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联系人及联系电话</w:t>
            </w:r>
          </w:p>
        </w:tc>
        <w:tc>
          <w:tcPr>
            <w:tcW w:w="2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39" w:firstLineChars="14"/>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线下退款原因</w:t>
            </w:r>
          </w:p>
        </w:tc>
        <w:tc>
          <w:tcPr>
            <w:tcW w:w="24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p>
        </w:tc>
        <w:tc>
          <w:tcPr>
            <w:tcW w:w="2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财务记录</w:t>
            </w:r>
          </w:p>
        </w:tc>
        <w:tc>
          <w:tcPr>
            <w:tcW w:w="2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39" w:firstLineChars="14"/>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处理结果</w:t>
            </w:r>
          </w:p>
        </w:tc>
        <w:tc>
          <w:tcPr>
            <w:tcW w:w="67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39" w:firstLineChars="14"/>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jc w:val="center"/>
        </w:trPr>
        <w:tc>
          <w:tcPr>
            <w:tcW w:w="44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若此项目的保证金重复退付至本公司账户，本公司承诺及时退付保证金。</w:t>
            </w:r>
          </w:p>
          <w:p>
            <w:pPr>
              <w:spacing w:line="600" w:lineRule="exact"/>
              <w:rPr>
                <w:rFonts w:ascii="仿宋" w:hAnsi="仿宋" w:eastAsia="仿宋" w:cs="仿宋"/>
                <w:color w:val="000000" w:themeColor="text1"/>
                <w:sz w:val="28"/>
                <w:szCs w:val="28"/>
                <w14:textFill>
                  <w14:solidFill>
                    <w14:schemeClr w14:val="tx1"/>
                  </w14:solidFill>
                </w14:textFill>
              </w:rPr>
            </w:pPr>
          </w:p>
          <w:p>
            <w:pPr>
              <w:spacing w:line="600" w:lineRule="exact"/>
              <w:rPr>
                <w:rFonts w:ascii="仿宋" w:hAnsi="仿宋" w:eastAsia="仿宋" w:cs="仿宋"/>
                <w:color w:val="000000" w:themeColor="text1"/>
                <w:sz w:val="28"/>
                <w:szCs w:val="28"/>
                <w14:textFill>
                  <w14:solidFill>
                    <w14:schemeClr w14:val="tx1"/>
                  </w14:solidFill>
                </w14:textFill>
              </w:rPr>
            </w:pPr>
          </w:p>
          <w:p>
            <w:pPr>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投标人：（公章）</w:t>
            </w:r>
          </w:p>
          <w:p>
            <w:pPr>
              <w:spacing w:line="600" w:lineRule="exact"/>
              <w:rPr>
                <w:rFonts w:ascii="仿宋" w:hAnsi="仿宋" w:eastAsia="仿宋" w:cs="仿宋"/>
                <w:color w:val="000000" w:themeColor="text1"/>
                <w:sz w:val="28"/>
                <w:szCs w:val="28"/>
                <w14:textFill>
                  <w14:solidFill>
                    <w14:schemeClr w14:val="tx1"/>
                  </w14:solidFill>
                </w14:textFill>
              </w:rPr>
            </w:pPr>
          </w:p>
          <w:p>
            <w:pPr>
              <w:adjustRightInd w:val="0"/>
              <w:snapToGrid w:val="0"/>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年   月   日                  </w:t>
            </w:r>
          </w:p>
        </w:tc>
        <w:tc>
          <w:tcPr>
            <w:tcW w:w="426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cs="仿宋"/>
                <w:color w:val="000000" w:themeColor="text1"/>
                <w:sz w:val="28"/>
                <w:szCs w:val="28"/>
                <w14:textFill>
                  <w14:solidFill>
                    <w14:schemeClr w14:val="tx1"/>
                  </w14:solidFill>
                </w14:textFill>
              </w:rPr>
            </w:pPr>
          </w:p>
          <w:p>
            <w:pPr>
              <w:spacing w:line="600" w:lineRule="exact"/>
              <w:rPr>
                <w:rFonts w:ascii="仿宋" w:hAnsi="仿宋" w:eastAsia="仿宋" w:cs="仿宋"/>
                <w:color w:val="000000" w:themeColor="text1"/>
                <w:sz w:val="28"/>
                <w:szCs w:val="28"/>
                <w14:textFill>
                  <w14:solidFill>
                    <w14:schemeClr w14:val="tx1"/>
                  </w14:solidFill>
                </w14:textFill>
              </w:rPr>
            </w:pPr>
          </w:p>
          <w:p>
            <w:pPr>
              <w:spacing w:line="600" w:lineRule="exact"/>
              <w:rPr>
                <w:rFonts w:ascii="仿宋" w:hAnsi="仿宋" w:eastAsia="仿宋" w:cs="仿宋"/>
                <w:color w:val="000000" w:themeColor="text1"/>
                <w:sz w:val="28"/>
                <w:szCs w:val="28"/>
                <w14:textFill>
                  <w14:solidFill>
                    <w14:schemeClr w14:val="tx1"/>
                  </w14:solidFill>
                </w14:textFill>
              </w:rPr>
            </w:pPr>
          </w:p>
          <w:p>
            <w:pPr>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业务科室意见：</w:t>
            </w:r>
          </w:p>
          <w:p>
            <w:pPr>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（业务章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1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14:textFill>
                  <w14:solidFill>
                    <w14:schemeClr w14:val="tx1"/>
                  </w14:solidFill>
                </w14:textFill>
              </w:rPr>
            </w:pPr>
          </w:p>
        </w:tc>
        <w:tc>
          <w:tcPr>
            <w:tcW w:w="42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分管主任：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1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14:textFill>
                  <w14:solidFill>
                    <w14:schemeClr w14:val="tx1"/>
                  </w14:solidFill>
                </w14:textFill>
              </w:rPr>
            </w:pPr>
          </w:p>
        </w:tc>
        <w:tc>
          <w:tcPr>
            <w:tcW w:w="42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主任：</w:t>
            </w:r>
          </w:p>
        </w:tc>
      </w:tr>
    </w:tbl>
    <w:p>
      <w:pPr>
        <w:spacing w:line="600" w:lineRule="exact"/>
        <w:rPr>
          <w:rFonts w:ascii="Tahoma" w:hAnsi="Tahoma" w:eastAsia="微软雅黑"/>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备注：保证金金额单笔10万元以下，由业务科室负责人签批；单笔10万元以上（含10万元），由分管主任签批；单笔50万元以上（含50万元），由中心主任签字。</w:t>
      </w:r>
    </w:p>
    <w:p>
      <w:pPr>
        <w:spacing w:line="60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附件6</w:t>
      </w:r>
    </w:p>
    <w:p>
      <w:pPr>
        <w:pStyle w:val="2"/>
        <w:spacing w:before="0" w:after="0" w:line="600" w:lineRule="exact"/>
        <w:jc w:val="center"/>
        <w:rPr>
          <w:rFonts w:ascii="黑体" w:hAnsi="黑体" w:eastAsia="黑体" w:cs="黑体"/>
          <w:b w:val="0"/>
          <w:bCs w:val="0"/>
          <w:color w:val="000000" w:themeColor="text1"/>
          <w:szCs w:val="36"/>
          <w14:textFill>
            <w14:solidFill>
              <w14:schemeClr w14:val="tx1"/>
            </w14:solidFill>
          </w14:textFill>
        </w:rPr>
      </w:pPr>
      <w:r>
        <w:rPr>
          <w:rFonts w:hint="eastAsia" w:ascii="黑体" w:hAnsi="黑体" w:eastAsia="黑体" w:cs="黑体"/>
          <w:b w:val="0"/>
          <w:bCs w:val="0"/>
          <w:color w:val="000000" w:themeColor="text1"/>
          <w:szCs w:val="36"/>
          <w14:textFill>
            <w14:solidFill>
              <w14:schemeClr w14:val="tx1"/>
            </w14:solidFill>
          </w14:textFill>
        </w:rPr>
        <w:t>聊城市公共资源交易中心</w:t>
      </w:r>
    </w:p>
    <w:p>
      <w:pPr>
        <w:spacing w:line="600" w:lineRule="exact"/>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44"/>
          <w:szCs w:val="36"/>
          <w14:textFill>
            <w14:solidFill>
              <w14:schemeClr w14:val="tx1"/>
            </w14:solidFill>
          </w14:textFill>
        </w:rPr>
        <w:t>保证金线下退款登记簿（</w:t>
      </w:r>
      <w:r>
        <w:rPr>
          <w:rFonts w:hint="eastAsia" w:ascii="黑体" w:hAnsi="黑体" w:eastAsia="黑体" w:cs="黑体"/>
          <w:color w:val="000000" w:themeColor="text1"/>
          <w:sz w:val="44"/>
          <w:szCs w:val="36"/>
          <w:u w:val="single"/>
          <w14:textFill>
            <w14:solidFill>
              <w14:schemeClr w14:val="tx1"/>
            </w14:solidFill>
          </w14:textFill>
        </w:rPr>
        <w:t xml:space="preserve">    </w:t>
      </w:r>
      <w:r>
        <w:rPr>
          <w:rFonts w:hint="eastAsia" w:ascii="黑体" w:hAnsi="黑体" w:eastAsia="黑体" w:cs="黑体"/>
          <w:color w:val="000000" w:themeColor="text1"/>
          <w:sz w:val="44"/>
          <w:szCs w:val="36"/>
          <w14:textFill>
            <w14:solidFill>
              <w14:schemeClr w14:val="tx1"/>
            </w14:solidFill>
          </w14:textFill>
        </w:rPr>
        <w:t>年）</w:t>
      </w:r>
    </w:p>
    <w:tbl>
      <w:tblPr>
        <w:tblStyle w:val="12"/>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930"/>
        <w:gridCol w:w="1186"/>
        <w:gridCol w:w="1066"/>
        <w:gridCol w:w="1216"/>
        <w:gridCol w:w="1006"/>
        <w:gridCol w:w="1243"/>
        <w:gridCol w:w="108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编号</w:t>
            </w: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退款日期</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收款人</w:t>
            </w: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收款人账号</w:t>
            </w:r>
          </w:p>
        </w:tc>
        <w:tc>
          <w:tcPr>
            <w:tcW w:w="12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金额</w:t>
            </w:r>
          </w:p>
          <w:p>
            <w:pPr>
              <w:adjustRightInd w:val="0"/>
              <w:snapToGrid w:val="0"/>
              <w:spacing w:line="60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（万元）</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联系人</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联系电话</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转出行</w:t>
            </w:r>
          </w:p>
        </w:tc>
        <w:tc>
          <w:tcPr>
            <w:tcW w:w="122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项目名称</w:t>
            </w:r>
          </w:p>
          <w:p>
            <w:pPr>
              <w:adjustRightInd w:val="0"/>
              <w:snapToGrid w:val="0"/>
              <w:spacing w:line="600" w:lineRule="exact"/>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 w:hAnsi="仿宋" w:eastAsia="仿宋" w:cs="仿宋"/>
                <w:color w:val="000000" w:themeColor="text1"/>
                <w:sz w:val="24"/>
                <w14:textFill>
                  <w14:solidFill>
                    <w14:schemeClr w14:val="tx1"/>
                  </w14:solidFill>
                </w14:textFill>
              </w:rPr>
            </w:pPr>
          </w:p>
        </w:tc>
      </w:tr>
    </w:tbl>
    <w:p>
      <w:pPr>
        <w:spacing w:line="600" w:lineRule="exact"/>
        <w:rPr>
          <w:rFonts w:ascii="Tahoma" w:hAnsi="Tahoma" w:eastAsia="微软雅黑"/>
          <w:color w:val="000000" w:themeColor="text1"/>
          <w:sz w:val="24"/>
          <w14:textFill>
            <w14:solidFill>
              <w14:schemeClr w14:val="tx1"/>
            </w14:solidFill>
          </w14:textFill>
        </w:rPr>
      </w:pPr>
    </w:p>
    <w:sectPr>
      <w:footerReference r:id="rId3" w:type="default"/>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92280"/>
      <w:docPartObj>
        <w:docPartGallery w:val="autotext"/>
      </w:docPartObj>
    </w:sdtPr>
    <w:sdtEndPr>
      <w:rPr>
        <w:rFonts w:asciiTheme="minorEastAsia" w:hAnsiTheme="minorEastAsia"/>
        <w:sz w:val="28"/>
        <w:szCs w:val="28"/>
      </w:rPr>
    </w:sdtEndPr>
    <w:sdtContent>
      <w:p>
        <w:pPr>
          <w:pStyle w:val="8"/>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16 -</w:t>
        </w:r>
        <w:r>
          <w:rPr>
            <w:rFonts w:asciiTheme="minorEastAsia" w:hAnsiTheme="minorEastAsia"/>
            <w:sz w:val="28"/>
            <w:szCs w:val="28"/>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F8225"/>
    <w:multiLevelType w:val="singleLevel"/>
    <w:tmpl w:val="83BF8225"/>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C0"/>
    <w:rsid w:val="00031801"/>
    <w:rsid w:val="00033176"/>
    <w:rsid w:val="00045EB3"/>
    <w:rsid w:val="000D3478"/>
    <w:rsid w:val="000D3705"/>
    <w:rsid w:val="000D77CA"/>
    <w:rsid w:val="0011134F"/>
    <w:rsid w:val="00115E4F"/>
    <w:rsid w:val="001309ED"/>
    <w:rsid w:val="00141AD6"/>
    <w:rsid w:val="001446FB"/>
    <w:rsid w:val="0018568E"/>
    <w:rsid w:val="0019015B"/>
    <w:rsid w:val="00196177"/>
    <w:rsid w:val="001D2E62"/>
    <w:rsid w:val="001E056B"/>
    <w:rsid w:val="001E08F7"/>
    <w:rsid w:val="001F0E3A"/>
    <w:rsid w:val="002133B3"/>
    <w:rsid w:val="0022075E"/>
    <w:rsid w:val="0022497D"/>
    <w:rsid w:val="00227160"/>
    <w:rsid w:val="00236FC7"/>
    <w:rsid w:val="002521CF"/>
    <w:rsid w:val="002602E6"/>
    <w:rsid w:val="0035566D"/>
    <w:rsid w:val="003B25B9"/>
    <w:rsid w:val="003B77C5"/>
    <w:rsid w:val="003C6050"/>
    <w:rsid w:val="003E17D4"/>
    <w:rsid w:val="003E7134"/>
    <w:rsid w:val="003F339A"/>
    <w:rsid w:val="003F7DC2"/>
    <w:rsid w:val="00417391"/>
    <w:rsid w:val="004222AE"/>
    <w:rsid w:val="0044426C"/>
    <w:rsid w:val="00452EF3"/>
    <w:rsid w:val="00470C9B"/>
    <w:rsid w:val="004C1700"/>
    <w:rsid w:val="004C7F75"/>
    <w:rsid w:val="004D7F50"/>
    <w:rsid w:val="004E346B"/>
    <w:rsid w:val="004E4AD2"/>
    <w:rsid w:val="005224A4"/>
    <w:rsid w:val="00555A0C"/>
    <w:rsid w:val="00561004"/>
    <w:rsid w:val="005611E3"/>
    <w:rsid w:val="00573569"/>
    <w:rsid w:val="00591D88"/>
    <w:rsid w:val="005D382E"/>
    <w:rsid w:val="00641091"/>
    <w:rsid w:val="00670BCA"/>
    <w:rsid w:val="006B20CC"/>
    <w:rsid w:val="006C1FA9"/>
    <w:rsid w:val="00701A8C"/>
    <w:rsid w:val="0073077F"/>
    <w:rsid w:val="007752DD"/>
    <w:rsid w:val="007758A0"/>
    <w:rsid w:val="00780AB8"/>
    <w:rsid w:val="00797D46"/>
    <w:rsid w:val="007D6837"/>
    <w:rsid w:val="008411EF"/>
    <w:rsid w:val="00847BDE"/>
    <w:rsid w:val="00862C25"/>
    <w:rsid w:val="008A5E2E"/>
    <w:rsid w:val="008D0288"/>
    <w:rsid w:val="008D5AA8"/>
    <w:rsid w:val="008E26C0"/>
    <w:rsid w:val="008E2FAE"/>
    <w:rsid w:val="008E3DAA"/>
    <w:rsid w:val="00985A93"/>
    <w:rsid w:val="00996A20"/>
    <w:rsid w:val="009B05E7"/>
    <w:rsid w:val="009C0BF6"/>
    <w:rsid w:val="009E4874"/>
    <w:rsid w:val="00A17845"/>
    <w:rsid w:val="00A20E80"/>
    <w:rsid w:val="00A21F15"/>
    <w:rsid w:val="00A27E20"/>
    <w:rsid w:val="00AA2FA7"/>
    <w:rsid w:val="00AC7A03"/>
    <w:rsid w:val="00B20ED6"/>
    <w:rsid w:val="00B516B0"/>
    <w:rsid w:val="00B651F1"/>
    <w:rsid w:val="00BD073D"/>
    <w:rsid w:val="00BE70AA"/>
    <w:rsid w:val="00BF2E5F"/>
    <w:rsid w:val="00BF4D17"/>
    <w:rsid w:val="00C16C70"/>
    <w:rsid w:val="00C321E8"/>
    <w:rsid w:val="00C3627C"/>
    <w:rsid w:val="00C62348"/>
    <w:rsid w:val="00C66401"/>
    <w:rsid w:val="00CA1DE8"/>
    <w:rsid w:val="00CA6684"/>
    <w:rsid w:val="00CB2D27"/>
    <w:rsid w:val="00CB7103"/>
    <w:rsid w:val="00CC4315"/>
    <w:rsid w:val="00CE0666"/>
    <w:rsid w:val="00CE60D4"/>
    <w:rsid w:val="00D116E1"/>
    <w:rsid w:val="00D33F3D"/>
    <w:rsid w:val="00DB0F89"/>
    <w:rsid w:val="00E31B56"/>
    <w:rsid w:val="00E472DE"/>
    <w:rsid w:val="00E71784"/>
    <w:rsid w:val="00E741A7"/>
    <w:rsid w:val="00E9172E"/>
    <w:rsid w:val="00EA685F"/>
    <w:rsid w:val="00EF10EA"/>
    <w:rsid w:val="00F02411"/>
    <w:rsid w:val="00F2173A"/>
    <w:rsid w:val="00F227C7"/>
    <w:rsid w:val="00F616FD"/>
    <w:rsid w:val="00FB09BF"/>
    <w:rsid w:val="00FC40D7"/>
    <w:rsid w:val="00FC4847"/>
    <w:rsid w:val="00FD1229"/>
    <w:rsid w:val="00FF0EE6"/>
    <w:rsid w:val="00FF756B"/>
    <w:rsid w:val="036C2AB3"/>
    <w:rsid w:val="06BE642F"/>
    <w:rsid w:val="0BD94B99"/>
    <w:rsid w:val="0CD40A34"/>
    <w:rsid w:val="28C935B4"/>
    <w:rsid w:val="3DD850C1"/>
    <w:rsid w:val="41813AC7"/>
    <w:rsid w:val="43CD625F"/>
    <w:rsid w:val="50BC7085"/>
    <w:rsid w:val="518C1776"/>
    <w:rsid w:val="58FF1941"/>
    <w:rsid w:val="5F9234D0"/>
    <w:rsid w:val="68611E26"/>
    <w:rsid w:val="6B414673"/>
    <w:rsid w:val="7061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unhideWhenUsed/>
    <w:qFormat/>
    <w:uiPriority w:val="0"/>
    <w:pPr>
      <w:jc w:val="left"/>
    </w:pPr>
    <w:rPr>
      <w:szCs w:val="22"/>
    </w:rPr>
  </w:style>
  <w:style w:type="paragraph" w:styleId="4">
    <w:name w:val="Body Text"/>
    <w:basedOn w:val="1"/>
    <w:link w:val="27"/>
    <w:unhideWhenUsed/>
    <w:qFormat/>
    <w:uiPriority w:val="0"/>
    <w:rPr>
      <w:rFonts w:ascii="Calibri" w:hAnsi="Calibri" w:eastAsia="宋体" w:cs="Times New Roman"/>
      <w:sz w:val="24"/>
    </w:rPr>
  </w:style>
  <w:style w:type="paragraph" w:styleId="5">
    <w:name w:val="toc 3"/>
    <w:basedOn w:val="1"/>
    <w:next w:val="1"/>
    <w:unhideWhenUsed/>
    <w:qFormat/>
    <w:uiPriority w:val="39"/>
    <w:pPr>
      <w:ind w:left="840" w:leftChars="400"/>
    </w:pPr>
    <w:rPr>
      <w:rFonts w:ascii="Calibri" w:hAnsi="Calibri" w:eastAsia="宋体" w:cs="Times New Roman"/>
      <w:szCs w:val="22"/>
    </w:rPr>
  </w:style>
  <w:style w:type="paragraph" w:styleId="6">
    <w:name w:val="Date"/>
    <w:basedOn w:val="1"/>
    <w:next w:val="1"/>
    <w:link w:val="19"/>
    <w:uiPriority w:val="0"/>
    <w:pPr>
      <w:ind w:left="100" w:leftChars="2500"/>
    </w:pPr>
  </w:style>
  <w:style w:type="paragraph" w:styleId="7">
    <w:name w:val="Balloon Text"/>
    <w:basedOn w:val="1"/>
    <w:link w:val="25"/>
    <w:uiPriority w:val="0"/>
    <w:rPr>
      <w:sz w:val="18"/>
      <w:szCs w:val="18"/>
    </w:rPr>
  </w:style>
  <w:style w:type="paragraph" w:styleId="8">
    <w:name w:val="footer"/>
    <w:basedOn w:val="1"/>
    <w:link w:val="24"/>
    <w:qFormat/>
    <w:uiPriority w:val="0"/>
    <w:pPr>
      <w:tabs>
        <w:tab w:val="center" w:pos="4153"/>
        <w:tab w:val="right" w:pos="8306"/>
      </w:tabs>
      <w:snapToGrid w:val="0"/>
      <w:jc w:val="left"/>
    </w:pPr>
    <w:rPr>
      <w:sz w:val="18"/>
    </w:rPr>
  </w:style>
  <w:style w:type="paragraph" w:styleId="9">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2"/>
    <w:basedOn w:val="1"/>
    <w:next w:val="1"/>
    <w:unhideWhenUsed/>
    <w:qFormat/>
    <w:uiPriority w:val="39"/>
    <w:pPr>
      <w:ind w:left="420" w:leftChars="200"/>
    </w:pPr>
    <w:rPr>
      <w:rFonts w:ascii="Calibri" w:hAnsi="Calibri" w:eastAsia="宋体" w:cs="Times New Roman"/>
      <w:szCs w:val="22"/>
    </w:rPr>
  </w:style>
  <w:style w:type="paragraph" w:styleId="11">
    <w:name w:val="Normal (Web)"/>
    <w:basedOn w:val="1"/>
    <w:qFormat/>
    <w:uiPriority w:val="0"/>
    <w:pPr>
      <w:spacing w:beforeAutospacing="1" w:afterAutospacing="1"/>
      <w:jc w:val="left"/>
    </w:pPr>
    <w:rPr>
      <w:rFonts w:ascii="Calibri" w:hAnsi="Calibri" w:eastAsia="宋体"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uiPriority w:val="99"/>
    <w:rPr>
      <w:color w:val="0000FF"/>
      <w:u w:val="single"/>
    </w:rPr>
  </w:style>
  <w:style w:type="character" w:styleId="16">
    <w:name w:val="annotation reference"/>
    <w:basedOn w:val="14"/>
    <w:uiPriority w:val="0"/>
    <w:rPr>
      <w:sz w:val="21"/>
      <w:szCs w:val="21"/>
    </w:rPr>
  </w:style>
  <w:style w:type="character" w:styleId="17">
    <w:name w:val="HTML Sample"/>
    <w:uiPriority w:val="0"/>
    <w:rPr>
      <w:rFonts w:hint="default" w:ascii="monospace" w:hAnsi="monospace" w:eastAsia="monospace" w:cs="monospace"/>
    </w:rPr>
  </w:style>
  <w:style w:type="character" w:customStyle="1" w:styleId="18">
    <w:name w:val="批注文字 Char"/>
    <w:basedOn w:val="14"/>
    <w:link w:val="3"/>
    <w:qFormat/>
    <w:uiPriority w:val="99"/>
    <w:rPr>
      <w:rFonts w:asciiTheme="minorHAnsi" w:hAnsiTheme="minorHAnsi" w:eastAsiaTheme="minorEastAsia" w:cstheme="minorBidi"/>
      <w:kern w:val="2"/>
      <w:sz w:val="21"/>
      <w:szCs w:val="22"/>
    </w:rPr>
  </w:style>
  <w:style w:type="character" w:customStyle="1" w:styleId="19">
    <w:name w:val="日期 Char"/>
    <w:basedOn w:val="14"/>
    <w:link w:val="6"/>
    <w:uiPriority w:val="0"/>
    <w:rPr>
      <w:rFonts w:asciiTheme="minorHAnsi" w:hAnsiTheme="minorHAnsi" w:eastAsiaTheme="minorEastAsia" w:cstheme="minorBidi"/>
      <w:kern w:val="2"/>
      <w:sz w:val="21"/>
      <w:szCs w:val="24"/>
    </w:rPr>
  </w:style>
  <w:style w:type="paragraph" w:customStyle="1" w:styleId="20">
    <w:name w:val="Char Char Char Char Char Char Char Char Char Char Char Char Char Char Char Char Char Char Char"/>
    <w:basedOn w:val="1"/>
    <w:qFormat/>
    <w:uiPriority w:val="0"/>
    <w:pPr>
      <w:spacing w:line="360" w:lineRule="auto"/>
      <w:ind w:firstLine="200" w:firstLineChars="200"/>
    </w:pPr>
    <w:rPr>
      <w:rFonts w:ascii="宋体" w:hAnsi="宋体" w:eastAsia="宋体" w:cs="宋体"/>
      <w:sz w:val="24"/>
      <w:szCs w:val="22"/>
    </w:rPr>
  </w:style>
  <w:style w:type="character" w:customStyle="1" w:styleId="21">
    <w:name w:val="标题 1 Char"/>
    <w:basedOn w:val="14"/>
    <w:link w:val="2"/>
    <w:qFormat/>
    <w:uiPriority w:val="9"/>
    <w:rPr>
      <w:b/>
      <w:bCs/>
      <w:kern w:val="44"/>
      <w:sz w:val="44"/>
      <w:szCs w:val="44"/>
    </w:rPr>
  </w:style>
  <w:style w:type="paragraph" w:customStyle="1" w:styleId="22">
    <w:name w:val="列出段落1"/>
    <w:basedOn w:val="1"/>
    <w:uiPriority w:val="0"/>
    <w:pPr>
      <w:widowControl/>
      <w:adjustRightInd w:val="0"/>
      <w:snapToGrid w:val="0"/>
      <w:spacing w:after="200"/>
      <w:ind w:firstLine="420" w:firstLineChars="200"/>
      <w:jc w:val="left"/>
    </w:pPr>
    <w:rPr>
      <w:rFonts w:ascii="Tahoma" w:hAnsi="Tahoma" w:eastAsia="微软雅黑" w:cs="黑体"/>
      <w:kern w:val="0"/>
      <w:sz w:val="22"/>
      <w:szCs w:val="22"/>
    </w:rPr>
  </w:style>
  <w:style w:type="character" w:customStyle="1" w:styleId="23">
    <w:name w:val="font51"/>
    <w:basedOn w:val="14"/>
    <w:qFormat/>
    <w:uiPriority w:val="0"/>
    <w:rPr>
      <w:rFonts w:hint="eastAsia" w:ascii="方正小标宋简体" w:hAnsi="方正小标宋简体" w:eastAsia="方正小标宋简体" w:cs="方正小标宋简体"/>
      <w:color w:val="000000"/>
      <w:sz w:val="36"/>
      <w:szCs w:val="36"/>
      <w:u w:val="none"/>
    </w:rPr>
  </w:style>
  <w:style w:type="character" w:customStyle="1" w:styleId="24">
    <w:name w:val="页脚 Char"/>
    <w:basedOn w:val="14"/>
    <w:link w:val="8"/>
    <w:qFormat/>
    <w:uiPriority w:val="0"/>
    <w:rPr>
      <w:rFonts w:asciiTheme="minorHAnsi" w:hAnsiTheme="minorHAnsi" w:eastAsiaTheme="minorEastAsia" w:cstheme="minorBidi"/>
      <w:kern w:val="2"/>
      <w:sz w:val="18"/>
      <w:szCs w:val="24"/>
    </w:rPr>
  </w:style>
  <w:style w:type="character" w:customStyle="1" w:styleId="25">
    <w:name w:val="批注框文本 Char"/>
    <w:basedOn w:val="14"/>
    <w:link w:val="7"/>
    <w:uiPriority w:val="0"/>
    <w:rPr>
      <w:rFonts w:asciiTheme="minorHAnsi" w:hAnsiTheme="minorHAnsi" w:eastAsiaTheme="minorEastAsia" w:cstheme="minorBidi"/>
      <w:kern w:val="2"/>
      <w:sz w:val="18"/>
      <w:szCs w:val="18"/>
    </w:rPr>
  </w:style>
  <w:style w:type="character" w:customStyle="1" w:styleId="26">
    <w:name w:val="页眉 Char"/>
    <w:basedOn w:val="14"/>
    <w:link w:val="9"/>
    <w:qFormat/>
    <w:uiPriority w:val="0"/>
    <w:rPr>
      <w:rFonts w:asciiTheme="minorHAnsi" w:hAnsiTheme="minorHAnsi" w:eastAsiaTheme="minorEastAsia" w:cstheme="minorBidi"/>
      <w:kern w:val="2"/>
      <w:sz w:val="18"/>
      <w:szCs w:val="24"/>
    </w:rPr>
  </w:style>
  <w:style w:type="character" w:customStyle="1" w:styleId="27">
    <w:name w:val="正文文本 Char"/>
    <w:basedOn w:val="14"/>
    <w:link w:val="4"/>
    <w:qFormat/>
    <w:uiPriority w:val="0"/>
    <w:rPr>
      <w:rFonts w:ascii="Calibri" w:hAnsi="Calibri"/>
      <w:kern w:val="2"/>
      <w:sz w:val="24"/>
      <w:szCs w:val="24"/>
    </w:rPr>
  </w:style>
  <w:style w:type="paragraph" w:styleId="28">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9377-0987-43A0-9651-E2EFB33E3FA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996</Words>
  <Characters>5681</Characters>
  <Lines>47</Lines>
  <Paragraphs>13</Paragraphs>
  <TotalTime>535</TotalTime>
  <ScaleCrop>false</ScaleCrop>
  <LinksUpToDate>false</LinksUpToDate>
  <CharactersWithSpaces>6664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杨晓晨</cp:lastModifiedBy>
  <cp:lastPrinted>2020-06-23T02:37:00Z</cp:lastPrinted>
  <dcterms:modified xsi:type="dcterms:W3CDTF">2023-06-29T08:00:57Z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2476994DF8764862A79D6F1B67E858D0</vt:lpwstr>
  </property>
</Properties>
</file>