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国信国际工程咨询集团股份有限公司</w:t>
      </w:r>
    </w:p>
    <w:p>
      <w:r>
        <w:drawing>
          <wp:inline distT="0" distB="0" distL="114300" distR="114300">
            <wp:extent cx="5426710" cy="8680450"/>
            <wp:effectExtent l="0" t="0" r="2540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26710" cy="868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6355080" cy="9067800"/>
            <wp:effectExtent l="0" t="0" r="762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55080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聊城华越有限责任会计师事务所</w:t>
      </w:r>
    </w:p>
    <w:p/>
    <w:p>
      <w:r>
        <w:drawing>
          <wp:inline distT="0" distB="0" distL="114300" distR="114300">
            <wp:extent cx="6083935" cy="8641715"/>
            <wp:effectExtent l="0" t="0" r="12065" b="698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83935" cy="8641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 w:ascii="宋体" w:hAnsi="宋体"/>
          <w:color w:val="000000"/>
          <w:kern w:val="0"/>
          <w:sz w:val="24"/>
          <w:szCs w:val="24"/>
        </w:rPr>
        <w:t>聊城金石有限责任会计师事务所</w:t>
      </w:r>
    </w:p>
    <w:p>
      <w:r>
        <w:drawing>
          <wp:inline distT="0" distB="0" distL="114300" distR="114300">
            <wp:extent cx="6120130" cy="7325995"/>
            <wp:effectExtent l="0" t="0" r="13970" b="825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7325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/>
    <w:p/>
    <w:p/>
    <w:p/>
    <w:p/>
    <w:p>
      <w:pPr>
        <w:rPr>
          <w:rFonts w:hint="eastAsia" w:ascii="宋体" w:hAnsi="宋体"/>
          <w:color w:val="000000"/>
          <w:kern w:val="0"/>
          <w:sz w:val="24"/>
          <w:szCs w:val="24"/>
        </w:rPr>
      </w:pPr>
      <w:r>
        <w:rPr>
          <w:rFonts w:hint="eastAsia" w:ascii="宋体" w:hAnsi="宋体"/>
          <w:color w:val="000000"/>
          <w:kern w:val="0"/>
          <w:sz w:val="24"/>
          <w:szCs w:val="24"/>
        </w:rPr>
        <w:t>山东泰源会计师事务所有限公司</w:t>
      </w:r>
    </w:p>
    <w:p>
      <w:r>
        <w:drawing>
          <wp:inline distT="0" distB="0" distL="114300" distR="114300">
            <wp:extent cx="5753100" cy="7315200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731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/>
    <w:p/>
    <w:p/>
    <w:p/>
    <w:p/>
    <w:p/>
    <w:p>
      <w:pPr>
        <w:rPr>
          <w:rFonts w:hint="eastAsia" w:ascii="宋体" w:hAnsi="宋体"/>
          <w:color w:val="000000"/>
          <w:kern w:val="0"/>
          <w:sz w:val="24"/>
          <w:szCs w:val="24"/>
        </w:rPr>
      </w:pPr>
      <w:r>
        <w:rPr>
          <w:rFonts w:hint="eastAsia" w:ascii="宋体" w:hAnsi="宋体"/>
          <w:color w:val="000000"/>
          <w:kern w:val="0"/>
          <w:sz w:val="24"/>
          <w:szCs w:val="24"/>
        </w:rPr>
        <w:t>聊城正坤有限责任会计师事务所</w:t>
      </w:r>
    </w:p>
    <w:p>
      <w:r>
        <w:drawing>
          <wp:inline distT="0" distB="0" distL="114300" distR="114300">
            <wp:extent cx="5667375" cy="7734300"/>
            <wp:effectExtent l="0" t="0" r="9525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67375" cy="773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/>
    <w:p/>
    <w:p/>
    <w:p>
      <w:pPr>
        <w:rPr>
          <w:rFonts w:hint="eastAsia" w:ascii="宋体" w:hAnsi="宋体"/>
          <w:color w:val="000000"/>
          <w:kern w:val="0"/>
          <w:sz w:val="24"/>
          <w:szCs w:val="24"/>
        </w:rPr>
      </w:pPr>
      <w:r>
        <w:rPr>
          <w:rFonts w:hint="eastAsia" w:ascii="宋体" w:hAnsi="宋体"/>
          <w:color w:val="000000"/>
          <w:kern w:val="0"/>
          <w:sz w:val="24"/>
          <w:szCs w:val="24"/>
        </w:rPr>
        <w:t>聊城正原有限责任会计师事务所</w:t>
      </w:r>
    </w:p>
    <w:p>
      <w:r>
        <w:drawing>
          <wp:inline distT="0" distB="0" distL="114300" distR="114300">
            <wp:extent cx="6118860" cy="7075805"/>
            <wp:effectExtent l="0" t="0" r="15240" b="1079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18860" cy="7075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/>
    <w:p/>
    <w:p/>
    <w:p/>
    <w:p/>
    <w:p/>
    <w:p/>
    <w:p>
      <w:r>
        <w:rPr>
          <w:rFonts w:hint="eastAsia" w:ascii="宋体" w:hAnsi="宋体"/>
          <w:color w:val="000000"/>
          <w:kern w:val="0"/>
          <w:sz w:val="24"/>
          <w:szCs w:val="24"/>
        </w:rPr>
        <w:t>聊城鼎志会计师事务所有限公司</w:t>
      </w:r>
    </w:p>
    <w:p>
      <w:r>
        <w:drawing>
          <wp:inline distT="0" distB="0" distL="114300" distR="114300">
            <wp:extent cx="5934075" cy="7781925"/>
            <wp:effectExtent l="0" t="0" r="9525" b="952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34075" cy="778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/>
    <w:p/>
    <w:p/>
    <w:p>
      <w:pPr>
        <w:rPr>
          <w:rFonts w:hint="eastAsia" w:ascii="宋体" w:hAnsi="宋体"/>
          <w:color w:val="000000"/>
          <w:kern w:val="0"/>
          <w:sz w:val="24"/>
          <w:szCs w:val="24"/>
        </w:rPr>
      </w:pPr>
      <w:r>
        <w:rPr>
          <w:rFonts w:hint="eastAsia" w:ascii="宋体" w:hAnsi="宋体"/>
          <w:color w:val="000000"/>
          <w:kern w:val="0"/>
          <w:sz w:val="24"/>
          <w:szCs w:val="24"/>
        </w:rPr>
        <w:t>济南拓达会计师事务所（普通合伙）</w:t>
      </w:r>
    </w:p>
    <w:p>
      <w:pPr>
        <w:rPr>
          <w:rFonts w:hint="eastAsia" w:ascii="宋体" w:hAnsi="宋体"/>
          <w:color w:val="000000"/>
          <w:kern w:val="0"/>
          <w:sz w:val="24"/>
          <w:szCs w:val="24"/>
        </w:rPr>
      </w:pPr>
      <w:r>
        <w:drawing>
          <wp:inline distT="0" distB="0" distL="114300" distR="114300">
            <wp:extent cx="5553075" cy="7372350"/>
            <wp:effectExtent l="0" t="0" r="9525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553075" cy="737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Y5ZjU3NWU1Zjk2MDBlZDZhNTdhYzc4MmNkNGZiZTEifQ=="/>
  </w:docVars>
  <w:rsids>
    <w:rsidRoot w:val="00000000"/>
    <w:rsid w:val="019828F0"/>
    <w:rsid w:val="04BE3687"/>
    <w:rsid w:val="10A67BAB"/>
    <w:rsid w:val="183159A2"/>
    <w:rsid w:val="18B709D2"/>
    <w:rsid w:val="1AB93607"/>
    <w:rsid w:val="1B750299"/>
    <w:rsid w:val="278E7D8B"/>
    <w:rsid w:val="51181405"/>
    <w:rsid w:val="5224628B"/>
    <w:rsid w:val="6A362A30"/>
    <w:rsid w:val="6AB06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2023-08-17T09:05:00Z</dcterms:created>
  <dc:creator>LENOVO</dc:creator>
  <cp:lastModifiedBy>NTKO</cp:lastModifiedBy>
  <dcterms:modified xsi:type="dcterms:W3CDTF">2023-09-25T08:46:19Z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3654B91446D348F3B411B998EF7B2004_12</vt:lpwstr>
  </property>
</Properties>
</file>