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7740"/>
        </w:tabs>
        <w:adjustRightInd w:val="0"/>
        <w:snapToGrid w:val="0"/>
        <w:spacing w:before="120" w:beforeLines="50" w:after="120" w:afterLines="50" w:line="700" w:lineRule="exact"/>
        <w:jc w:val="center"/>
        <w:rPr>
          <w:rFonts w:hint="eastAsia" w:ascii="楷体" w:hAnsi="楷体" w:eastAsia="楷体"/>
          <w:b/>
          <w:bCs/>
          <w:color w:val="auto"/>
          <w:sz w:val="44"/>
          <w:szCs w:val="32"/>
          <w:highlight w:val="none"/>
        </w:rPr>
      </w:pPr>
    </w:p>
    <w:p>
      <w:pPr>
        <w:tabs>
          <w:tab w:val="left" w:pos="7740"/>
        </w:tabs>
        <w:adjustRightInd w:val="0"/>
        <w:snapToGrid w:val="0"/>
        <w:spacing w:before="120" w:beforeLines="50" w:after="120" w:afterLines="50" w:line="700" w:lineRule="exact"/>
        <w:jc w:val="center"/>
        <w:rPr>
          <w:rFonts w:hint="eastAsia" w:ascii="楷体" w:hAnsi="楷体" w:eastAsia="楷体"/>
          <w:b/>
          <w:bCs/>
          <w:color w:val="auto"/>
          <w:sz w:val="36"/>
          <w:szCs w:val="24"/>
          <w:highlight w:val="none"/>
          <w:lang w:eastAsia="zh-CN"/>
        </w:rPr>
      </w:pPr>
      <w:r>
        <w:rPr>
          <w:rFonts w:hint="eastAsia" w:ascii="楷体" w:hAnsi="楷体" w:eastAsia="楷体"/>
          <w:b/>
          <w:bCs/>
          <w:color w:val="auto"/>
          <w:sz w:val="36"/>
          <w:szCs w:val="24"/>
          <w:highlight w:val="none"/>
          <w:lang w:eastAsia="zh-CN"/>
        </w:rPr>
        <w:t>聊城市县级体育公园智能体育器材配备项目</w:t>
      </w:r>
    </w:p>
    <w:p>
      <w:pPr>
        <w:tabs>
          <w:tab w:val="left" w:pos="7740"/>
        </w:tabs>
        <w:adjustRightInd w:val="0"/>
        <w:snapToGrid w:val="0"/>
        <w:spacing w:before="120" w:beforeLines="50" w:after="120" w:afterLines="50" w:line="700" w:lineRule="exact"/>
        <w:jc w:val="center"/>
        <w:rPr>
          <w:rFonts w:hint="eastAsia" w:ascii="楷体" w:hAnsi="楷体" w:eastAsia="楷体"/>
          <w:b/>
          <w:color w:val="auto"/>
          <w:sz w:val="28"/>
          <w:szCs w:val="24"/>
          <w:highlight w:val="none"/>
        </w:rPr>
      </w:pPr>
      <w:r>
        <w:rPr>
          <w:rFonts w:hint="eastAsia" w:ascii="楷体" w:hAnsi="楷体" w:eastAsia="楷体"/>
          <w:b/>
          <w:color w:val="auto"/>
          <w:sz w:val="28"/>
          <w:szCs w:val="24"/>
          <w:highlight w:val="none"/>
        </w:rPr>
        <w:t>（货 物）</w:t>
      </w:r>
    </w:p>
    <w:p>
      <w:pPr>
        <w:tabs>
          <w:tab w:val="left" w:pos="9240"/>
        </w:tabs>
        <w:jc w:val="center"/>
        <w:rPr>
          <w:rFonts w:ascii="楷体" w:hAnsi="楷体" w:eastAsia="楷体"/>
          <w:b/>
          <w:color w:val="auto"/>
          <w:spacing w:val="-20"/>
          <w:sz w:val="110"/>
          <w:szCs w:val="110"/>
          <w:highlight w:val="none"/>
        </w:rPr>
      </w:pPr>
      <w:r>
        <w:rPr>
          <w:rFonts w:ascii="楷体" w:hAnsi="楷体" w:eastAsia="楷体"/>
          <w:b/>
          <w:color w:val="auto"/>
          <w:spacing w:val="-20"/>
          <w:sz w:val="110"/>
          <w:szCs w:val="110"/>
          <w:highlight w:val="none"/>
        </w:rPr>
        <w:t>招 标 文 件</w:t>
      </w:r>
    </w:p>
    <w:p>
      <w:pPr>
        <w:tabs>
          <w:tab w:val="left" w:pos="5190"/>
        </w:tabs>
        <w:spacing w:before="120" w:beforeLines="50" w:after="120" w:afterLines="50"/>
        <w:jc w:val="center"/>
        <w:rPr>
          <w:rFonts w:ascii="楷体" w:hAnsi="楷体" w:eastAsia="楷体"/>
          <w:b/>
          <w:color w:val="auto"/>
          <w:sz w:val="30"/>
          <w:szCs w:val="30"/>
          <w:highlight w:val="none"/>
        </w:rPr>
      </w:pPr>
      <w:r>
        <w:rPr>
          <w:rFonts w:ascii="楷体" w:hAnsi="楷体" w:eastAsia="楷体"/>
          <w:b/>
          <w:color w:val="auto"/>
          <w:sz w:val="30"/>
          <w:szCs w:val="30"/>
          <w:highlight w:val="none"/>
        </w:rPr>
        <w:t>（招标编号：</w:t>
      </w:r>
      <w:r>
        <w:rPr>
          <w:rFonts w:hint="eastAsia" w:ascii="楷体" w:hAnsi="楷体" w:eastAsia="楷体"/>
          <w:b/>
          <w:color w:val="auto"/>
          <w:sz w:val="30"/>
          <w:szCs w:val="30"/>
          <w:highlight w:val="none"/>
          <w:lang w:eastAsia="zh-CN"/>
        </w:rPr>
        <w:t>SDGP371500000202302000455</w:t>
      </w:r>
      <w:r>
        <w:rPr>
          <w:rFonts w:ascii="楷体" w:hAnsi="楷体" w:eastAsia="楷体"/>
          <w:b/>
          <w:color w:val="auto"/>
          <w:sz w:val="30"/>
          <w:szCs w:val="30"/>
          <w:highlight w:val="none"/>
        </w:rPr>
        <w:t>）</w:t>
      </w:r>
    </w:p>
    <w:p>
      <w:pPr>
        <w:tabs>
          <w:tab w:val="left" w:pos="5190"/>
        </w:tabs>
        <w:spacing w:before="120" w:beforeLines="50" w:after="120" w:afterLines="50"/>
        <w:jc w:val="center"/>
        <w:rPr>
          <w:rFonts w:hint="eastAsia" w:ascii="楷体" w:hAnsi="楷体" w:eastAsia="楷体"/>
          <w:b/>
          <w:color w:val="auto"/>
          <w:sz w:val="30"/>
          <w:szCs w:val="30"/>
          <w:highlight w:val="none"/>
          <w:lang w:val="en-US" w:eastAsia="zh-CN"/>
        </w:rPr>
      </w:pPr>
      <w:r>
        <w:rPr>
          <w:rFonts w:hint="eastAsia" w:ascii="楷体" w:hAnsi="楷体" w:eastAsia="楷体"/>
          <w:b/>
          <w:color w:val="auto"/>
          <w:sz w:val="30"/>
          <w:szCs w:val="30"/>
          <w:highlight w:val="none"/>
          <w:lang w:val="en-US" w:eastAsia="zh-CN"/>
        </w:rPr>
        <w:t>（项目编号：LCZFCG-2023-144）</w:t>
      </w:r>
    </w:p>
    <w:p>
      <w:pPr>
        <w:adjustRightInd w:val="0"/>
        <w:snapToGrid w:val="0"/>
        <w:jc w:val="center"/>
        <w:rPr>
          <w:rFonts w:hint="eastAsia" w:ascii="楷体" w:hAnsi="楷体" w:eastAsia="楷体"/>
          <w:color w:val="auto"/>
          <w:highlight w:val="none"/>
        </w:rPr>
      </w:pPr>
      <w:r>
        <w:rPr>
          <w:color w:val="auto"/>
          <w:highlight w:val="none"/>
        </w:rPr>
        <w:drawing>
          <wp:inline distT="0" distB="0" distL="114300" distR="114300">
            <wp:extent cx="4688205" cy="3124200"/>
            <wp:effectExtent l="0" t="0" r="5715" b="0"/>
            <wp:docPr id="8" name="图片 5" descr="C:\Users\Administrator\Desktop\图片3.png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C:\Users\Administrator\Desktop\图片3.png图片3"/>
                    <pic:cNvPicPr>
                      <a:picLocks noChangeAspect="1"/>
                    </pic:cNvPicPr>
                  </pic:nvPicPr>
                  <pic:blipFill>
                    <a:blip r:embed="rId13"/>
                    <a:stretch>
                      <a:fillRect/>
                    </a:stretch>
                  </pic:blipFill>
                  <pic:spPr>
                    <a:xfrm>
                      <a:off x="0" y="0"/>
                      <a:ext cx="4688205" cy="3124200"/>
                    </a:xfrm>
                    <a:prstGeom prst="rect">
                      <a:avLst/>
                    </a:prstGeom>
                    <a:noFill/>
                    <a:ln>
                      <a:noFill/>
                    </a:ln>
                  </pic:spPr>
                </pic:pic>
              </a:graphicData>
            </a:graphic>
          </wp:inline>
        </w:drawing>
      </w:r>
    </w:p>
    <w:p>
      <w:pPr>
        <w:adjustRightInd w:val="0"/>
        <w:snapToGrid w:val="0"/>
        <w:jc w:val="center"/>
        <w:rPr>
          <w:rFonts w:hint="eastAsia" w:ascii="楷体" w:hAnsi="楷体" w:eastAsia="楷体"/>
          <w:color w:val="auto"/>
          <w:highlight w:val="none"/>
        </w:rPr>
      </w:pPr>
    </w:p>
    <w:p>
      <w:pPr>
        <w:pStyle w:val="2"/>
        <w:rPr>
          <w:rFonts w:hint="eastAsia" w:ascii="楷体" w:hAnsi="楷体" w:eastAsia="楷体"/>
          <w:color w:val="auto"/>
          <w:highlight w:val="none"/>
        </w:rPr>
      </w:pPr>
    </w:p>
    <w:p>
      <w:pPr>
        <w:rPr>
          <w:rFonts w:hint="eastAsia" w:ascii="楷体" w:hAnsi="楷体" w:eastAsia="楷体"/>
          <w:color w:val="auto"/>
          <w:highlight w:val="none"/>
        </w:rPr>
      </w:pPr>
    </w:p>
    <w:p>
      <w:pPr>
        <w:pStyle w:val="2"/>
        <w:rPr>
          <w:rFonts w:hint="eastAsia"/>
          <w:color w:val="auto"/>
          <w:highlight w:val="none"/>
        </w:rPr>
      </w:pPr>
    </w:p>
    <w:p>
      <w:pPr>
        <w:adjustRightInd w:val="0"/>
        <w:snapToGrid w:val="0"/>
        <w:spacing w:before="120" w:beforeLines="50" w:line="480" w:lineRule="auto"/>
        <w:ind w:right="1514" w:rightChars="721" w:firstLine="1807" w:firstLineChars="600"/>
        <w:rPr>
          <w:rFonts w:hint="eastAsia" w:ascii="楷体" w:hAnsi="楷体" w:eastAsia="楷体"/>
          <w:b/>
          <w:bCs/>
          <w:color w:val="auto"/>
          <w:sz w:val="30"/>
          <w:szCs w:val="30"/>
          <w:highlight w:val="none"/>
          <w:u w:val="single"/>
          <w:lang w:eastAsia="zh-CN"/>
        </w:rPr>
      </w:pPr>
      <w:r>
        <w:rPr>
          <w:rFonts w:ascii="楷体" w:hAnsi="楷体" w:eastAsia="楷体"/>
          <w:b/>
          <w:color w:val="auto"/>
          <w:sz w:val="30"/>
          <w:szCs w:val="30"/>
          <w:highlight w:val="none"/>
        </w:rPr>
        <w:t>招 标 人：</w:t>
      </w:r>
      <w:r>
        <w:rPr>
          <w:rFonts w:hint="eastAsia" w:ascii="楷体" w:hAnsi="楷体" w:eastAsia="楷体"/>
          <w:b/>
          <w:color w:val="auto"/>
          <w:sz w:val="30"/>
          <w:szCs w:val="30"/>
          <w:highlight w:val="none"/>
          <w:u w:val="single"/>
          <w:lang w:eastAsia="zh-CN"/>
        </w:rPr>
        <w:t>聊城市教育和体育局</w:t>
      </w:r>
    </w:p>
    <w:p>
      <w:pPr>
        <w:tabs>
          <w:tab w:val="left" w:pos="6660"/>
        </w:tabs>
        <w:adjustRightInd w:val="0"/>
        <w:snapToGrid w:val="0"/>
        <w:spacing w:line="480" w:lineRule="auto"/>
        <w:ind w:left="3115" w:leftChars="878" w:right="1567" w:rightChars="746" w:hanging="1271" w:hangingChars="422"/>
        <w:jc w:val="left"/>
        <w:rPr>
          <w:rFonts w:hint="eastAsia" w:ascii="楷体" w:hAnsi="楷体" w:eastAsia="楷体"/>
          <w:b/>
          <w:color w:val="auto"/>
          <w:sz w:val="30"/>
          <w:szCs w:val="30"/>
          <w:highlight w:val="none"/>
          <w:u w:val="single"/>
        </w:rPr>
      </w:pPr>
      <w:r>
        <w:rPr>
          <w:rFonts w:ascii="楷体" w:hAnsi="楷体" w:eastAsia="楷体"/>
          <w:b/>
          <w:color w:val="auto"/>
          <w:sz w:val="30"/>
          <w:szCs w:val="30"/>
          <w:highlight w:val="none"/>
        </w:rPr>
        <w:t>代理机构：</w:t>
      </w:r>
      <w:r>
        <w:rPr>
          <w:rFonts w:hint="eastAsia" w:ascii="楷体" w:hAnsi="楷体" w:eastAsia="楷体"/>
          <w:b/>
          <w:color w:val="auto"/>
          <w:sz w:val="30"/>
          <w:szCs w:val="30"/>
          <w:highlight w:val="none"/>
          <w:u w:val="single"/>
        </w:rPr>
        <w:t>山东众合项目咨询有限公司</w:t>
      </w:r>
    </w:p>
    <w:p>
      <w:pPr>
        <w:tabs>
          <w:tab w:val="left" w:pos="6660"/>
        </w:tabs>
        <w:adjustRightInd w:val="0"/>
        <w:snapToGrid w:val="0"/>
        <w:spacing w:line="480" w:lineRule="auto"/>
        <w:ind w:left="3115" w:leftChars="878" w:right="1567" w:rightChars="746" w:hanging="1271" w:hangingChars="422"/>
        <w:jc w:val="left"/>
        <w:rPr>
          <w:rFonts w:hint="eastAsia" w:ascii="楷体" w:hAnsi="楷体" w:eastAsia="楷体"/>
          <w:b/>
          <w:color w:val="auto"/>
          <w:sz w:val="30"/>
          <w:szCs w:val="30"/>
          <w:highlight w:val="none"/>
          <w:u w:val="single"/>
        </w:rPr>
      </w:pPr>
      <w:r>
        <w:rPr>
          <w:rFonts w:ascii="楷体" w:hAnsi="楷体" w:eastAsia="楷体"/>
          <w:b/>
          <w:color w:val="auto"/>
          <w:sz w:val="30"/>
          <w:szCs w:val="30"/>
          <w:highlight w:val="none"/>
        </w:rPr>
        <w:t xml:space="preserve">日    期: </w:t>
      </w:r>
      <w:r>
        <w:rPr>
          <w:rFonts w:hint="eastAsia" w:ascii="楷体" w:hAnsi="楷体" w:eastAsia="楷体"/>
          <w:b/>
          <w:color w:val="auto"/>
          <w:sz w:val="30"/>
          <w:szCs w:val="30"/>
          <w:highlight w:val="none"/>
          <w:u w:val="single"/>
        </w:rPr>
        <w:t>202</w:t>
      </w:r>
      <w:r>
        <w:rPr>
          <w:rFonts w:hint="eastAsia" w:ascii="楷体" w:hAnsi="楷体" w:eastAsia="楷体"/>
          <w:b/>
          <w:color w:val="auto"/>
          <w:sz w:val="30"/>
          <w:szCs w:val="30"/>
          <w:highlight w:val="none"/>
          <w:u w:val="single"/>
          <w:lang w:val="en-US" w:eastAsia="zh-CN"/>
        </w:rPr>
        <w:t>3</w:t>
      </w:r>
      <w:r>
        <w:rPr>
          <w:rFonts w:ascii="楷体" w:hAnsi="楷体" w:eastAsia="楷体"/>
          <w:b/>
          <w:color w:val="auto"/>
          <w:sz w:val="30"/>
          <w:szCs w:val="30"/>
          <w:highlight w:val="none"/>
          <w:u w:val="single"/>
        </w:rPr>
        <w:t>年</w:t>
      </w:r>
      <w:r>
        <w:rPr>
          <w:rFonts w:hint="eastAsia" w:ascii="楷体" w:hAnsi="楷体" w:eastAsia="楷体"/>
          <w:b/>
          <w:color w:val="auto"/>
          <w:sz w:val="30"/>
          <w:szCs w:val="30"/>
          <w:highlight w:val="none"/>
          <w:u w:val="single"/>
        </w:rPr>
        <w:t>0</w:t>
      </w:r>
      <w:r>
        <w:rPr>
          <w:rFonts w:hint="eastAsia" w:ascii="楷体" w:hAnsi="楷体" w:eastAsia="楷体"/>
          <w:b/>
          <w:color w:val="auto"/>
          <w:sz w:val="30"/>
          <w:szCs w:val="30"/>
          <w:highlight w:val="none"/>
          <w:u w:val="single"/>
          <w:lang w:val="en-US" w:eastAsia="zh-CN"/>
        </w:rPr>
        <w:t>8</w:t>
      </w:r>
      <w:r>
        <w:rPr>
          <w:rFonts w:ascii="楷体" w:hAnsi="楷体" w:eastAsia="楷体"/>
          <w:b/>
          <w:color w:val="auto"/>
          <w:sz w:val="30"/>
          <w:szCs w:val="30"/>
          <w:highlight w:val="none"/>
          <w:u w:val="single"/>
        </w:rPr>
        <w:t>月</w:t>
      </w:r>
    </w:p>
    <w:p>
      <w:pPr>
        <w:pStyle w:val="50"/>
        <w:spacing w:after="0" w:line="480" w:lineRule="exact"/>
        <w:textAlignment w:val="center"/>
        <w:rPr>
          <w:rFonts w:hint="eastAsia" w:ascii="Times New Roman" w:hAnsi="Times New Roman"/>
          <w:b w:val="0"/>
          <w:color w:val="auto"/>
          <w:sz w:val="36"/>
          <w:szCs w:val="36"/>
          <w:highlight w:val="none"/>
          <w:lang w:eastAsia="zh-CN"/>
        </w:rPr>
      </w:pPr>
    </w:p>
    <w:p>
      <w:pPr>
        <w:rPr>
          <w:rFonts w:hint="eastAsia"/>
          <w:lang w:eastAsia="zh-CN"/>
        </w:rPr>
        <w:sectPr>
          <w:headerReference r:id="rId4" w:type="first"/>
          <w:headerReference r:id="rId3" w:type="default"/>
          <w:footerReference r:id="rId5" w:type="default"/>
          <w:pgSz w:w="11906" w:h="16838"/>
          <w:pgMar w:top="1134" w:right="1417" w:bottom="1134" w:left="1417" w:header="794" w:footer="737" w:gutter="0"/>
          <w:cols w:space="0" w:num="1"/>
          <w:titlePg/>
          <w:rtlGutter w:val="0"/>
          <w:docGrid w:linePitch="312" w:charSpace="0"/>
        </w:sectPr>
      </w:pPr>
    </w:p>
    <w:p>
      <w:pPr>
        <w:rPr>
          <w:rFonts w:hint="eastAsia"/>
          <w:lang w:eastAsia="zh-CN"/>
        </w:rPr>
      </w:pPr>
    </w:p>
    <w:p>
      <w:pPr>
        <w:pStyle w:val="50"/>
        <w:spacing w:after="0" w:line="480" w:lineRule="exact"/>
        <w:textAlignment w:val="center"/>
        <w:rPr>
          <w:rFonts w:ascii="Times New Roman" w:hAnsi="Times New Roman"/>
          <w:b w:val="0"/>
          <w:color w:val="auto"/>
          <w:sz w:val="36"/>
          <w:szCs w:val="36"/>
          <w:highlight w:val="none"/>
          <w:lang w:eastAsia="zh-CN"/>
        </w:rPr>
      </w:pPr>
      <w:r>
        <w:rPr>
          <w:rFonts w:ascii="Times New Roman" w:hAnsi="Times New Roman"/>
          <w:b w:val="0"/>
          <w:color w:val="auto"/>
          <w:sz w:val="36"/>
          <w:szCs w:val="36"/>
          <w:highlight w:val="none"/>
        </w:rPr>
        <w:t>目     录</w:t>
      </w:r>
    </w:p>
    <w:p>
      <w:pPr>
        <w:spacing w:line="480" w:lineRule="exact"/>
        <w:textAlignment w:val="center"/>
        <w:rPr>
          <w:color w:val="auto"/>
          <w:sz w:val="24"/>
          <w:highlight w:val="none"/>
        </w:rPr>
      </w:pPr>
    </w:p>
    <w:p>
      <w:pPr>
        <w:pStyle w:val="50"/>
        <w:spacing w:line="600" w:lineRule="exact"/>
        <w:rPr>
          <w:b w:val="0"/>
          <w:bCs w:val="0"/>
          <w:caps w:val="0"/>
          <w:color w:val="auto"/>
          <w:szCs w:val="22"/>
          <w:highlight w:val="none"/>
          <w:lang w:val="en-US" w:eastAsia="zh-CN"/>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"1-2" \h \z \u </w:instrText>
      </w:r>
      <w:r>
        <w:rPr>
          <w:rFonts w:ascii="Times New Roman" w:hAnsi="Times New Roman"/>
          <w:b w:val="0"/>
          <w:color w:val="auto"/>
          <w:highlight w:val="none"/>
        </w:rPr>
        <w:fldChar w:fldCharType="separate"/>
      </w:r>
      <w:r>
        <w:rPr>
          <w:color w:val="auto"/>
          <w:highlight w:val="none"/>
        </w:rPr>
        <w:fldChar w:fldCharType="begin"/>
      </w:r>
      <w:r>
        <w:rPr>
          <w:rStyle w:val="84"/>
          <w:rFonts w:ascii="宋体" w:hAnsi="宋体" w:eastAsia="宋体"/>
          <w:color w:val="auto"/>
          <w:highlight w:val="none"/>
        </w:rPr>
        <w:instrText xml:space="preserve"> </w:instrText>
      </w:r>
      <w:r>
        <w:rPr>
          <w:color w:val="auto"/>
          <w:highlight w:val="none"/>
        </w:rPr>
        <w:instrText xml:space="preserve">HYPERLINK \l "_Toc499564657"</w:instrText>
      </w:r>
      <w:r>
        <w:rPr>
          <w:rStyle w:val="84"/>
          <w:rFonts w:ascii="宋体" w:hAnsi="宋体" w:eastAsia="宋体"/>
          <w:color w:val="auto"/>
          <w:highlight w:val="none"/>
        </w:rPr>
        <w:instrText xml:space="preserve"> </w:instrText>
      </w:r>
      <w:r>
        <w:rPr>
          <w:color w:val="auto"/>
          <w:highlight w:val="none"/>
        </w:rPr>
        <w:fldChar w:fldCharType="separate"/>
      </w:r>
      <w:r>
        <w:rPr>
          <w:rStyle w:val="84"/>
          <w:rFonts w:ascii="宋体" w:hAnsi="宋体" w:eastAsia="宋体"/>
          <w:color w:val="auto"/>
          <w:highlight w:val="none"/>
        </w:rPr>
        <w:t>第一部分 招</w:t>
      </w:r>
      <w:r>
        <w:rPr>
          <w:rStyle w:val="84"/>
          <w:rFonts w:hint="eastAsia" w:ascii="宋体" w:hAnsi="宋体" w:eastAsia="宋体" w:cs="宋体"/>
          <w:color w:val="auto"/>
          <w:highlight w:val="none"/>
        </w:rPr>
        <w:t>标</w:t>
      </w:r>
      <w:r>
        <w:rPr>
          <w:rStyle w:val="84"/>
          <w:rFonts w:hint="eastAsia" w:ascii="宋体" w:hAnsi="宋体" w:eastAsia="宋体" w:cs="Dotum"/>
          <w:color w:val="auto"/>
          <w:highlight w:val="none"/>
        </w:rPr>
        <w:t>公告</w:t>
      </w:r>
      <w:r>
        <w:rPr>
          <w:color w:val="auto"/>
          <w:highlight w:val="none"/>
        </w:rPr>
        <w:tab/>
      </w:r>
      <w:r>
        <w:rPr>
          <w:color w:val="auto"/>
          <w:highlight w:val="none"/>
        </w:rPr>
        <w:fldChar w:fldCharType="begin"/>
      </w:r>
      <w:r>
        <w:rPr>
          <w:color w:val="auto"/>
          <w:highlight w:val="none"/>
        </w:rPr>
        <w:instrText xml:space="preserve"> PAGEREF _Toc499564657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pPr>
        <w:pStyle w:val="50"/>
        <w:spacing w:line="600" w:lineRule="exact"/>
        <w:rPr>
          <w:b w:val="0"/>
          <w:bCs w:val="0"/>
          <w:caps w:val="0"/>
          <w:color w:val="auto"/>
          <w:szCs w:val="22"/>
          <w:highlight w:val="none"/>
          <w:lang w:val="en-US" w:eastAsia="zh-CN"/>
        </w:rPr>
      </w:pPr>
      <w:r>
        <w:rPr>
          <w:color w:val="auto"/>
          <w:highlight w:val="none"/>
        </w:rPr>
        <w:fldChar w:fldCharType="begin"/>
      </w:r>
      <w:r>
        <w:rPr>
          <w:rStyle w:val="84"/>
          <w:rFonts w:ascii="宋体" w:hAnsi="宋体" w:eastAsia="宋体"/>
          <w:color w:val="auto"/>
          <w:highlight w:val="none"/>
        </w:rPr>
        <w:instrText xml:space="preserve"> </w:instrText>
      </w:r>
      <w:r>
        <w:rPr>
          <w:color w:val="auto"/>
          <w:highlight w:val="none"/>
        </w:rPr>
        <w:instrText xml:space="preserve">HYPERLINK \l "_Toc499564658"</w:instrText>
      </w:r>
      <w:r>
        <w:rPr>
          <w:rStyle w:val="84"/>
          <w:rFonts w:ascii="宋体" w:hAnsi="宋体" w:eastAsia="宋体"/>
          <w:color w:val="auto"/>
          <w:highlight w:val="none"/>
        </w:rPr>
        <w:instrText xml:space="preserve"> </w:instrText>
      </w:r>
      <w:r>
        <w:rPr>
          <w:color w:val="auto"/>
          <w:highlight w:val="none"/>
        </w:rPr>
        <w:fldChar w:fldCharType="separate"/>
      </w:r>
      <w:r>
        <w:rPr>
          <w:rStyle w:val="84"/>
          <w:rFonts w:ascii="宋体" w:hAnsi="宋体" w:eastAsia="宋体"/>
          <w:color w:val="auto"/>
          <w:highlight w:val="none"/>
        </w:rPr>
        <w:t>第二部分  投</w:t>
      </w:r>
      <w:r>
        <w:rPr>
          <w:rStyle w:val="84"/>
          <w:rFonts w:hint="eastAsia" w:ascii="宋体" w:hAnsi="宋体" w:eastAsia="宋体" w:cs="宋体"/>
          <w:color w:val="auto"/>
          <w:highlight w:val="none"/>
        </w:rPr>
        <w:t>标</w:t>
      </w:r>
      <w:r>
        <w:rPr>
          <w:rStyle w:val="84"/>
          <w:rFonts w:hint="eastAsia" w:ascii="宋体" w:hAnsi="宋体" w:eastAsia="宋体" w:cs="Dotum"/>
          <w:color w:val="auto"/>
          <w:highlight w:val="none"/>
        </w:rPr>
        <w:t>人</w:t>
      </w:r>
      <w:r>
        <w:rPr>
          <w:rStyle w:val="84"/>
          <w:rFonts w:hint="eastAsia" w:ascii="宋体" w:hAnsi="宋体" w:eastAsia="宋体" w:cs="宋体"/>
          <w:color w:val="auto"/>
          <w:highlight w:val="none"/>
        </w:rPr>
        <w:t>须</w:t>
      </w:r>
      <w:r>
        <w:rPr>
          <w:rStyle w:val="84"/>
          <w:rFonts w:hint="eastAsia" w:ascii="宋体" w:hAnsi="宋体" w:eastAsia="宋体" w:cs="Dotum"/>
          <w:color w:val="auto"/>
          <w:highlight w:val="none"/>
        </w:rPr>
        <w:t>知</w:t>
      </w:r>
      <w:r>
        <w:rPr>
          <w:color w:val="auto"/>
          <w:highlight w:val="none"/>
        </w:rPr>
        <w:tab/>
      </w:r>
      <w:r>
        <w:rPr>
          <w:color w:val="auto"/>
          <w:highlight w:val="none"/>
        </w:rPr>
        <w:fldChar w:fldCharType="begin"/>
      </w:r>
      <w:r>
        <w:rPr>
          <w:color w:val="auto"/>
          <w:highlight w:val="none"/>
        </w:rPr>
        <w:instrText xml:space="preserve"> PAGEREF _Toc499564658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pPr>
        <w:pStyle w:val="50"/>
        <w:spacing w:line="600" w:lineRule="exact"/>
        <w:rPr>
          <w:b w:val="0"/>
          <w:bCs w:val="0"/>
          <w:caps w:val="0"/>
          <w:color w:val="auto"/>
          <w:szCs w:val="22"/>
          <w:highlight w:val="none"/>
          <w:lang w:val="en-US" w:eastAsia="zh-CN"/>
        </w:rPr>
      </w:pPr>
      <w:r>
        <w:rPr>
          <w:color w:val="auto"/>
          <w:highlight w:val="none"/>
        </w:rPr>
        <w:fldChar w:fldCharType="begin"/>
      </w:r>
      <w:r>
        <w:rPr>
          <w:rStyle w:val="84"/>
          <w:rFonts w:ascii="宋体" w:hAnsi="宋体" w:eastAsia="宋体"/>
          <w:color w:val="auto"/>
          <w:highlight w:val="none"/>
        </w:rPr>
        <w:instrText xml:space="preserve"> </w:instrText>
      </w:r>
      <w:r>
        <w:rPr>
          <w:color w:val="auto"/>
          <w:highlight w:val="none"/>
        </w:rPr>
        <w:instrText xml:space="preserve">HYPERLINK \l "_Toc499564659"</w:instrText>
      </w:r>
      <w:r>
        <w:rPr>
          <w:rStyle w:val="84"/>
          <w:rFonts w:ascii="宋体" w:hAnsi="宋体" w:eastAsia="宋体"/>
          <w:color w:val="auto"/>
          <w:highlight w:val="none"/>
        </w:rPr>
        <w:instrText xml:space="preserve"> </w:instrText>
      </w:r>
      <w:r>
        <w:rPr>
          <w:color w:val="auto"/>
          <w:highlight w:val="none"/>
        </w:rPr>
        <w:fldChar w:fldCharType="separate"/>
      </w:r>
      <w:r>
        <w:rPr>
          <w:rStyle w:val="84"/>
          <w:rFonts w:ascii="宋体" w:hAnsi="宋体" w:eastAsia="宋体"/>
          <w:color w:val="auto"/>
          <w:highlight w:val="none"/>
        </w:rPr>
        <w:t xml:space="preserve">第三部分  </w:t>
      </w:r>
      <w:r>
        <w:rPr>
          <w:rStyle w:val="84"/>
          <w:rFonts w:hint="eastAsia" w:ascii="宋体" w:hAnsi="宋体" w:eastAsia="宋体" w:cs="宋体"/>
          <w:color w:val="auto"/>
          <w:highlight w:val="none"/>
        </w:rPr>
        <w:t>项</w:t>
      </w:r>
      <w:r>
        <w:rPr>
          <w:rStyle w:val="84"/>
          <w:rFonts w:hint="eastAsia" w:ascii="宋体" w:hAnsi="宋体" w:eastAsia="宋体" w:cs="Dotum"/>
          <w:color w:val="auto"/>
          <w:highlight w:val="none"/>
        </w:rPr>
        <w:t>目</w:t>
      </w:r>
      <w:r>
        <w:rPr>
          <w:rStyle w:val="84"/>
          <w:rFonts w:hint="eastAsia" w:ascii="宋体" w:hAnsi="宋体" w:eastAsia="宋体" w:cs="宋体"/>
          <w:color w:val="auto"/>
          <w:highlight w:val="none"/>
        </w:rPr>
        <w:t>说</w:t>
      </w:r>
      <w:r>
        <w:rPr>
          <w:rStyle w:val="84"/>
          <w:rFonts w:hint="eastAsia" w:ascii="宋体" w:hAnsi="宋体" w:eastAsia="宋体" w:cs="Dotum"/>
          <w:color w:val="auto"/>
          <w:highlight w:val="none"/>
        </w:rPr>
        <w:t>明</w:t>
      </w:r>
      <w:r>
        <w:rPr>
          <w:color w:val="auto"/>
          <w:highlight w:val="none"/>
        </w:rPr>
        <w:tab/>
      </w:r>
      <w:r>
        <w:rPr>
          <w:color w:val="auto"/>
          <w:highlight w:val="none"/>
        </w:rPr>
        <w:fldChar w:fldCharType="begin"/>
      </w:r>
      <w:r>
        <w:rPr>
          <w:color w:val="auto"/>
          <w:highlight w:val="none"/>
        </w:rPr>
        <w:instrText xml:space="preserve"> PAGEREF _Toc499564659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pPr>
        <w:pStyle w:val="50"/>
        <w:spacing w:line="600" w:lineRule="exact"/>
        <w:rPr>
          <w:b w:val="0"/>
          <w:bCs w:val="0"/>
          <w:caps w:val="0"/>
          <w:color w:val="auto"/>
          <w:szCs w:val="22"/>
          <w:highlight w:val="none"/>
          <w:lang w:val="en-US" w:eastAsia="zh-CN"/>
        </w:rPr>
      </w:pPr>
      <w:r>
        <w:rPr>
          <w:color w:val="auto"/>
          <w:highlight w:val="none"/>
        </w:rPr>
        <w:fldChar w:fldCharType="begin"/>
      </w:r>
      <w:r>
        <w:rPr>
          <w:rStyle w:val="84"/>
          <w:rFonts w:ascii="宋体" w:hAnsi="宋体" w:eastAsia="宋体"/>
          <w:color w:val="auto"/>
          <w:highlight w:val="none"/>
        </w:rPr>
        <w:instrText xml:space="preserve"> </w:instrText>
      </w:r>
      <w:r>
        <w:rPr>
          <w:color w:val="auto"/>
          <w:highlight w:val="none"/>
        </w:rPr>
        <w:instrText xml:space="preserve">HYPERLINK \l "_Toc499564660"</w:instrText>
      </w:r>
      <w:r>
        <w:rPr>
          <w:rStyle w:val="84"/>
          <w:rFonts w:ascii="宋体" w:hAnsi="宋体" w:eastAsia="宋体"/>
          <w:color w:val="auto"/>
          <w:highlight w:val="none"/>
        </w:rPr>
        <w:instrText xml:space="preserve"> </w:instrText>
      </w:r>
      <w:r>
        <w:rPr>
          <w:color w:val="auto"/>
          <w:highlight w:val="none"/>
        </w:rPr>
        <w:fldChar w:fldCharType="separate"/>
      </w:r>
      <w:r>
        <w:rPr>
          <w:rStyle w:val="84"/>
          <w:rFonts w:ascii="宋体" w:hAnsi="宋体" w:eastAsia="宋体"/>
          <w:color w:val="auto"/>
          <w:highlight w:val="none"/>
        </w:rPr>
        <w:t xml:space="preserve">第四部分  </w:t>
      </w:r>
      <w:r>
        <w:rPr>
          <w:rStyle w:val="84"/>
          <w:rFonts w:hint="eastAsia" w:ascii="宋体" w:hAnsi="宋体" w:eastAsia="宋体" w:cs="宋体"/>
          <w:color w:val="auto"/>
          <w:highlight w:val="none"/>
        </w:rPr>
        <w:t>开标</w:t>
      </w:r>
      <w:r>
        <w:rPr>
          <w:rStyle w:val="84"/>
          <w:rFonts w:hint="eastAsia" w:ascii="宋体" w:hAnsi="宋体" w:eastAsia="宋体" w:cs="Dotum"/>
          <w:color w:val="auto"/>
          <w:highlight w:val="none"/>
        </w:rPr>
        <w:t>、</w:t>
      </w:r>
      <w:r>
        <w:rPr>
          <w:rStyle w:val="84"/>
          <w:rFonts w:hint="eastAsia" w:ascii="宋体" w:hAnsi="宋体" w:eastAsia="宋体" w:cs="宋体"/>
          <w:color w:val="auto"/>
          <w:highlight w:val="none"/>
        </w:rPr>
        <w:t>评标</w:t>
      </w:r>
      <w:r>
        <w:rPr>
          <w:rStyle w:val="84"/>
          <w:rFonts w:hint="eastAsia" w:ascii="宋体" w:hAnsi="宋体" w:eastAsia="宋体" w:cs="Dotum"/>
          <w:color w:val="auto"/>
          <w:highlight w:val="none"/>
        </w:rPr>
        <w:t>、定</w:t>
      </w:r>
      <w:r>
        <w:rPr>
          <w:rStyle w:val="84"/>
          <w:rFonts w:hint="eastAsia" w:ascii="宋体" w:hAnsi="宋体" w:eastAsia="宋体" w:cs="宋体"/>
          <w:color w:val="auto"/>
          <w:highlight w:val="none"/>
        </w:rPr>
        <w:t>标</w:t>
      </w:r>
      <w:r>
        <w:rPr>
          <w:color w:val="auto"/>
          <w:highlight w:val="none"/>
        </w:rPr>
        <w:tab/>
      </w:r>
      <w:r>
        <w:rPr>
          <w:rFonts w:hint="eastAsia"/>
          <w:color w:val="auto"/>
          <w:highlight w:val="none"/>
          <w:lang w:eastAsia="zh-CN"/>
        </w:rPr>
        <w:t>19</w:t>
      </w:r>
      <w:r>
        <w:rPr>
          <w:color w:val="auto"/>
          <w:highlight w:val="none"/>
        </w:rPr>
        <w:fldChar w:fldCharType="end"/>
      </w:r>
    </w:p>
    <w:p>
      <w:pPr>
        <w:pStyle w:val="50"/>
        <w:spacing w:line="600" w:lineRule="exact"/>
        <w:rPr>
          <w:b w:val="0"/>
          <w:bCs w:val="0"/>
          <w:caps w:val="0"/>
          <w:color w:val="auto"/>
          <w:szCs w:val="22"/>
          <w:highlight w:val="none"/>
          <w:lang w:val="en-US" w:eastAsia="zh-CN"/>
        </w:rPr>
      </w:pPr>
      <w:r>
        <w:rPr>
          <w:color w:val="auto"/>
          <w:highlight w:val="none"/>
        </w:rPr>
        <w:fldChar w:fldCharType="begin"/>
      </w:r>
      <w:r>
        <w:rPr>
          <w:rStyle w:val="84"/>
          <w:rFonts w:ascii="宋体" w:hAnsi="宋体" w:eastAsia="宋体"/>
          <w:color w:val="auto"/>
          <w:highlight w:val="none"/>
        </w:rPr>
        <w:instrText xml:space="preserve"> </w:instrText>
      </w:r>
      <w:r>
        <w:rPr>
          <w:color w:val="auto"/>
          <w:highlight w:val="none"/>
        </w:rPr>
        <w:instrText xml:space="preserve">HYPERLINK \l "_Toc499564661"</w:instrText>
      </w:r>
      <w:r>
        <w:rPr>
          <w:rStyle w:val="84"/>
          <w:rFonts w:ascii="宋体" w:hAnsi="宋体" w:eastAsia="宋体"/>
          <w:color w:val="auto"/>
          <w:highlight w:val="none"/>
        </w:rPr>
        <w:instrText xml:space="preserve"> </w:instrText>
      </w:r>
      <w:r>
        <w:rPr>
          <w:color w:val="auto"/>
          <w:highlight w:val="none"/>
        </w:rPr>
        <w:fldChar w:fldCharType="separate"/>
      </w:r>
      <w:r>
        <w:rPr>
          <w:rStyle w:val="84"/>
          <w:rFonts w:ascii="宋体" w:hAnsi="宋体" w:eastAsia="宋体"/>
          <w:color w:val="auto"/>
          <w:highlight w:val="none"/>
        </w:rPr>
        <w:t>第五部分  合同格式</w:t>
      </w:r>
      <w:r>
        <w:rPr>
          <w:color w:val="auto"/>
          <w:highlight w:val="none"/>
        </w:rPr>
        <w:tab/>
      </w:r>
      <w:r>
        <w:rPr>
          <w:rFonts w:hint="eastAsia"/>
          <w:color w:val="auto"/>
          <w:highlight w:val="none"/>
          <w:lang w:eastAsia="zh-CN"/>
        </w:rPr>
        <w:t>32</w:t>
      </w:r>
      <w:r>
        <w:rPr>
          <w:color w:val="auto"/>
          <w:highlight w:val="none"/>
        </w:rPr>
        <w:fldChar w:fldCharType="end"/>
      </w:r>
    </w:p>
    <w:p>
      <w:pPr>
        <w:pStyle w:val="50"/>
        <w:spacing w:line="600" w:lineRule="exact"/>
        <w:rPr>
          <w:b w:val="0"/>
          <w:bCs w:val="0"/>
          <w:caps w:val="0"/>
          <w:color w:val="auto"/>
          <w:szCs w:val="22"/>
          <w:highlight w:val="none"/>
          <w:lang w:val="en-US" w:eastAsia="zh-CN"/>
        </w:rPr>
      </w:pPr>
      <w:r>
        <w:rPr>
          <w:color w:val="auto"/>
          <w:highlight w:val="none"/>
        </w:rPr>
        <w:fldChar w:fldCharType="begin"/>
      </w:r>
      <w:r>
        <w:rPr>
          <w:rStyle w:val="84"/>
          <w:rFonts w:ascii="宋体" w:hAnsi="宋体" w:eastAsia="宋体"/>
          <w:color w:val="auto"/>
          <w:highlight w:val="none"/>
        </w:rPr>
        <w:instrText xml:space="preserve"> </w:instrText>
      </w:r>
      <w:r>
        <w:rPr>
          <w:color w:val="auto"/>
          <w:highlight w:val="none"/>
        </w:rPr>
        <w:instrText xml:space="preserve">HYPERLINK \l "_Toc499564662"</w:instrText>
      </w:r>
      <w:r>
        <w:rPr>
          <w:rStyle w:val="84"/>
          <w:rFonts w:ascii="宋体" w:hAnsi="宋体" w:eastAsia="宋体"/>
          <w:color w:val="auto"/>
          <w:highlight w:val="none"/>
        </w:rPr>
        <w:instrText xml:space="preserve"> </w:instrText>
      </w:r>
      <w:r>
        <w:rPr>
          <w:color w:val="auto"/>
          <w:highlight w:val="none"/>
        </w:rPr>
        <w:fldChar w:fldCharType="separate"/>
      </w:r>
      <w:r>
        <w:rPr>
          <w:rStyle w:val="84"/>
          <w:rFonts w:ascii="宋体" w:hAnsi="宋体" w:eastAsia="宋体"/>
          <w:color w:val="auto"/>
          <w:highlight w:val="none"/>
        </w:rPr>
        <w:t>第六部分  投</w:t>
      </w:r>
      <w:r>
        <w:rPr>
          <w:rStyle w:val="84"/>
          <w:rFonts w:hint="eastAsia" w:ascii="宋体" w:hAnsi="宋体" w:eastAsia="宋体" w:cs="宋体"/>
          <w:color w:val="auto"/>
          <w:highlight w:val="none"/>
        </w:rPr>
        <w:t>标书</w:t>
      </w:r>
      <w:r>
        <w:rPr>
          <w:rStyle w:val="84"/>
          <w:rFonts w:hint="eastAsia" w:ascii="宋体" w:hAnsi="宋体" w:eastAsia="宋体" w:cs="Dotum"/>
          <w:color w:val="auto"/>
          <w:highlight w:val="none"/>
        </w:rPr>
        <w:t>格式</w:t>
      </w:r>
      <w:r>
        <w:rPr>
          <w:color w:val="auto"/>
          <w:highlight w:val="none"/>
        </w:rPr>
        <w:tab/>
      </w:r>
      <w:r>
        <w:rPr>
          <w:color w:val="auto"/>
          <w:highlight w:val="none"/>
        </w:rPr>
        <w:fldChar w:fldCharType="begin"/>
      </w:r>
      <w:r>
        <w:rPr>
          <w:color w:val="auto"/>
          <w:highlight w:val="none"/>
        </w:rPr>
        <w:instrText xml:space="preserve"> PAGEREF _Toc499564662 \h </w:instrText>
      </w:r>
      <w:r>
        <w:rPr>
          <w:color w:val="auto"/>
          <w:highlight w:val="none"/>
        </w:rPr>
        <w:fldChar w:fldCharType="separate"/>
      </w:r>
      <w:r>
        <w:rPr>
          <w:color w:val="auto"/>
          <w:highlight w:val="none"/>
        </w:rPr>
        <w:t>54</w:t>
      </w:r>
      <w:r>
        <w:rPr>
          <w:color w:val="auto"/>
          <w:highlight w:val="none"/>
        </w:rPr>
        <w:fldChar w:fldCharType="end"/>
      </w:r>
      <w:r>
        <w:rPr>
          <w:color w:val="auto"/>
          <w:highlight w:val="none"/>
        </w:rPr>
        <w:fldChar w:fldCharType="end"/>
      </w:r>
    </w:p>
    <w:p>
      <w:pPr>
        <w:pStyle w:val="5"/>
        <w:tabs>
          <w:tab w:val="right" w:leader="dot" w:pos="8640"/>
        </w:tabs>
        <w:spacing w:before="0" w:after="0" w:line="600" w:lineRule="exact"/>
        <w:jc w:val="center"/>
        <w:textAlignment w:val="center"/>
        <w:rPr>
          <w:b w:val="0"/>
          <w:color w:val="auto"/>
          <w:sz w:val="24"/>
          <w:szCs w:val="24"/>
          <w:highlight w:val="none"/>
        </w:rPr>
      </w:pPr>
      <w:r>
        <w:rPr>
          <w:b w:val="0"/>
          <w:color w:val="auto"/>
          <w:sz w:val="24"/>
          <w:szCs w:val="24"/>
          <w:highlight w:val="none"/>
        </w:rPr>
        <w:fldChar w:fldCharType="end"/>
      </w:r>
      <w:bookmarkStart w:id="0" w:name="_Toc353257255"/>
    </w:p>
    <w:p>
      <w:pPr>
        <w:rPr>
          <w:color w:val="auto"/>
          <w:highlight w:val="none"/>
        </w:rPr>
      </w:pPr>
    </w:p>
    <w:p>
      <w:pPr>
        <w:rPr>
          <w:color w:val="auto"/>
          <w:highlight w:val="none"/>
        </w:rPr>
      </w:pPr>
    </w:p>
    <w:p>
      <w:pPr>
        <w:rPr>
          <w:color w:val="auto"/>
          <w:highlight w:val="none"/>
        </w:rPr>
      </w:pPr>
    </w:p>
    <w:p>
      <w:pPr>
        <w:rPr>
          <w:color w:val="auto"/>
          <w:highlight w:val="none"/>
        </w:rPr>
      </w:pPr>
    </w:p>
    <w:p>
      <w:pPr>
        <w:pStyle w:val="39"/>
        <w:textAlignment w:val="center"/>
        <w:rPr>
          <w:rFonts w:ascii="Times New Roman" w:hAnsi="Times New Roman"/>
          <w:color w:val="auto"/>
          <w:sz w:val="2"/>
          <w:szCs w:val="2"/>
          <w:highlight w:val="none"/>
          <w:u w:val="single"/>
        </w:rPr>
      </w:pPr>
      <w:r>
        <w:rPr>
          <w:rFonts w:ascii="Times New Roman" w:hAnsi="Times New Roman"/>
          <w:b/>
          <w:color w:val="auto"/>
          <w:szCs w:val="24"/>
          <w:highlight w:val="none"/>
        </w:rPr>
        <w:br w:type="page"/>
      </w:r>
    </w:p>
    <w:p>
      <w:pPr>
        <w:spacing w:line="500" w:lineRule="exact"/>
        <w:jc w:val="center"/>
        <w:outlineLvl w:val="0"/>
        <w:rPr>
          <w:b/>
          <w:color w:val="auto"/>
          <w:sz w:val="36"/>
          <w:szCs w:val="36"/>
          <w:highlight w:val="none"/>
        </w:rPr>
      </w:pPr>
      <w:bookmarkStart w:id="1" w:name="_Toc499564657"/>
      <w:r>
        <w:rPr>
          <w:b/>
          <w:color w:val="auto"/>
          <w:sz w:val="36"/>
          <w:szCs w:val="36"/>
          <w:highlight w:val="none"/>
        </w:rPr>
        <w:t>第一部分</w:t>
      </w:r>
      <w:bookmarkEnd w:id="0"/>
      <w:r>
        <w:rPr>
          <w:b/>
          <w:color w:val="auto"/>
          <w:sz w:val="30"/>
          <w:szCs w:val="30"/>
          <w:highlight w:val="none"/>
        </w:rPr>
        <w:t xml:space="preserve"> </w:t>
      </w:r>
      <w:r>
        <w:rPr>
          <w:b/>
          <w:color w:val="auto"/>
          <w:sz w:val="36"/>
          <w:szCs w:val="36"/>
          <w:highlight w:val="none"/>
        </w:rPr>
        <w:t>招标公告</w:t>
      </w:r>
      <w:bookmarkEnd w:id="1"/>
    </w:p>
    <w:p>
      <w:pPr>
        <w:spacing w:line="360" w:lineRule="auto"/>
        <w:jc w:val="center"/>
        <w:rPr>
          <w:rFonts w:hint="eastAsia" w:ascii="宋体" w:hAnsi="宋体" w:eastAsia="宋体" w:cs="宋体"/>
          <w:color w:val="auto"/>
          <w:sz w:val="24"/>
          <w:szCs w:val="24"/>
          <w:highlight w:val="none"/>
          <w:lang w:eastAsia="zh-CN"/>
        </w:rPr>
      </w:pPr>
      <w:bookmarkStart w:id="2" w:name="_Toc14396"/>
      <w:bookmarkStart w:id="3" w:name="_Toc353257256"/>
      <w:bookmarkStart w:id="4" w:name="_Toc172020880"/>
      <w:bookmarkStart w:id="5" w:name="_Toc499564658"/>
      <w:r>
        <w:rPr>
          <w:rFonts w:hint="eastAsia" w:ascii="宋体" w:hAnsi="宋体" w:eastAsia="宋体" w:cs="宋体"/>
          <w:color w:val="auto"/>
          <w:sz w:val="24"/>
          <w:szCs w:val="24"/>
          <w:highlight w:val="none"/>
          <w:lang w:eastAsia="zh-CN"/>
        </w:rPr>
        <w:t>聊城市县级体育公园智能体育器材配备项目</w:t>
      </w:r>
    </w:p>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公告</w:t>
      </w:r>
    </w:p>
    <w:bookmarkEnd w:id="2"/>
    <w:p>
      <w:pPr>
        <w:pageBreakBefore w:val="0"/>
        <w:pBdr>
          <w:top w:val="single" w:color="auto" w:sz="4" w:space="1"/>
          <w:left w:val="single" w:color="auto" w:sz="4" w:space="4"/>
          <w:bottom w:val="single" w:color="auto" w:sz="4" w:space="1"/>
          <w:right w:val="single" w:color="auto" w:sz="4" w:space="4"/>
        </w:pBdr>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pPr>
        <w:pageBreakBefore w:val="0"/>
        <w:pBdr>
          <w:top w:val="single" w:color="auto" w:sz="4" w:space="1"/>
          <w:left w:val="single" w:color="auto" w:sz="4" w:space="4"/>
          <w:bottom w:val="single" w:color="auto" w:sz="4" w:space="1"/>
          <w:right w:val="single" w:color="auto" w:sz="4" w:space="4"/>
        </w:pBdr>
        <w:kinsoku/>
        <w:wordWrap w:val="0"/>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eastAsia="zh-CN"/>
        </w:rPr>
        <w:t>聊城市县级体育公园智能体育器材配备项目</w:t>
      </w:r>
      <w:r>
        <w:rPr>
          <w:rFonts w:hint="eastAsia" w:ascii="宋体" w:hAnsi="宋体" w:eastAsia="宋体" w:cs="宋体"/>
          <w:color w:val="auto"/>
          <w:sz w:val="24"/>
          <w:szCs w:val="24"/>
          <w:highlight w:val="none"/>
        </w:rPr>
        <w:t>的潜在供应商应在</w:t>
      </w:r>
      <w:r>
        <w:rPr>
          <w:rFonts w:hint="eastAsia" w:ascii="宋体" w:hAnsi="宋体" w:eastAsia="宋体" w:cs="宋体"/>
          <w:color w:val="auto"/>
          <w:sz w:val="24"/>
          <w:szCs w:val="24"/>
          <w:highlight w:val="none"/>
          <w:u w:val="single"/>
        </w:rPr>
        <w:t>聊城市公共资源交易中心网（http://ggzyjy.liaocheng.gov.cn）中国山东政府采购网（http://www.ccgp-shandong.gov.cn）</w:t>
      </w:r>
      <w:r>
        <w:rPr>
          <w:rFonts w:hint="eastAsia" w:ascii="宋体" w:hAnsi="宋体" w:eastAsia="宋体" w:cs="宋体"/>
          <w:color w:val="auto"/>
          <w:sz w:val="24"/>
          <w:szCs w:val="24"/>
          <w:highlight w:val="none"/>
        </w:rPr>
        <w:t>获取采购文件，并于</w:t>
      </w:r>
      <w:r>
        <w:rPr>
          <w:rFonts w:hint="eastAsia" w:ascii="宋体" w:hAnsi="宋体" w:eastAsia="宋体" w:cs="宋体"/>
          <w:color w:val="auto"/>
          <w:sz w:val="24"/>
          <w:szCs w:val="24"/>
          <w:highlight w:val="none"/>
          <w:u w:val="single"/>
          <w:lang w:val="en-US" w:eastAsia="zh-CN"/>
        </w:rPr>
        <w:t>2023</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09</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12</w:t>
      </w:r>
      <w:r>
        <w:rPr>
          <w:rFonts w:hint="eastAsia" w:ascii="宋体" w:hAnsi="宋体" w:eastAsia="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09</w:t>
      </w:r>
      <w:r>
        <w:rPr>
          <w:rFonts w:hint="eastAsia" w:ascii="宋体" w:hAnsi="宋体" w:eastAsia="宋体" w:cs="宋体"/>
          <w:bCs/>
          <w:color w:val="auto"/>
          <w:sz w:val="24"/>
          <w:szCs w:val="24"/>
          <w:highlight w:val="none"/>
          <w:u w:val="single"/>
        </w:rPr>
        <w:t>点</w:t>
      </w:r>
      <w:r>
        <w:rPr>
          <w:rFonts w:hint="eastAsia" w:ascii="宋体" w:hAnsi="宋体" w:cs="宋体"/>
          <w:bCs/>
          <w:color w:val="auto"/>
          <w:sz w:val="24"/>
          <w:szCs w:val="24"/>
          <w:highlight w:val="none"/>
          <w:u w:val="single"/>
          <w:lang w:val="en-US" w:eastAsia="zh-CN"/>
        </w:rPr>
        <w:t>00</w:t>
      </w:r>
      <w:r>
        <w:rPr>
          <w:rFonts w:hint="eastAsia" w:ascii="宋体" w:hAnsi="宋体" w:eastAsia="宋体" w:cs="宋体"/>
          <w:bCs/>
          <w:color w:val="auto"/>
          <w:sz w:val="24"/>
          <w:szCs w:val="24"/>
          <w:highlight w:val="none"/>
          <w:u w:val="single"/>
        </w:rPr>
        <w:t>分</w:t>
      </w:r>
      <w:r>
        <w:rPr>
          <w:rFonts w:hint="eastAsia" w:ascii="宋体" w:hAnsi="宋体" w:eastAsia="宋体" w:cs="宋体"/>
          <w:bCs/>
          <w:color w:val="auto"/>
          <w:sz w:val="24"/>
          <w:szCs w:val="24"/>
          <w:highlight w:val="none"/>
        </w:rPr>
        <w:t>（北京时间）前提交响应文件</w:t>
      </w:r>
      <w:r>
        <w:rPr>
          <w:rFonts w:hint="eastAsia" w:ascii="宋体" w:hAnsi="宋体" w:eastAsia="宋体" w:cs="宋体"/>
          <w:color w:val="auto"/>
          <w:sz w:val="24"/>
          <w:szCs w:val="24"/>
          <w:highlight w:val="none"/>
        </w:rPr>
        <w:t>。</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一、项目基本情况</w:t>
      </w:r>
    </w:p>
    <w:p>
      <w:pPr>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rPr>
        <w:t>项目编号：</w:t>
      </w:r>
      <w:r>
        <w:rPr>
          <w:rFonts w:hint="eastAsia" w:ascii="宋体" w:hAnsi="宋体"/>
          <w:sz w:val="24"/>
          <w:szCs w:val="24"/>
          <w:highlight w:val="none"/>
          <w:lang w:eastAsia="zh-CN"/>
        </w:rPr>
        <w:t>SDGP371500000202302000455</w:t>
      </w:r>
    </w:p>
    <w:p>
      <w:pPr>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rPr>
        <w:t>聊城市公共资源交易中心系统内编号：</w:t>
      </w:r>
      <w:r>
        <w:rPr>
          <w:rFonts w:hint="eastAsia" w:ascii="宋体" w:hAnsi="宋体"/>
          <w:sz w:val="24"/>
          <w:szCs w:val="24"/>
          <w:highlight w:val="none"/>
          <w:lang w:eastAsia="zh-CN"/>
        </w:rPr>
        <w:t>LCZFCG-2023-144</w:t>
      </w:r>
    </w:p>
    <w:p>
      <w:pPr>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rPr>
        <w:t>项目名称：</w:t>
      </w:r>
      <w:r>
        <w:rPr>
          <w:rFonts w:hint="eastAsia" w:ascii="宋体" w:hAnsi="宋体" w:eastAsia="宋体" w:cs="宋体"/>
          <w:color w:val="auto"/>
          <w:sz w:val="24"/>
          <w:szCs w:val="24"/>
          <w:highlight w:val="none"/>
          <w:lang w:eastAsia="zh-CN"/>
        </w:rPr>
        <w:t>聊城市县级体育公园智能体育器材配备项目</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预算金额：</w:t>
      </w:r>
      <w:r>
        <w:rPr>
          <w:rFonts w:hint="eastAsia" w:ascii="宋体" w:hAnsi="宋体" w:eastAsia="宋体"/>
          <w:sz w:val="24"/>
          <w:szCs w:val="24"/>
          <w:highlight w:val="none"/>
          <w:lang w:val="en-US" w:eastAsia="zh-CN"/>
        </w:rPr>
        <w:t>100</w:t>
      </w:r>
      <w:r>
        <w:rPr>
          <w:rFonts w:hint="eastAsia" w:ascii="宋体" w:hAnsi="宋体" w:eastAsia="宋体"/>
          <w:sz w:val="24"/>
          <w:szCs w:val="24"/>
          <w:highlight w:val="none"/>
        </w:rPr>
        <w:t>万元</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最高限价</w:t>
      </w:r>
      <w:r>
        <w:rPr>
          <w:rFonts w:hint="eastAsia" w:ascii="宋体" w:hAnsi="宋体" w:eastAsia="宋体"/>
          <w:sz w:val="24"/>
          <w:szCs w:val="24"/>
          <w:highlight w:val="none"/>
          <w:lang w:eastAsia="zh-CN"/>
        </w:rPr>
        <w:t>：</w:t>
      </w:r>
      <w:r>
        <w:rPr>
          <w:rFonts w:hint="eastAsia" w:ascii="宋体" w:hAnsi="宋体" w:eastAsia="宋体"/>
          <w:sz w:val="24"/>
          <w:szCs w:val="24"/>
          <w:highlight w:val="none"/>
          <w:lang w:val="en-US" w:eastAsia="zh-CN"/>
        </w:rPr>
        <w:t>100</w:t>
      </w:r>
      <w:r>
        <w:rPr>
          <w:rFonts w:hint="eastAsia" w:ascii="宋体" w:hAnsi="宋体" w:eastAsia="宋体"/>
          <w:sz w:val="24"/>
          <w:szCs w:val="24"/>
          <w:highlight w:val="none"/>
        </w:rPr>
        <w:t>万元</w:t>
      </w:r>
    </w:p>
    <w:p>
      <w:pPr>
        <w:spacing w:line="360" w:lineRule="auto"/>
        <w:rPr>
          <w:rFonts w:ascii="宋体" w:hAnsi="宋体" w:eastAsia="宋体"/>
          <w:sz w:val="24"/>
          <w:szCs w:val="24"/>
          <w:highlight w:val="none"/>
        </w:rPr>
      </w:pPr>
      <w:r>
        <w:rPr>
          <w:rFonts w:hint="eastAsia" w:ascii="宋体" w:hAnsi="宋体" w:eastAsia="宋体"/>
          <w:sz w:val="24"/>
          <w:szCs w:val="24"/>
          <w:highlight w:val="none"/>
          <w:lang w:eastAsia="zh-CN"/>
        </w:rPr>
        <w:t>招标</w:t>
      </w:r>
      <w:r>
        <w:rPr>
          <w:rFonts w:hint="eastAsia" w:ascii="宋体" w:hAnsi="宋体" w:eastAsia="宋体"/>
          <w:sz w:val="24"/>
          <w:szCs w:val="24"/>
          <w:highlight w:val="none"/>
        </w:rPr>
        <w:t>需求：</w:t>
      </w:r>
      <w:r>
        <w:rPr>
          <w:rFonts w:hint="eastAsia" w:ascii="宋体" w:hAnsi="宋体" w:eastAsia="宋体" w:cs="宋体"/>
          <w:color w:val="auto"/>
          <w:sz w:val="24"/>
          <w:szCs w:val="24"/>
          <w:highlight w:val="none"/>
          <w:lang w:eastAsia="zh-CN"/>
        </w:rPr>
        <w:t>聊城市县级体育公园智能体育器材配备项目</w:t>
      </w:r>
      <w:r>
        <w:rPr>
          <w:rFonts w:hint="eastAsia" w:ascii="宋体" w:hAnsi="宋体" w:cs="宋体"/>
          <w:color w:val="auto"/>
          <w:sz w:val="24"/>
          <w:szCs w:val="24"/>
          <w:highlight w:val="none"/>
          <w:lang w:eastAsia="zh-CN"/>
        </w:rPr>
        <w:t>，具体内容详见招标文件。</w:t>
      </w:r>
    </w:p>
    <w:p>
      <w:pPr>
        <w:spacing w:before="120" w:beforeLines="50" w:after="120" w:afterLines="50" w:line="360" w:lineRule="auto"/>
        <w:rPr>
          <w:rFonts w:ascii="宋体" w:hAnsi="宋体" w:eastAsia="宋体"/>
          <w:sz w:val="24"/>
          <w:szCs w:val="24"/>
          <w:highlight w:val="none"/>
        </w:rPr>
      </w:pPr>
      <w:r>
        <w:rPr>
          <w:rFonts w:hint="eastAsia" w:ascii="宋体" w:hAnsi="宋体" w:eastAsia="宋体"/>
          <w:sz w:val="24"/>
          <w:szCs w:val="24"/>
          <w:highlight w:val="none"/>
        </w:rPr>
        <w:t>合同履行期限：详见项目说明</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本项目不接受联合体投标。</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本项目监督单位：</w:t>
      </w:r>
      <w:r>
        <w:rPr>
          <w:rFonts w:hint="eastAsia" w:ascii="宋体" w:hAnsi="宋体" w:eastAsia="宋体"/>
          <w:sz w:val="24"/>
          <w:szCs w:val="24"/>
          <w:highlight w:val="none"/>
        </w:rPr>
        <w:sym w:font="Wingdings" w:char="F0FE"/>
      </w:r>
      <w:r>
        <w:rPr>
          <w:rFonts w:hint="eastAsia" w:ascii="宋体" w:hAnsi="宋体" w:eastAsia="宋体"/>
          <w:sz w:val="24"/>
          <w:szCs w:val="24"/>
          <w:highlight w:val="none"/>
        </w:rPr>
        <w:t>有，聊城市财政局政府采购监督管理科</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二、申请人的资格要求：</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1.满足《中华人民共和国政府采购法》第二十二条规定；</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2.落实政府采购政策需满足的资格要求：本采购项目专门面向中小微企业采购，供应商须为中型或小型或微型企业，且必须出具《中小企业声明函》。监狱企业、残疾人福利性单位视同小型、微型企业。</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3.本项目的特定资格要求：</w:t>
      </w:r>
    </w:p>
    <w:p>
      <w:pPr>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rPr>
        <w:t>（1）在中华人民共和国注册，具有有效的营业执照</w:t>
      </w:r>
      <w:r>
        <w:rPr>
          <w:rFonts w:hint="eastAsia" w:ascii="宋体" w:hAnsi="宋体" w:eastAsia="宋体"/>
          <w:sz w:val="24"/>
          <w:szCs w:val="24"/>
          <w:highlight w:val="none"/>
          <w:lang w:eastAsia="zh-CN"/>
        </w:rPr>
        <w:t>，能在国内合法提供采购内容及其相应的服务，具备履行合同所必须的设备、专业技术能力。</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三、获取招标文件</w:t>
      </w:r>
    </w:p>
    <w:p>
      <w:pPr>
        <w:spacing w:line="360" w:lineRule="auto"/>
        <w:rPr>
          <w:rFonts w:ascii="宋体" w:hAnsi="宋体" w:eastAsia="宋体"/>
          <w:i/>
          <w:iCs/>
          <w:sz w:val="24"/>
          <w:szCs w:val="24"/>
          <w:highlight w:val="none"/>
        </w:rPr>
      </w:pPr>
      <w:r>
        <w:rPr>
          <w:rFonts w:hint="eastAsia" w:ascii="宋体" w:hAnsi="宋体" w:eastAsia="宋体"/>
          <w:sz w:val="24"/>
          <w:szCs w:val="24"/>
          <w:highlight w:val="none"/>
        </w:rPr>
        <w:t>1.时间：</w:t>
      </w:r>
      <w:r>
        <w:rPr>
          <w:rFonts w:hint="eastAsia" w:ascii="宋体" w:hAnsi="宋体" w:eastAsia="宋体"/>
          <w:sz w:val="24"/>
          <w:szCs w:val="24"/>
          <w:highlight w:val="none"/>
          <w:u w:val="single"/>
        </w:rPr>
        <w:t>2023年</w:t>
      </w:r>
      <w:r>
        <w:rPr>
          <w:rFonts w:hint="eastAsia" w:ascii="宋体" w:hAnsi="宋体"/>
          <w:sz w:val="24"/>
          <w:szCs w:val="24"/>
          <w:highlight w:val="none"/>
          <w:u w:val="single"/>
          <w:lang w:val="en-US" w:eastAsia="zh-CN"/>
        </w:rPr>
        <w:t>08</w:t>
      </w:r>
      <w:r>
        <w:rPr>
          <w:rFonts w:hint="eastAsia" w:ascii="宋体" w:hAnsi="宋体" w:eastAsia="宋体"/>
          <w:sz w:val="24"/>
          <w:szCs w:val="24"/>
          <w:highlight w:val="none"/>
          <w:u w:val="single"/>
        </w:rPr>
        <w:t>月</w:t>
      </w:r>
      <w:r>
        <w:rPr>
          <w:rFonts w:hint="eastAsia" w:ascii="宋体" w:hAnsi="宋体"/>
          <w:sz w:val="24"/>
          <w:szCs w:val="24"/>
          <w:highlight w:val="none"/>
          <w:u w:val="single"/>
          <w:lang w:val="en-US" w:eastAsia="zh-CN"/>
        </w:rPr>
        <w:t>23</w:t>
      </w:r>
      <w:r>
        <w:rPr>
          <w:rFonts w:hint="eastAsia" w:ascii="宋体" w:hAnsi="宋体" w:eastAsia="宋体"/>
          <w:sz w:val="24"/>
          <w:szCs w:val="24"/>
          <w:highlight w:val="none"/>
          <w:u w:val="single"/>
        </w:rPr>
        <w:t>日09时00分</w:t>
      </w:r>
      <w:r>
        <w:rPr>
          <w:rFonts w:hint="eastAsia" w:ascii="宋体" w:hAnsi="宋体" w:eastAsia="宋体"/>
          <w:sz w:val="24"/>
          <w:szCs w:val="24"/>
          <w:highlight w:val="none"/>
        </w:rPr>
        <w:t>至</w:t>
      </w:r>
      <w:r>
        <w:rPr>
          <w:rFonts w:hint="eastAsia" w:ascii="宋体" w:hAnsi="宋体" w:eastAsia="宋体"/>
          <w:sz w:val="24"/>
          <w:szCs w:val="24"/>
          <w:highlight w:val="none"/>
          <w:u w:val="single"/>
        </w:rPr>
        <w:t>2023年</w:t>
      </w:r>
      <w:r>
        <w:rPr>
          <w:rFonts w:hint="eastAsia" w:ascii="宋体" w:hAnsi="宋体"/>
          <w:sz w:val="24"/>
          <w:szCs w:val="24"/>
          <w:highlight w:val="none"/>
          <w:u w:val="single"/>
          <w:lang w:val="en-US" w:eastAsia="zh-CN"/>
        </w:rPr>
        <w:t>08</w:t>
      </w:r>
      <w:r>
        <w:rPr>
          <w:rFonts w:hint="eastAsia" w:ascii="宋体" w:hAnsi="宋体" w:eastAsia="宋体"/>
          <w:sz w:val="24"/>
          <w:szCs w:val="24"/>
          <w:highlight w:val="none"/>
          <w:u w:val="single"/>
        </w:rPr>
        <w:t>月</w:t>
      </w:r>
      <w:r>
        <w:rPr>
          <w:rFonts w:hint="eastAsia" w:ascii="宋体" w:hAnsi="宋体"/>
          <w:sz w:val="24"/>
          <w:szCs w:val="24"/>
          <w:highlight w:val="none"/>
          <w:u w:val="single"/>
          <w:lang w:val="en-US" w:eastAsia="zh-CN"/>
        </w:rPr>
        <w:t>29</w:t>
      </w:r>
      <w:r>
        <w:rPr>
          <w:rFonts w:hint="eastAsia" w:ascii="宋体" w:hAnsi="宋体" w:eastAsia="宋体"/>
          <w:sz w:val="24"/>
          <w:szCs w:val="24"/>
          <w:highlight w:val="none"/>
          <w:u w:val="single"/>
        </w:rPr>
        <w:t>日17时00分</w:t>
      </w:r>
      <w:r>
        <w:rPr>
          <w:rFonts w:hint="eastAsia" w:ascii="宋体" w:hAnsi="宋体" w:eastAsia="宋体"/>
          <w:bCs/>
          <w:sz w:val="24"/>
          <w:szCs w:val="24"/>
          <w:highlight w:val="none"/>
        </w:rPr>
        <w:t>（北京时间）</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2.地点：聊城市公共资源交易中心网（http://ggzyjy.liaocheng.gov.cn）</w:t>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方式：各供应商在规定时间内登录新版聊城市公共资源电子交易系统（http://ggzyjy.liaocheng.gov.cn:8601/tpbidder）免费下载磋商文件（文件格式为.lczf），逾期未下载磋商文件视为放弃投标。</w:t>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注:（1）根据山东省政府采购有关规定，各拟参与本项目投标人在交易中心系统获取招标文件后，务必于投标文件提交截止时间前在“中国山东政府采购网（http://www.ccgp-shandong.gov.cn）”完成注册（已注册的无需重复注册），由于投标人原因造成其在投标文件提交截止时间前未完成注册的后果自负。</w:t>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（2）投标人在新版聊城市公共资源电子交易系统诚信入库类型：交易乙方。</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3.售价：0元</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四、提交投标文件截止时间、开标时间和地点</w:t>
      </w:r>
    </w:p>
    <w:p>
      <w:pPr>
        <w:spacing w:line="360" w:lineRule="auto"/>
        <w:rPr>
          <w:rFonts w:ascii="宋体" w:hAnsi="宋体" w:eastAsia="宋体"/>
          <w:bCs/>
          <w:sz w:val="24"/>
          <w:szCs w:val="24"/>
          <w:highlight w:val="none"/>
        </w:rPr>
      </w:pPr>
      <w:r>
        <w:rPr>
          <w:rFonts w:hint="eastAsia" w:ascii="宋体" w:hAnsi="宋体" w:eastAsia="宋体"/>
          <w:bCs/>
          <w:sz w:val="24"/>
          <w:szCs w:val="24"/>
          <w:highlight w:val="none"/>
          <w:u w:val="single"/>
        </w:rPr>
        <w:t>截止时间：2023年</w:t>
      </w:r>
      <w:r>
        <w:rPr>
          <w:rFonts w:hint="eastAsia" w:ascii="宋体" w:hAnsi="宋体"/>
          <w:bCs/>
          <w:sz w:val="24"/>
          <w:szCs w:val="24"/>
          <w:highlight w:val="none"/>
          <w:u w:val="single"/>
          <w:lang w:val="en-US" w:eastAsia="zh-CN"/>
        </w:rPr>
        <w:t>09</w:t>
      </w:r>
      <w:r>
        <w:rPr>
          <w:rFonts w:hint="eastAsia" w:ascii="宋体" w:hAnsi="宋体" w:eastAsia="宋体"/>
          <w:bCs/>
          <w:sz w:val="24"/>
          <w:szCs w:val="24"/>
          <w:highlight w:val="none"/>
          <w:u w:val="single"/>
        </w:rPr>
        <w:t>月</w:t>
      </w:r>
      <w:r>
        <w:rPr>
          <w:rFonts w:hint="eastAsia" w:ascii="宋体" w:hAnsi="宋体"/>
          <w:bCs/>
          <w:sz w:val="24"/>
          <w:szCs w:val="24"/>
          <w:highlight w:val="none"/>
          <w:u w:val="single"/>
          <w:lang w:val="en-US" w:eastAsia="zh-CN"/>
        </w:rPr>
        <w:t>12</w:t>
      </w:r>
      <w:r>
        <w:rPr>
          <w:rFonts w:hint="eastAsia" w:ascii="宋体" w:hAnsi="宋体" w:eastAsia="宋体"/>
          <w:bCs/>
          <w:sz w:val="24"/>
          <w:szCs w:val="24"/>
          <w:highlight w:val="none"/>
          <w:u w:val="single"/>
        </w:rPr>
        <w:t>日</w:t>
      </w:r>
      <w:r>
        <w:rPr>
          <w:rFonts w:hint="eastAsia" w:ascii="宋体" w:hAnsi="宋体"/>
          <w:bCs/>
          <w:sz w:val="24"/>
          <w:szCs w:val="24"/>
          <w:highlight w:val="none"/>
          <w:u w:val="single"/>
          <w:lang w:val="en-US" w:eastAsia="zh-CN"/>
        </w:rPr>
        <w:t>09</w:t>
      </w:r>
      <w:r>
        <w:rPr>
          <w:rFonts w:hint="eastAsia" w:ascii="宋体" w:hAnsi="宋体" w:eastAsia="宋体"/>
          <w:bCs/>
          <w:sz w:val="24"/>
          <w:szCs w:val="24"/>
          <w:highlight w:val="none"/>
          <w:u w:val="single"/>
        </w:rPr>
        <w:t>时</w:t>
      </w:r>
      <w:r>
        <w:rPr>
          <w:rFonts w:hint="eastAsia" w:ascii="宋体" w:hAnsi="宋体"/>
          <w:bCs/>
          <w:sz w:val="24"/>
          <w:szCs w:val="24"/>
          <w:highlight w:val="none"/>
          <w:u w:val="single"/>
          <w:lang w:val="en-US" w:eastAsia="zh-CN"/>
        </w:rPr>
        <w:t>00</w:t>
      </w:r>
      <w:r>
        <w:rPr>
          <w:rFonts w:hint="eastAsia" w:ascii="宋体" w:hAnsi="宋体" w:eastAsia="宋体"/>
          <w:bCs/>
          <w:sz w:val="24"/>
          <w:szCs w:val="24"/>
          <w:highlight w:val="none"/>
          <w:u w:val="single"/>
        </w:rPr>
        <w:t>分</w:t>
      </w:r>
      <w:r>
        <w:rPr>
          <w:rFonts w:hint="eastAsia" w:ascii="宋体" w:hAnsi="宋体" w:eastAsia="宋体"/>
          <w:bCs/>
          <w:sz w:val="24"/>
          <w:szCs w:val="24"/>
          <w:highlight w:val="none"/>
        </w:rPr>
        <w:t>（北京时间）</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各投标人在投标文件提交截止时间前将电子投标文件上传到新版聊城市公共资源电子交易系统（http://ggzyjy.liaocheng.gov.cn:8601/tpbidder）</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开标时间</w:t>
      </w:r>
      <w:r>
        <w:rPr>
          <w:rFonts w:hint="eastAsia" w:ascii="宋体" w:hAnsi="宋体" w:eastAsia="宋体"/>
          <w:bCs/>
          <w:sz w:val="24"/>
          <w:szCs w:val="24"/>
          <w:highlight w:val="none"/>
          <w:u w:val="single"/>
        </w:rPr>
        <w:t>：2023年</w:t>
      </w:r>
      <w:r>
        <w:rPr>
          <w:rFonts w:hint="eastAsia" w:ascii="宋体" w:hAnsi="宋体"/>
          <w:bCs/>
          <w:sz w:val="24"/>
          <w:szCs w:val="24"/>
          <w:highlight w:val="none"/>
          <w:u w:val="single"/>
          <w:lang w:val="en-US" w:eastAsia="zh-CN"/>
        </w:rPr>
        <w:t>09</w:t>
      </w:r>
      <w:r>
        <w:rPr>
          <w:rFonts w:hint="eastAsia" w:ascii="宋体" w:hAnsi="宋体" w:eastAsia="宋体"/>
          <w:bCs/>
          <w:sz w:val="24"/>
          <w:szCs w:val="24"/>
          <w:highlight w:val="none"/>
          <w:u w:val="single"/>
        </w:rPr>
        <w:t>月</w:t>
      </w:r>
      <w:r>
        <w:rPr>
          <w:rFonts w:hint="eastAsia" w:ascii="宋体" w:hAnsi="宋体"/>
          <w:bCs/>
          <w:sz w:val="24"/>
          <w:szCs w:val="24"/>
          <w:highlight w:val="none"/>
          <w:u w:val="single"/>
          <w:lang w:val="en-US" w:eastAsia="zh-CN"/>
        </w:rPr>
        <w:t>12</w:t>
      </w:r>
      <w:r>
        <w:rPr>
          <w:rFonts w:hint="eastAsia" w:ascii="宋体" w:hAnsi="宋体" w:eastAsia="宋体"/>
          <w:bCs/>
          <w:sz w:val="24"/>
          <w:szCs w:val="24"/>
          <w:highlight w:val="none"/>
          <w:u w:val="single"/>
        </w:rPr>
        <w:t>日</w:t>
      </w:r>
      <w:r>
        <w:rPr>
          <w:rFonts w:hint="eastAsia" w:ascii="宋体" w:hAnsi="宋体"/>
          <w:bCs/>
          <w:sz w:val="24"/>
          <w:szCs w:val="24"/>
          <w:highlight w:val="none"/>
          <w:u w:val="single"/>
          <w:lang w:val="en-US" w:eastAsia="zh-CN"/>
        </w:rPr>
        <w:t>09</w:t>
      </w:r>
      <w:r>
        <w:rPr>
          <w:rFonts w:hint="eastAsia" w:ascii="宋体" w:hAnsi="宋体" w:eastAsia="宋体"/>
          <w:bCs/>
          <w:sz w:val="24"/>
          <w:szCs w:val="24"/>
          <w:highlight w:val="none"/>
          <w:u w:val="single"/>
        </w:rPr>
        <w:t>时</w:t>
      </w:r>
      <w:r>
        <w:rPr>
          <w:rFonts w:hint="eastAsia" w:ascii="宋体" w:hAnsi="宋体"/>
          <w:bCs/>
          <w:sz w:val="24"/>
          <w:szCs w:val="24"/>
          <w:highlight w:val="none"/>
          <w:u w:val="single"/>
          <w:lang w:val="en-US" w:eastAsia="zh-CN"/>
        </w:rPr>
        <w:t>00</w:t>
      </w:r>
      <w:bookmarkStart w:id="33" w:name="_GoBack"/>
      <w:bookmarkEnd w:id="33"/>
      <w:r>
        <w:rPr>
          <w:rFonts w:hint="eastAsia" w:ascii="宋体" w:hAnsi="宋体" w:eastAsia="宋体"/>
          <w:bCs/>
          <w:sz w:val="24"/>
          <w:szCs w:val="24"/>
          <w:highlight w:val="none"/>
          <w:u w:val="single"/>
        </w:rPr>
        <w:t>分</w:t>
      </w:r>
      <w:r>
        <w:rPr>
          <w:rFonts w:hint="eastAsia" w:ascii="宋体" w:hAnsi="宋体" w:eastAsia="宋体"/>
          <w:bCs/>
          <w:sz w:val="24"/>
          <w:szCs w:val="24"/>
          <w:highlight w:val="none"/>
        </w:rPr>
        <w:t>（北京时间）</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地点：本项目采取不见面方式开标，开标当日投标人不必抵达现场，仅需登录聊城市公共资源交易中心不见面开标大厅参与会议。各投标人应严格按照招标文件的具体要求在开标前登录网上不见面开标大厅完成相应工作，并安排专人实时在线处理答疑、澄清、报价等事宜。具体详见《聊城不见面开标大厅--操作手册（投标人）》。</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不见面开标大厅登录途径：地点：本项目采取不见面方式开标，开标当日投标人不必抵达现场，仅需登录聊城市公共资源交易中心不见面开标大厅参与会议。各投标人应严格按照招标文件的具体要求在开标前登录网上不见面开标大厅完成相应工作，并安排专人实时在线处理答疑、澄清、报价等事宜。具体详见《聊城不见面开标大厅--操作手册（投标人）》。不见面开标大厅登录途径：1.聊城市公共资源交易中心不见面开标大厅（聊城市公共资源交易中心网-平台入口-不见面开标大厅登录入口-选择登录地区（聊城新平台（java）））；2.不见面开标大厅网址：http://ggzyjy.liaocheng.gov.cn:8093/BidOpening/bidopeninghallaction/hall/login</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五、公告期限</w:t>
      </w:r>
    </w:p>
    <w:p>
      <w:pPr>
        <w:spacing w:line="360" w:lineRule="auto"/>
        <w:rPr>
          <w:rFonts w:ascii="宋体" w:hAnsi="宋体" w:eastAsia="宋体"/>
          <w:kern w:val="0"/>
          <w:sz w:val="24"/>
          <w:szCs w:val="24"/>
          <w:highlight w:val="none"/>
        </w:rPr>
      </w:pPr>
      <w:r>
        <w:rPr>
          <w:rFonts w:hint="eastAsia" w:ascii="宋体" w:hAnsi="宋体" w:eastAsia="宋体"/>
          <w:kern w:val="0"/>
          <w:sz w:val="24"/>
          <w:szCs w:val="24"/>
          <w:highlight w:val="none"/>
        </w:rPr>
        <w:t>自本公告发布之日起</w:t>
      </w:r>
      <w:r>
        <w:rPr>
          <w:rFonts w:hint="eastAsia" w:ascii="宋体" w:hAnsi="宋体" w:eastAsia="宋体"/>
          <w:kern w:val="0"/>
          <w:sz w:val="24"/>
          <w:szCs w:val="24"/>
          <w:highlight w:val="none"/>
          <w:lang w:val="en-US" w:eastAsia="zh-CN"/>
        </w:rPr>
        <w:t>3</w:t>
      </w:r>
      <w:r>
        <w:rPr>
          <w:rFonts w:hint="eastAsia" w:ascii="宋体" w:hAnsi="宋体" w:eastAsia="宋体"/>
          <w:kern w:val="0"/>
          <w:sz w:val="24"/>
          <w:szCs w:val="24"/>
          <w:highlight w:val="none"/>
        </w:rPr>
        <w:t>个工作日。</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六、其他补充事宜</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1.发布公告的媒介：中国山东政府采购网、聊城市公共资源交易中心网。</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2.电子交易系统特别注意事项</w:t>
      </w:r>
    </w:p>
    <w:p>
      <w:pPr>
        <w:pStyle w:val="727"/>
        <w:spacing w:line="360" w:lineRule="auto"/>
        <w:ind w:firstLine="0" w:firstLineChars="0"/>
        <w:rPr>
          <w:rFonts w:hint="eastAsia" w:ascii="宋体" w:hAnsi="宋体" w:eastAsia="宋体"/>
          <w:sz w:val="24"/>
          <w:szCs w:val="24"/>
          <w:highlight w:val="none"/>
        </w:rPr>
      </w:pPr>
      <w:r>
        <w:rPr>
          <w:rFonts w:hint="eastAsia" w:ascii="宋体" w:hAnsi="宋体" w:eastAsia="宋体"/>
          <w:sz w:val="24"/>
          <w:szCs w:val="24"/>
          <w:highlight w:val="none"/>
        </w:rPr>
        <w:t>（1）投标人首次在新版聊城市公共资源电子交易系统（http://ggzyjy.liaocheng.gov.cn:8601/tpbidder）参与投标的，获取招标文件前须办理企业诚信入库，详见聊城市公共资源交易中心网《关于新版公共资源交易平台系统上线试运行的通知》（http://ggzyjy.liaocheng.gov.cn/lcggzy/tzgg/20230613/d95a44cc-38cc-4176-9ac7-137d9fe765d7.html）。因未及时办理入库导致无法获取文件的，后果自负。另各投标人务必安排好专人对诚信库信息进行更新、维护，并对因诚信库不合法、不真实、不清晰、不完整、无效、错误或编辑待验证状态等造成的一切后果负责。</w:t>
      </w:r>
    </w:p>
    <w:p>
      <w:pPr>
        <w:pStyle w:val="727"/>
        <w:spacing w:line="360" w:lineRule="auto"/>
        <w:ind w:firstLine="0" w:firstLineChars="0"/>
        <w:rPr>
          <w:rFonts w:hint="eastAsia" w:ascii="宋体" w:hAnsi="宋体" w:eastAsia="宋体"/>
          <w:sz w:val="24"/>
          <w:szCs w:val="24"/>
          <w:highlight w:val="none"/>
        </w:rPr>
      </w:pPr>
      <w:r>
        <w:rPr>
          <w:rFonts w:hint="eastAsia" w:ascii="宋体" w:hAnsi="宋体" w:eastAsia="宋体"/>
          <w:sz w:val="24"/>
          <w:szCs w:val="24"/>
          <w:highlight w:val="none"/>
        </w:rPr>
        <w:t>（2）本项目实行电子评标，投标人需办理CA证书，办理要求详见聊城市公共资源交易中心网右侧快捷入口“CA办理”。因未及时办理CA证书导致无法投标的，责任自负。CA办理咨询电话：0635-8902280 ；移动CA锁（标证通）办理咨询电话：400-823-8788。</w:t>
      </w:r>
    </w:p>
    <w:p>
      <w:pPr>
        <w:pStyle w:val="727"/>
        <w:spacing w:line="360" w:lineRule="auto"/>
        <w:ind w:firstLine="0" w:firstLineChars="0"/>
        <w:rPr>
          <w:rFonts w:hint="eastAsia" w:ascii="宋体" w:hAnsi="宋体" w:eastAsia="宋体"/>
          <w:sz w:val="24"/>
          <w:szCs w:val="24"/>
          <w:highlight w:val="none"/>
        </w:rPr>
      </w:pPr>
      <w:r>
        <w:rPr>
          <w:rFonts w:hint="eastAsia" w:ascii="宋体" w:hAnsi="宋体" w:eastAsia="宋体"/>
          <w:sz w:val="24"/>
          <w:szCs w:val="24"/>
          <w:highlight w:val="none"/>
        </w:rPr>
        <w:t>（3）各投标人应随时关注项目信息并及时登录新版聊城市公共资源电子交易系统下载招标文件和各类答疑澄清，否则所造成的一切后果由投标人承担，最终文件以答疑澄清后的为准。电子评标的，制作投标文件需将答疑澄清文件导入投标文件制作工具。</w:t>
      </w:r>
    </w:p>
    <w:p>
      <w:pPr>
        <w:pStyle w:val="727"/>
        <w:spacing w:line="360" w:lineRule="auto"/>
        <w:ind w:firstLine="0" w:firstLineChars="0"/>
        <w:rPr>
          <w:rFonts w:hint="eastAsia" w:ascii="宋体" w:hAnsi="宋体" w:eastAsia="宋体"/>
          <w:sz w:val="24"/>
          <w:szCs w:val="24"/>
          <w:highlight w:val="none"/>
        </w:rPr>
      </w:pPr>
      <w:r>
        <w:rPr>
          <w:rFonts w:hint="eastAsia" w:ascii="宋体" w:hAnsi="宋体" w:eastAsia="宋体"/>
          <w:sz w:val="24"/>
          <w:szCs w:val="24"/>
          <w:highlight w:val="none"/>
        </w:rPr>
        <w:t>（4）电子投标文件制作工具请到聊城市公共资源交易中心网“下载中心-政府采购-政府采购电子标投标文件制作软件以及视频教程”下载。</w:t>
      </w:r>
    </w:p>
    <w:p>
      <w:pPr>
        <w:pStyle w:val="727"/>
        <w:spacing w:line="360" w:lineRule="auto"/>
        <w:ind w:firstLine="0" w:firstLineChars="0"/>
        <w:rPr>
          <w:rFonts w:hint="eastAsia" w:ascii="宋体" w:hAnsi="宋体" w:eastAsia="宋体"/>
          <w:sz w:val="24"/>
          <w:szCs w:val="24"/>
          <w:highlight w:val="none"/>
        </w:rPr>
      </w:pPr>
      <w:r>
        <w:rPr>
          <w:rFonts w:hint="eastAsia" w:ascii="宋体" w:hAnsi="宋体" w:eastAsia="宋体"/>
          <w:sz w:val="24"/>
          <w:szCs w:val="24"/>
          <w:highlight w:val="none"/>
        </w:rPr>
        <w:t>（5）投标人如遇交易系统软件操作技术问题，请咨询国泰新点软件股份有限公司或聊城市公共资源交易中心交易平台维护室。国泰新点软件股份有限公司：400-998-0000；聊城市公共资源交易中心交易平台维护室：0635-8902702，联系人：黄工、张工。</w:t>
      </w:r>
    </w:p>
    <w:p>
      <w:pPr>
        <w:pStyle w:val="727"/>
        <w:spacing w:line="360" w:lineRule="auto"/>
        <w:ind w:firstLine="0" w:firstLineChars="0"/>
        <w:rPr>
          <w:rFonts w:hint="eastAsia" w:ascii="宋体" w:hAnsi="宋体" w:eastAsia="宋体"/>
          <w:sz w:val="24"/>
          <w:szCs w:val="24"/>
          <w:highlight w:val="none"/>
        </w:rPr>
      </w:pPr>
      <w:r>
        <w:rPr>
          <w:rFonts w:hint="eastAsia" w:ascii="宋体" w:hAnsi="宋体" w:eastAsia="宋体"/>
          <w:sz w:val="24"/>
          <w:szCs w:val="24"/>
          <w:highlight w:val="none"/>
        </w:rPr>
        <w:t>（6）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w:t>
      </w:r>
    </w:p>
    <w:p>
      <w:pPr>
        <w:pStyle w:val="727"/>
        <w:spacing w:line="360" w:lineRule="auto"/>
        <w:ind w:firstLine="0" w:firstLineChars="0"/>
        <w:rPr>
          <w:rFonts w:ascii="宋体" w:hAnsi="宋体" w:eastAsia="宋体"/>
          <w:sz w:val="24"/>
          <w:szCs w:val="24"/>
          <w:highlight w:val="none"/>
        </w:rPr>
      </w:pPr>
      <w:r>
        <w:rPr>
          <w:rFonts w:hint="eastAsia" w:ascii="宋体" w:hAnsi="宋体" w:eastAsia="宋体"/>
          <w:sz w:val="24"/>
          <w:szCs w:val="24"/>
          <w:highlight w:val="none"/>
        </w:rPr>
        <w:t>3.重要说明</w:t>
      </w:r>
    </w:p>
    <w:p>
      <w:pPr>
        <w:pStyle w:val="727"/>
        <w:spacing w:line="360" w:lineRule="auto"/>
        <w:ind w:firstLine="0" w:firstLineChars="0"/>
        <w:rPr>
          <w:rFonts w:ascii="宋体" w:hAnsi="宋体" w:eastAsia="宋体"/>
          <w:sz w:val="24"/>
          <w:szCs w:val="24"/>
          <w:highlight w:val="none"/>
        </w:rPr>
      </w:pPr>
      <w:r>
        <w:rPr>
          <w:rFonts w:hint="eastAsia" w:ascii="宋体" w:hAnsi="宋体" w:eastAsia="宋体"/>
          <w:sz w:val="24"/>
          <w:szCs w:val="24"/>
          <w:highlight w:val="none"/>
        </w:rPr>
        <w:t>（1）公告附件链接的招标文件仅供获取前查看，投标人必须登录</w:t>
      </w:r>
      <w:r>
        <w:rPr>
          <w:rFonts w:hint="eastAsia" w:ascii="宋体" w:hAnsi="宋体"/>
          <w:sz w:val="24"/>
          <w:szCs w:val="24"/>
          <w:highlight w:val="none"/>
          <w:u w:val="single"/>
          <w:lang w:val="en-US" w:eastAsia="zh-CN"/>
        </w:rPr>
        <w:t>新版</w:t>
      </w:r>
      <w:r>
        <w:rPr>
          <w:rFonts w:hint="eastAsia" w:ascii="宋体" w:hAnsi="宋体" w:eastAsia="宋体"/>
          <w:sz w:val="24"/>
          <w:szCs w:val="24"/>
          <w:highlight w:val="none"/>
          <w:u w:val="single"/>
        </w:rPr>
        <w:t>聊城市公共资源招投标会员网上交易系统</w:t>
      </w:r>
      <w:r>
        <w:rPr>
          <w:rFonts w:hint="eastAsia" w:ascii="宋体" w:hAnsi="宋体" w:eastAsia="宋体"/>
          <w:sz w:val="24"/>
          <w:szCs w:val="24"/>
          <w:highlight w:val="none"/>
        </w:rPr>
        <w:t>获取并下载正式的招标文件。网上获取文件的成功不代表资格审查的最终通过或合格，投标人最终资格的确认以评标委员会组织的审核结果为准。</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（2）本项目采用电子标评审，其中技术标采用明标评审。</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其他补充内容：无</w:t>
      </w:r>
    </w:p>
    <w:p>
      <w:pPr>
        <w:spacing w:line="360" w:lineRule="auto"/>
        <w:rPr>
          <w:rFonts w:ascii="宋体" w:hAnsi="宋体" w:eastAsia="宋体"/>
          <w:sz w:val="24"/>
          <w:szCs w:val="24"/>
          <w:highlight w:val="none"/>
        </w:rPr>
      </w:pPr>
      <w:r>
        <w:rPr>
          <w:rFonts w:hint="eastAsia" w:ascii="宋体" w:hAnsi="宋体" w:eastAsia="宋体"/>
          <w:sz w:val="24"/>
          <w:szCs w:val="24"/>
          <w:highlight w:val="none"/>
        </w:rPr>
        <w:t>七、对本次招标提出询问，请按以下方式联系。</w:t>
      </w:r>
    </w:p>
    <w:p>
      <w:pPr>
        <w:widowControl/>
        <w:spacing w:line="360" w:lineRule="auto"/>
        <w:jc w:val="left"/>
        <w:rPr>
          <w:rFonts w:ascii="宋体" w:hAnsi="宋体" w:eastAsia="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人信息</w:t>
      </w:r>
    </w:p>
    <w:p>
      <w:pPr>
        <w:spacing w:line="360" w:lineRule="auto"/>
        <w:jc w:val="left"/>
        <w:rPr>
          <w:rFonts w:hint="eastAsia" w:ascii="宋体" w:hAnsi="宋体" w:eastAsia="宋体"/>
          <w:sz w:val="24"/>
          <w:szCs w:val="24"/>
          <w:highlight w:val="none"/>
          <w:lang w:eastAsia="zh-CN"/>
        </w:rPr>
      </w:pPr>
      <w:r>
        <w:rPr>
          <w:rFonts w:hint="eastAsia" w:ascii="宋体" w:hAnsi="宋体" w:eastAsia="宋体"/>
          <w:sz w:val="24"/>
          <w:szCs w:val="24"/>
          <w:highlight w:val="none"/>
        </w:rPr>
        <w:t>名    称：</w:t>
      </w:r>
      <w:r>
        <w:rPr>
          <w:rFonts w:hint="eastAsia" w:ascii="宋体" w:hAnsi="宋体" w:eastAsia="宋体"/>
          <w:sz w:val="24"/>
          <w:szCs w:val="24"/>
          <w:highlight w:val="none"/>
          <w:lang w:eastAsia="zh-CN"/>
        </w:rPr>
        <w:t>聊城市教育和体育局</w:t>
      </w:r>
    </w:p>
    <w:p>
      <w:pPr>
        <w:spacing w:line="360" w:lineRule="auto"/>
        <w:jc w:val="left"/>
        <w:rPr>
          <w:rFonts w:hint="eastAsia" w:ascii="宋体" w:hAnsi="宋体" w:eastAsia="宋体"/>
          <w:sz w:val="24"/>
          <w:szCs w:val="24"/>
          <w:highlight w:val="none"/>
          <w:lang w:val="en-US" w:eastAsia="zh-CN"/>
        </w:rPr>
      </w:pPr>
      <w:r>
        <w:rPr>
          <w:rFonts w:hint="eastAsia" w:ascii="宋体" w:hAnsi="宋体" w:eastAsia="宋体"/>
          <w:sz w:val="24"/>
          <w:szCs w:val="24"/>
          <w:highlight w:val="none"/>
        </w:rPr>
        <w:t>地    址：</w:t>
      </w:r>
      <w:r>
        <w:rPr>
          <w:rFonts w:hint="eastAsia" w:ascii="宋体" w:hAnsi="宋体" w:eastAsia="宋体"/>
          <w:sz w:val="24"/>
          <w:szCs w:val="24"/>
          <w:highlight w:val="none"/>
          <w:lang w:eastAsia="zh-CN"/>
        </w:rPr>
        <w:t>聊城市湖南路</w:t>
      </w:r>
    </w:p>
    <w:p>
      <w:pPr>
        <w:spacing w:line="360" w:lineRule="auto"/>
        <w:jc w:val="left"/>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联 系 人：张科长</w:t>
      </w:r>
    </w:p>
    <w:p>
      <w:pPr>
        <w:spacing w:line="360" w:lineRule="auto"/>
        <w:jc w:val="left"/>
        <w:rPr>
          <w:rFonts w:hint="eastAsia" w:ascii="宋体" w:hAnsi="宋体" w:eastAsia="宋体"/>
          <w:sz w:val="24"/>
          <w:szCs w:val="24"/>
          <w:highlight w:val="none"/>
          <w:lang w:eastAsia="zh-CN"/>
        </w:rPr>
      </w:pPr>
      <w:r>
        <w:rPr>
          <w:rFonts w:hint="eastAsia" w:ascii="宋体" w:hAnsi="宋体" w:eastAsia="宋体"/>
          <w:sz w:val="24"/>
          <w:szCs w:val="24"/>
          <w:highlight w:val="none"/>
        </w:rPr>
        <w:t>联系方式：0635-8242091</w:t>
      </w:r>
    </w:p>
    <w:p>
      <w:pPr>
        <w:spacing w:line="360" w:lineRule="auto"/>
        <w:jc w:val="left"/>
        <w:rPr>
          <w:rFonts w:ascii="宋体" w:hAnsi="宋体" w:eastAsia="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代理机构信息</w:t>
      </w:r>
    </w:p>
    <w:p>
      <w:pPr>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rPr>
        <w:t>名    称：</w:t>
      </w:r>
      <w:r>
        <w:rPr>
          <w:rFonts w:hint="eastAsia" w:ascii="宋体" w:hAnsi="宋体" w:eastAsia="宋体"/>
          <w:sz w:val="24"/>
          <w:szCs w:val="24"/>
          <w:highlight w:val="none"/>
          <w:lang w:eastAsia="zh-CN"/>
        </w:rPr>
        <w:t>山东众合项目咨询有限公司</w:t>
      </w:r>
    </w:p>
    <w:p>
      <w:pPr>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rPr>
        <w:t>地    址：</w:t>
      </w:r>
      <w:r>
        <w:rPr>
          <w:rFonts w:hint="eastAsia" w:ascii="宋体" w:hAnsi="宋体" w:eastAsia="宋体"/>
          <w:sz w:val="24"/>
          <w:szCs w:val="24"/>
          <w:highlight w:val="none"/>
          <w:lang w:eastAsia="zh-CN"/>
        </w:rPr>
        <w:t>山东省聊城市高新区华建一街区商业办公楼九栋五楼</w:t>
      </w:r>
    </w:p>
    <w:p>
      <w:pPr>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rPr>
        <w:t>联系方式：</w:t>
      </w:r>
      <w:r>
        <w:rPr>
          <w:rFonts w:hint="eastAsia" w:ascii="宋体" w:hAnsi="宋体"/>
          <w:sz w:val="24"/>
          <w:szCs w:val="24"/>
          <w:highlight w:val="none"/>
          <w:lang w:val="en-US" w:eastAsia="zh-CN"/>
        </w:rPr>
        <w:t>15315770811</w:t>
      </w:r>
    </w:p>
    <w:p>
      <w:pPr>
        <w:spacing w:line="360" w:lineRule="auto"/>
        <w:rPr>
          <w:rFonts w:ascii="宋体" w:hAnsi="宋体" w:eastAsia="宋体"/>
          <w:sz w:val="24"/>
          <w:szCs w:val="24"/>
          <w:highlight w:val="none"/>
        </w:rPr>
      </w:pPr>
      <w:r>
        <w:rPr>
          <w:rFonts w:hint="eastAsia" w:ascii="宋体" w:hAnsi="宋体" w:eastAsia="宋体" w:cs="宋体"/>
          <w:sz w:val="24"/>
          <w:szCs w:val="24"/>
          <w:highlight w:val="none"/>
        </w:rPr>
        <w:t>3.项目联系方式</w:t>
      </w:r>
    </w:p>
    <w:p>
      <w:pPr>
        <w:pStyle w:val="39"/>
        <w:spacing w:line="360" w:lineRule="auto"/>
        <w:ind w:left="0" w:leftChars="0" w:firstLine="0" w:firstLineChars="0"/>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项目联系人：</w:t>
      </w:r>
      <w:r>
        <w:rPr>
          <w:rFonts w:hint="eastAsia" w:hAnsi="宋体" w:cs="宋体"/>
          <w:kern w:val="2"/>
          <w:sz w:val="24"/>
          <w:szCs w:val="24"/>
          <w:highlight w:val="none"/>
          <w:lang w:val="en-US" w:eastAsia="zh-CN" w:bidi="ar-SA"/>
        </w:rPr>
        <w:t>唐慧珑</w:t>
      </w:r>
    </w:p>
    <w:p>
      <w:pPr>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rPr>
        <w:t>电    话：</w:t>
      </w:r>
      <w:r>
        <w:rPr>
          <w:rFonts w:hint="eastAsia" w:ascii="宋体" w:hAnsi="宋体"/>
          <w:sz w:val="24"/>
          <w:szCs w:val="24"/>
          <w:highlight w:val="none"/>
          <w:lang w:val="en-US" w:eastAsia="zh-CN"/>
        </w:rPr>
        <w:t>15315770811</w:t>
      </w:r>
    </w:p>
    <w:p>
      <w:pPr>
        <w:spacing w:line="360" w:lineRule="auto"/>
        <w:jc w:val="righ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发 布 人：</w:t>
      </w:r>
      <w:r>
        <w:rPr>
          <w:rFonts w:hint="eastAsia" w:ascii="宋体" w:hAnsi="宋体" w:cs="宋体"/>
          <w:color w:val="000000"/>
          <w:sz w:val="24"/>
          <w:szCs w:val="24"/>
          <w:highlight w:val="none"/>
          <w:lang w:eastAsia="zh-CN"/>
        </w:rPr>
        <w:t>山东众合项目咨询有限公司</w:t>
      </w:r>
    </w:p>
    <w:p>
      <w:pPr>
        <w:jc w:val="right"/>
        <w:rPr>
          <w:rFonts w:hint="eastAsia" w:ascii="宋体" w:hAnsi="宋体" w:cs="宋体"/>
          <w:color w:val="000000"/>
          <w:sz w:val="24"/>
          <w:szCs w:val="24"/>
          <w:highlight w:val="none"/>
        </w:rPr>
      </w:pPr>
      <w:r>
        <w:rPr>
          <w:rFonts w:hint="eastAsia" w:ascii="宋体" w:hAnsi="宋体" w:cs="宋体"/>
          <w:color w:val="000000"/>
          <w:sz w:val="24"/>
          <w:szCs w:val="24"/>
          <w:highlight w:val="none"/>
        </w:rPr>
        <w:t>发布时间：2023年</w:t>
      </w:r>
      <w:r>
        <w:rPr>
          <w:rFonts w:hint="eastAsia" w:ascii="宋体" w:hAnsi="宋体" w:cs="宋体"/>
          <w:color w:val="000000"/>
          <w:sz w:val="24"/>
          <w:szCs w:val="24"/>
          <w:highlight w:val="none"/>
          <w:lang w:val="en-US" w:eastAsia="zh-CN"/>
        </w:rPr>
        <w:t>08</w:t>
      </w:r>
      <w:r>
        <w:rPr>
          <w:rFonts w:hint="eastAsia" w:ascii="宋体" w:hAnsi="宋体" w:cs="宋体"/>
          <w:color w:val="000000"/>
          <w:sz w:val="24"/>
          <w:szCs w:val="24"/>
          <w:highlight w:val="none"/>
        </w:rPr>
        <w:t>月</w:t>
      </w:r>
      <w:r>
        <w:rPr>
          <w:rFonts w:hint="eastAsia" w:ascii="宋体" w:hAnsi="宋体" w:cs="宋体"/>
          <w:color w:val="000000"/>
          <w:sz w:val="24"/>
          <w:szCs w:val="24"/>
          <w:highlight w:val="none"/>
          <w:lang w:val="en-US" w:eastAsia="zh-CN"/>
        </w:rPr>
        <w:t>22</w:t>
      </w:r>
      <w:r>
        <w:rPr>
          <w:rFonts w:hint="eastAsia" w:ascii="宋体" w:hAnsi="宋体" w:cs="宋体"/>
          <w:color w:val="000000"/>
          <w:sz w:val="24"/>
          <w:szCs w:val="24"/>
          <w:highlight w:val="none"/>
        </w:rPr>
        <w:t>日</w:t>
      </w:r>
    </w:p>
    <w:p>
      <w:pPr>
        <w:jc w:val="center"/>
        <w:rPr>
          <w:b/>
          <w:color w:val="auto"/>
          <w:sz w:val="36"/>
          <w:highlight w:val="none"/>
        </w:rPr>
      </w:pPr>
      <w:r>
        <w:rPr>
          <w:b/>
          <w:color w:val="auto"/>
          <w:sz w:val="36"/>
          <w:highlight w:val="none"/>
        </w:rPr>
        <w:br w:type="page"/>
      </w:r>
    </w:p>
    <w:p>
      <w:pPr>
        <w:spacing w:line="500" w:lineRule="exact"/>
        <w:jc w:val="center"/>
        <w:outlineLvl w:val="0"/>
        <w:rPr>
          <w:b/>
          <w:color w:val="auto"/>
          <w:sz w:val="36"/>
          <w:highlight w:val="none"/>
        </w:rPr>
      </w:pPr>
      <w:r>
        <w:rPr>
          <w:b/>
          <w:color w:val="auto"/>
          <w:sz w:val="36"/>
          <w:highlight w:val="none"/>
        </w:rPr>
        <w:t xml:space="preserve">第二部分  </w:t>
      </w:r>
      <w:bookmarkEnd w:id="3"/>
      <w:bookmarkEnd w:id="4"/>
      <w:bookmarkStart w:id="6" w:name="_Toc353257257"/>
      <w:r>
        <w:rPr>
          <w:b/>
          <w:color w:val="auto"/>
          <w:sz w:val="36"/>
          <w:highlight w:val="none"/>
        </w:rPr>
        <w:t>投标人须知</w:t>
      </w:r>
      <w:bookmarkEnd w:id="5"/>
    </w:p>
    <w:tbl>
      <w:tblPr>
        <w:tblStyle w:val="73"/>
        <w:tblW w:w="9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2160"/>
        <w:gridCol w:w="7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14" w:type="dxa"/>
            <w:tcBorders>
              <w:bottom w:val="single" w:color="auto" w:sz="4" w:space="0"/>
            </w:tcBorders>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项号</w:t>
            </w:r>
          </w:p>
        </w:tc>
        <w:tc>
          <w:tcPr>
            <w:tcW w:w="2160" w:type="dxa"/>
            <w:tcBorders>
              <w:bottom w:val="single" w:color="auto" w:sz="4" w:space="0"/>
            </w:tcBorders>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内容</w:t>
            </w:r>
          </w:p>
        </w:tc>
        <w:tc>
          <w:tcPr>
            <w:tcW w:w="7021" w:type="dxa"/>
            <w:tcBorders>
              <w:bottom w:val="single" w:color="auto" w:sz="4" w:space="0"/>
            </w:tcBorders>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shd w:val="clear" w:color="auto" w:fill="FFFFFF"/>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1</w:t>
            </w:r>
          </w:p>
        </w:tc>
        <w:tc>
          <w:tcPr>
            <w:tcW w:w="2160" w:type="dxa"/>
            <w:shd w:val="clear" w:color="auto" w:fill="FFFFFF"/>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项目名称</w:t>
            </w:r>
          </w:p>
        </w:tc>
        <w:tc>
          <w:tcPr>
            <w:tcW w:w="7021" w:type="dxa"/>
            <w:shd w:val="clear" w:color="auto" w:fill="FFFFFF"/>
            <w:noWrap w:val="0"/>
            <w:vAlign w:val="center"/>
          </w:tcPr>
          <w:p>
            <w:pPr>
              <w:pStyle w:val="666"/>
              <w:keepNext w:val="0"/>
              <w:keepLines w:val="0"/>
              <w:suppressLineNumbers w:val="0"/>
              <w:spacing w:before="0" w:beforeAutospacing="0" w:after="0" w:afterAutospacing="0" w:line="360" w:lineRule="auto"/>
              <w:ind w:left="0" w:right="0" w:firstLine="0" w:firstLineChars="0"/>
              <w:jc w:val="both"/>
              <w:rPr>
                <w:rFonts w:hint="eastAsia" w:eastAsia="宋体" w:cs="Times New Roman"/>
                <w:b/>
                <w:color w:val="auto"/>
                <w:szCs w:val="20"/>
                <w:highlight w:val="none"/>
                <w:u w:val="single"/>
                <w:lang w:eastAsia="zh-CN"/>
              </w:rPr>
            </w:pPr>
            <w:r>
              <w:rPr>
                <w:rFonts w:hint="eastAsia" w:cs="Times New Roman"/>
                <w:color w:val="auto"/>
                <w:szCs w:val="20"/>
                <w:highlight w:val="none"/>
                <w:lang w:eastAsia="zh-CN"/>
              </w:rPr>
              <w:t>聊城市县级体育公园智能体育器材配备项目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shd w:val="clear" w:color="auto" w:fill="FFFFFF"/>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2</w:t>
            </w:r>
          </w:p>
        </w:tc>
        <w:tc>
          <w:tcPr>
            <w:tcW w:w="2160" w:type="dxa"/>
            <w:shd w:val="clear" w:color="auto" w:fill="FFFFFF"/>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eastAsia" w:ascii="Times New Roman" w:hAnsi="Times New Roman" w:cs="Times New Roman"/>
                <w:color w:val="auto"/>
                <w:szCs w:val="20"/>
                <w:highlight w:val="none"/>
              </w:rPr>
              <w:t>项目</w:t>
            </w:r>
            <w:r>
              <w:rPr>
                <w:rFonts w:hint="default" w:ascii="Times New Roman" w:hAnsi="Times New Roman" w:cs="Times New Roman"/>
                <w:color w:val="auto"/>
                <w:szCs w:val="20"/>
                <w:highlight w:val="none"/>
              </w:rPr>
              <w:t>地点</w:t>
            </w:r>
          </w:p>
        </w:tc>
        <w:tc>
          <w:tcPr>
            <w:tcW w:w="7021" w:type="dxa"/>
            <w:shd w:val="clear" w:color="auto" w:fill="FFFFFF"/>
            <w:noWrap w:val="0"/>
            <w:vAlign w:val="center"/>
          </w:tcPr>
          <w:p>
            <w:pPr>
              <w:pStyle w:val="666"/>
              <w:keepNext w:val="0"/>
              <w:keepLines w:val="0"/>
              <w:suppressLineNumbers w:val="0"/>
              <w:spacing w:before="0" w:beforeAutospacing="0" w:after="0" w:afterAutospacing="0" w:line="360" w:lineRule="auto"/>
              <w:ind w:left="0" w:right="0" w:firstLine="0" w:firstLineChars="0"/>
              <w:jc w:val="both"/>
              <w:rPr>
                <w:rFonts w:hint="eastAsia" w:ascii="Times New Roman" w:hAnsi="Times New Roman" w:eastAsia="宋体" w:cs="Times New Roman"/>
                <w:color w:val="auto"/>
                <w:szCs w:val="20"/>
                <w:highlight w:val="none"/>
                <w:lang w:eastAsia="zh-CN"/>
              </w:rPr>
            </w:pPr>
            <w:r>
              <w:rPr>
                <w:rFonts w:hint="eastAsia" w:ascii="Times New Roman" w:hAnsi="Times New Roman" w:cs="Times New Roman"/>
                <w:color w:val="auto"/>
                <w:szCs w:val="20"/>
                <w:highlight w:val="none"/>
                <w:lang w:eastAsia="zh-CN"/>
              </w:rPr>
              <w:t>甲方指定地点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shd w:val="clear" w:color="auto" w:fill="FFFFFF"/>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3</w:t>
            </w:r>
          </w:p>
        </w:tc>
        <w:tc>
          <w:tcPr>
            <w:tcW w:w="2160" w:type="dxa"/>
            <w:shd w:val="clear" w:color="auto" w:fill="FFFFFF"/>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eastAsia" w:ascii="Times New Roman" w:hAnsi="Times New Roman" w:cs="Times New Roman"/>
                <w:color w:val="auto"/>
                <w:szCs w:val="20"/>
                <w:highlight w:val="none"/>
                <w:lang w:val="en-US" w:eastAsia="zh-CN"/>
              </w:rPr>
              <w:t>招标</w:t>
            </w:r>
            <w:r>
              <w:rPr>
                <w:rFonts w:hint="default" w:ascii="Times New Roman" w:hAnsi="Times New Roman" w:cs="Times New Roman"/>
                <w:color w:val="auto"/>
                <w:szCs w:val="20"/>
                <w:highlight w:val="none"/>
              </w:rPr>
              <w:t>人名称</w:t>
            </w:r>
          </w:p>
        </w:tc>
        <w:tc>
          <w:tcPr>
            <w:tcW w:w="7021" w:type="dxa"/>
            <w:shd w:val="clear" w:color="auto" w:fill="FFFFFF"/>
            <w:noWrap w:val="0"/>
            <w:vAlign w:val="center"/>
          </w:tcPr>
          <w:p>
            <w:pPr>
              <w:pStyle w:val="666"/>
              <w:keepNext w:val="0"/>
              <w:keepLines w:val="0"/>
              <w:suppressLineNumbers w:val="0"/>
              <w:spacing w:before="0" w:beforeAutospacing="0" w:after="0" w:afterAutospacing="0" w:line="360" w:lineRule="auto"/>
              <w:ind w:left="0" w:right="0" w:firstLine="0" w:firstLineChars="0"/>
              <w:jc w:val="both"/>
              <w:rPr>
                <w:rFonts w:hint="eastAsia" w:ascii="Times New Roman" w:hAnsi="Times New Roman" w:eastAsia="宋体" w:cs="Times New Roman"/>
                <w:color w:val="auto"/>
                <w:szCs w:val="20"/>
                <w:highlight w:val="none"/>
                <w:lang w:eastAsia="zh-CN"/>
              </w:rPr>
            </w:pPr>
            <w:r>
              <w:rPr>
                <w:rFonts w:hint="eastAsia" w:cs="Times New Roman"/>
                <w:color w:val="auto"/>
                <w:szCs w:val="20"/>
                <w:highlight w:val="none"/>
                <w:lang w:eastAsia="zh-CN"/>
              </w:rPr>
              <w:t>聊城市教育和体育局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shd w:val="clear" w:color="auto" w:fill="FFFFFF"/>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4</w:t>
            </w:r>
          </w:p>
        </w:tc>
        <w:tc>
          <w:tcPr>
            <w:tcW w:w="2160" w:type="dxa"/>
            <w:shd w:val="clear" w:color="auto" w:fill="FFFFFF"/>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招标内容</w:t>
            </w:r>
          </w:p>
        </w:tc>
        <w:tc>
          <w:tcPr>
            <w:tcW w:w="7021" w:type="dxa"/>
            <w:shd w:val="clear" w:color="auto" w:fill="FFFFFF"/>
            <w:noWrap w:val="0"/>
            <w:vAlign w:val="center"/>
          </w:tcPr>
          <w:p>
            <w:pPr>
              <w:keepNext w:val="0"/>
              <w:keepLines w:val="0"/>
              <w:suppressLineNumbers w:val="0"/>
              <w:spacing w:before="0" w:beforeAutospacing="0" w:after="0" w:afterAutospacing="0" w:line="360" w:lineRule="auto"/>
              <w:ind w:left="0" w:right="0"/>
              <w:rPr>
                <w:rFonts w:hint="eastAsia" w:ascii="宋体" w:hAnsi="宋体" w:cs="宋体"/>
                <w:color w:val="auto"/>
                <w:sz w:val="24"/>
                <w:szCs w:val="24"/>
                <w:highlight w:val="none"/>
              </w:rPr>
            </w:pPr>
            <w:r>
              <w:rPr>
                <w:rFonts w:hint="default" w:ascii="Times New Roman" w:hAnsi="Times New Roman" w:cs="Times New Roman"/>
                <w:color w:val="auto"/>
                <w:sz w:val="24"/>
                <w:szCs w:val="20"/>
                <w:highlight w:val="none"/>
              </w:rPr>
              <w:t>共</w:t>
            </w:r>
            <w:r>
              <w:rPr>
                <w:rFonts w:hint="eastAsia" w:cs="Times New Roman"/>
                <w:color w:val="auto"/>
                <w:sz w:val="24"/>
                <w:szCs w:val="20"/>
                <w:highlight w:val="none"/>
                <w:lang w:val="en-US" w:eastAsia="zh-CN"/>
              </w:rPr>
              <w:t>一</w:t>
            </w:r>
            <w:r>
              <w:rPr>
                <w:rFonts w:hint="eastAsia" w:ascii="Times New Roman" w:hAnsi="Times New Roman" w:cs="Times New Roman"/>
                <w:color w:val="auto"/>
                <w:sz w:val="24"/>
                <w:szCs w:val="20"/>
                <w:highlight w:val="none"/>
              </w:rPr>
              <w:t>个包，内容为</w:t>
            </w:r>
            <w:r>
              <w:rPr>
                <w:rFonts w:hint="eastAsia" w:cs="Times New Roman"/>
                <w:color w:val="auto"/>
                <w:sz w:val="24"/>
                <w:szCs w:val="20"/>
                <w:highlight w:val="none"/>
                <w:lang w:eastAsia="zh-CN"/>
              </w:rPr>
              <w:t>聊城市县级体育公园智能体育器材配备项目</w:t>
            </w:r>
            <w:r>
              <w:rPr>
                <w:rFonts w:hint="eastAsia" w:ascii="宋体" w:hAnsi="宋体" w:cs="宋体"/>
                <w:color w:val="auto"/>
                <w:sz w:val="24"/>
                <w:szCs w:val="24"/>
                <w:highlight w:val="none"/>
              </w:rPr>
              <w:t>。具体详见项目说明内容。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5</w:t>
            </w:r>
          </w:p>
        </w:tc>
        <w:tc>
          <w:tcPr>
            <w:tcW w:w="2160" w:type="dxa"/>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投标人资格要求</w:t>
            </w:r>
          </w:p>
        </w:tc>
        <w:tc>
          <w:tcPr>
            <w:tcW w:w="7021" w:type="dxa"/>
            <w:noWrap w:val="0"/>
            <w:vAlign w:val="center"/>
          </w:tcPr>
          <w:p>
            <w:pPr>
              <w:keepNext w:val="0"/>
              <w:keepLines w:val="0"/>
              <w:numPr>
                <w:ilvl w:val="0"/>
                <w:numId w:val="0"/>
              </w:numPr>
              <w:suppressLineNumbers w:val="0"/>
              <w:spacing w:before="0" w:beforeAutospacing="0" w:after="0" w:afterAutospacing="0" w:line="360" w:lineRule="auto"/>
              <w:ind w:left="0" w:right="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符合《中华人民共和国政府采购法》第二十二条相关规定；</w:t>
            </w:r>
          </w:p>
          <w:p>
            <w:pPr>
              <w:keepNext w:val="0"/>
              <w:keepLines w:val="0"/>
              <w:numPr>
                <w:ilvl w:val="0"/>
                <w:numId w:val="0"/>
              </w:numPr>
              <w:suppressLineNumbers w:val="0"/>
              <w:spacing w:before="0" w:beforeAutospacing="0" w:after="0" w:afterAutospacing="0" w:line="360" w:lineRule="auto"/>
              <w:ind w:left="0" w:leftChars="0" w:right="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2、投标人</w:t>
            </w:r>
            <w:r>
              <w:rPr>
                <w:rFonts w:hint="eastAsia" w:ascii="宋体" w:hAnsi="宋体" w:cs="宋体"/>
                <w:color w:val="auto"/>
                <w:sz w:val="24"/>
                <w:szCs w:val="24"/>
                <w:highlight w:val="none"/>
              </w:rPr>
              <w:t>具备中华人民共和国有效的营业执照；</w:t>
            </w:r>
          </w:p>
          <w:p>
            <w:pPr>
              <w:keepNext w:val="0"/>
              <w:keepLines w:val="0"/>
              <w:numPr>
                <w:ilvl w:val="0"/>
                <w:numId w:val="0"/>
              </w:numPr>
              <w:suppressLineNumbers w:val="0"/>
              <w:spacing w:before="0" w:beforeAutospacing="0" w:after="0" w:afterAutospacing="0" w:line="360" w:lineRule="auto"/>
              <w:ind w:left="0" w:leftChars="0" w:right="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3、本项目不接受联合体投标。</w:t>
            </w:r>
          </w:p>
          <w:p>
            <w:pPr>
              <w:keepNext w:val="0"/>
              <w:keepLines w:val="0"/>
              <w:numPr>
                <w:ilvl w:val="0"/>
                <w:numId w:val="0"/>
              </w:numPr>
              <w:suppressLineNumbers w:val="0"/>
              <w:spacing w:before="0" w:beforeAutospacing="0" w:after="0" w:afterAutospacing="0" w:line="360" w:lineRule="auto"/>
              <w:ind w:left="0" w:leftChars="0" w:right="0"/>
              <w:jc w:val="left"/>
              <w:rPr>
                <w:rFonts w:hint="default" w:ascii="Times New Roman" w:hAnsi="Times New Roman" w:cs="Times New Roman"/>
                <w:color w:val="auto"/>
                <w:sz w:val="24"/>
                <w:szCs w:val="24"/>
                <w:highlight w:val="none"/>
              </w:rPr>
            </w:pPr>
            <w:r>
              <w:rPr>
                <w:rFonts w:hint="eastAsia" w:ascii="宋体" w:hAnsi="宋体" w:cs="宋体"/>
                <w:color w:val="auto"/>
                <w:sz w:val="24"/>
                <w:szCs w:val="24"/>
                <w:highlight w:val="none"/>
                <w:lang w:val="en-US" w:eastAsia="zh-CN"/>
              </w:rPr>
              <w:t>4、本项目为专门面向中小企业的项目。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6</w:t>
            </w:r>
          </w:p>
        </w:tc>
        <w:tc>
          <w:tcPr>
            <w:tcW w:w="2160" w:type="dxa"/>
            <w:noWrap w:val="0"/>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资格审查</w:t>
            </w:r>
          </w:p>
        </w:tc>
        <w:tc>
          <w:tcPr>
            <w:tcW w:w="7021" w:type="dxa"/>
            <w:noWrap w:val="0"/>
            <w:vAlign w:val="center"/>
          </w:tcPr>
          <w:p>
            <w:pPr>
              <w:keepNext w:val="0"/>
              <w:keepLines w:val="0"/>
              <w:suppressLineNumbers w:val="0"/>
              <w:spacing w:before="0" w:beforeAutospacing="0" w:after="0" w:afterAutospacing="0" w:line="360" w:lineRule="auto"/>
              <w:ind w:left="0" w:right="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7</w:t>
            </w:r>
          </w:p>
        </w:tc>
        <w:tc>
          <w:tcPr>
            <w:tcW w:w="2160" w:type="dxa"/>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b/>
                <w:color w:val="auto"/>
                <w:szCs w:val="20"/>
                <w:highlight w:val="none"/>
              </w:rPr>
            </w:pPr>
            <w:r>
              <w:rPr>
                <w:rFonts w:hint="default" w:ascii="Times New Roman" w:hAnsi="Times New Roman" w:cs="Times New Roman"/>
                <w:b/>
                <w:color w:val="auto"/>
                <w:szCs w:val="20"/>
                <w:highlight w:val="none"/>
              </w:rPr>
              <w:t>投标人需提交的</w:t>
            </w:r>
            <w:r>
              <w:rPr>
                <w:rFonts w:hint="eastAsia" w:ascii="Times New Roman" w:hAnsi="Times New Roman" w:cs="Times New Roman"/>
                <w:b/>
                <w:color w:val="auto"/>
                <w:szCs w:val="20"/>
                <w:highlight w:val="none"/>
              </w:rPr>
              <w:t>资格审查</w:t>
            </w:r>
            <w:r>
              <w:rPr>
                <w:rFonts w:hint="default" w:ascii="Times New Roman" w:hAnsi="Times New Roman" w:cs="Times New Roman"/>
                <w:b/>
                <w:color w:val="auto"/>
                <w:szCs w:val="20"/>
                <w:highlight w:val="none"/>
              </w:rPr>
              <w:t>文件</w:t>
            </w:r>
          </w:p>
        </w:tc>
        <w:tc>
          <w:tcPr>
            <w:tcW w:w="7021" w:type="dxa"/>
            <w:noWrap w:val="0"/>
            <w:vAlign w:val="center"/>
          </w:tcPr>
          <w:p>
            <w:pPr>
              <w:pStyle w:val="423"/>
              <w:keepNext w:val="0"/>
              <w:keepLines w:val="0"/>
              <w:suppressLineNumbers w:val="0"/>
              <w:spacing w:before="0" w:beforeAutospacing="0" w:after="0" w:afterAutospacing="0" w:line="360" w:lineRule="auto"/>
              <w:ind w:left="0" w:right="0"/>
              <w:rPr>
                <w:rFonts w:hint="eastAsia" w:ascii="宋体" w:hAnsi="宋体" w:cs="宋体"/>
                <w:color w:val="auto"/>
                <w:szCs w:val="24"/>
                <w:highlight w:val="none"/>
              </w:rPr>
            </w:pPr>
            <w:r>
              <w:rPr>
                <w:rFonts w:hint="eastAsia" w:ascii="宋体" w:hAnsi="宋体" w:cs="宋体"/>
                <w:color w:val="auto"/>
                <w:szCs w:val="24"/>
                <w:highlight w:val="none"/>
              </w:rPr>
              <w:t>投标人须按要求提供以下证明其资格符合本项目合格投标人资格条件：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imes New Roman" w:hAnsi="Times New Roman"/>
                <w:bCs/>
                <w:sz w:val="24"/>
                <w:szCs w:val="24"/>
                <w:highlight w:val="none"/>
              </w:rPr>
            </w:pPr>
            <w:r>
              <w:rPr>
                <w:rFonts w:hint="eastAsia" w:ascii="Times New Roman" w:hAnsi="Times New Roman"/>
                <w:bCs/>
                <w:sz w:val="24"/>
                <w:szCs w:val="24"/>
                <w:highlight w:val="none"/>
                <w:lang w:eastAsia="zh-CN"/>
              </w:rPr>
              <w:t>（</w:t>
            </w:r>
            <w:r>
              <w:rPr>
                <w:rFonts w:hint="eastAsia" w:ascii="Times New Roman" w:hAnsi="Times New Roman"/>
                <w:bCs/>
                <w:sz w:val="24"/>
                <w:szCs w:val="24"/>
                <w:highlight w:val="none"/>
                <w:lang w:val="en-US" w:eastAsia="zh-CN"/>
              </w:rPr>
              <w:t>1</w:t>
            </w:r>
            <w:r>
              <w:rPr>
                <w:rFonts w:hint="eastAsia" w:ascii="Times New Roman" w:hAnsi="Times New Roman"/>
                <w:bCs/>
                <w:sz w:val="24"/>
                <w:szCs w:val="24"/>
                <w:highlight w:val="none"/>
                <w:lang w:eastAsia="zh-CN"/>
              </w:rPr>
              <w:t>）</w:t>
            </w:r>
            <w:r>
              <w:rPr>
                <w:rFonts w:hint="eastAsia" w:ascii="Times New Roman" w:hAnsi="Times New Roman"/>
                <w:bCs/>
                <w:sz w:val="24"/>
                <w:szCs w:val="24"/>
                <w:highlight w:val="none"/>
              </w:rPr>
              <w:t>营业执照（或事业单位法人证书）；</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imes New Roman" w:hAnsi="Times New Roman"/>
                <w:bCs/>
                <w:sz w:val="24"/>
                <w:szCs w:val="24"/>
                <w:highlight w:val="none"/>
              </w:rPr>
            </w:pPr>
            <w:r>
              <w:rPr>
                <w:rFonts w:hint="eastAsia" w:ascii="Times New Roman" w:hAnsi="Times New Roman"/>
                <w:bCs/>
                <w:sz w:val="24"/>
                <w:szCs w:val="24"/>
                <w:highlight w:val="none"/>
                <w:lang w:eastAsia="zh-CN"/>
              </w:rPr>
              <w:t>（</w:t>
            </w:r>
            <w:r>
              <w:rPr>
                <w:rFonts w:hint="eastAsia" w:ascii="Times New Roman" w:hAnsi="Times New Roman"/>
                <w:bCs/>
                <w:sz w:val="24"/>
                <w:szCs w:val="24"/>
                <w:highlight w:val="none"/>
                <w:lang w:val="en-US" w:eastAsia="zh-CN"/>
              </w:rPr>
              <w:t>2</w:t>
            </w:r>
            <w:r>
              <w:rPr>
                <w:rFonts w:hint="eastAsia" w:ascii="Times New Roman" w:hAnsi="Times New Roman"/>
                <w:bCs/>
                <w:sz w:val="24"/>
                <w:szCs w:val="24"/>
                <w:highlight w:val="none"/>
                <w:lang w:eastAsia="zh-CN"/>
              </w:rPr>
              <w:t>）</w:t>
            </w:r>
            <w:r>
              <w:rPr>
                <w:rFonts w:hint="eastAsia" w:ascii="Times New Roman" w:hAnsi="Times New Roman"/>
                <w:bCs/>
                <w:sz w:val="24"/>
                <w:szCs w:val="24"/>
                <w:highlight w:val="none"/>
              </w:rPr>
              <w:t>202</w:t>
            </w:r>
            <w:r>
              <w:rPr>
                <w:rFonts w:hint="eastAsia" w:ascii="Times New Roman" w:hAnsi="Times New Roman"/>
                <w:bCs/>
                <w:sz w:val="24"/>
                <w:szCs w:val="24"/>
                <w:highlight w:val="none"/>
                <w:lang w:val="en-US" w:eastAsia="zh-CN"/>
              </w:rPr>
              <w:t>1</w:t>
            </w:r>
            <w:r>
              <w:rPr>
                <w:rFonts w:hint="eastAsia" w:ascii="Times New Roman" w:hAnsi="Times New Roman"/>
                <w:bCs/>
                <w:sz w:val="24"/>
                <w:szCs w:val="24"/>
                <w:highlight w:val="none"/>
              </w:rPr>
              <w:t>年度或202</w:t>
            </w:r>
            <w:r>
              <w:rPr>
                <w:rFonts w:hint="eastAsia" w:ascii="Times New Roman" w:hAnsi="Times New Roman"/>
                <w:bCs/>
                <w:sz w:val="24"/>
                <w:szCs w:val="24"/>
                <w:highlight w:val="none"/>
                <w:lang w:val="en-US" w:eastAsia="zh-CN"/>
              </w:rPr>
              <w:t>2</w:t>
            </w:r>
            <w:r>
              <w:rPr>
                <w:rFonts w:hint="eastAsia" w:ascii="Times New Roman" w:hAnsi="Times New Roman"/>
                <w:bCs/>
                <w:sz w:val="24"/>
                <w:szCs w:val="24"/>
                <w:highlight w:val="none"/>
              </w:rPr>
              <w:t>年度财务状况报告。是指提供本单位的财务报告或财务报告表</w:t>
            </w:r>
            <w:r>
              <w:rPr>
                <w:rFonts w:hint="eastAsia" w:ascii="Times New Roman" w:hAnsi="Times New Roman"/>
                <w:bCs/>
                <w:sz w:val="24"/>
                <w:szCs w:val="24"/>
                <w:highlight w:val="none"/>
                <w:lang w:val="zh-CN"/>
              </w:rPr>
              <w:t>或基本账户开户行出具的银行资信证明</w:t>
            </w:r>
            <w:r>
              <w:rPr>
                <w:rFonts w:hint="eastAsia" w:ascii="Times New Roman" w:hAnsi="Times New Roman"/>
                <w:bCs/>
                <w:sz w:val="24"/>
                <w:szCs w:val="24"/>
                <w:highlight w:val="none"/>
              </w:rPr>
              <w:t>；（成立日期不足一年的附成立日期后的）；</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imes New Roman" w:hAnsi="Times New Roman"/>
                <w:bCs/>
                <w:sz w:val="24"/>
                <w:szCs w:val="24"/>
                <w:highlight w:val="none"/>
              </w:rPr>
            </w:pPr>
            <w:r>
              <w:rPr>
                <w:rFonts w:hint="eastAsia" w:ascii="Times New Roman" w:hAnsi="Times New Roman"/>
                <w:bCs/>
                <w:sz w:val="24"/>
                <w:szCs w:val="24"/>
                <w:highlight w:val="none"/>
                <w:lang w:val="en-US" w:eastAsia="zh-CN"/>
              </w:rPr>
              <w:t>（3）</w:t>
            </w:r>
            <w:r>
              <w:rPr>
                <w:rFonts w:hint="default" w:ascii="Times New Roman" w:hAnsi="Times New Roman"/>
                <w:bCs/>
                <w:sz w:val="24"/>
                <w:szCs w:val="24"/>
                <w:highlight w:val="none"/>
              </w:rPr>
              <w:t>近半年内不少于一个月依法缴纳税收的证明（以发布公告时间往前推算半年）</w:t>
            </w:r>
            <w:r>
              <w:rPr>
                <w:rFonts w:hint="eastAsia" w:ascii="Times New Roman" w:hAnsi="Times New Roman"/>
                <w:bCs/>
                <w:sz w:val="24"/>
                <w:szCs w:val="24"/>
                <w:highlight w:val="none"/>
              </w:rPr>
              <w:t>（或《依法缴纳税收和社会保障资金承诺函》）</w:t>
            </w:r>
            <w:r>
              <w:rPr>
                <w:rFonts w:hint="default" w:ascii="Times New Roman" w:hAnsi="Times New Roman"/>
                <w:bCs/>
                <w:sz w:val="24"/>
                <w:szCs w:val="24"/>
                <w:highlight w:val="none"/>
              </w:rPr>
              <w:t>。是指提供本单位的缴税证明，为税务部门出具的完税凭证或缴税凭证或银行出具的“银行电子缴税付款凭证”；依法免税的供应商提供相应文件证明其依法免税；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default" w:ascii="Times New Roman" w:hAnsi="Times New Roman"/>
                <w:bCs/>
                <w:sz w:val="24"/>
                <w:szCs w:val="24"/>
                <w:highlight w:val="none"/>
              </w:rPr>
            </w:pPr>
            <w:r>
              <w:rPr>
                <w:rFonts w:hint="eastAsia" w:ascii="Times New Roman" w:hAnsi="Times New Roman"/>
                <w:bCs/>
                <w:sz w:val="24"/>
                <w:szCs w:val="24"/>
                <w:highlight w:val="none"/>
                <w:lang w:val="en-US" w:eastAsia="zh-CN"/>
              </w:rPr>
              <w:t>（4）</w:t>
            </w:r>
            <w:r>
              <w:rPr>
                <w:rFonts w:hint="default" w:ascii="Times New Roman" w:hAnsi="Times New Roman"/>
                <w:bCs/>
                <w:sz w:val="24"/>
                <w:szCs w:val="24"/>
                <w:highlight w:val="none"/>
              </w:rPr>
              <w:t>近半年内不少于一个月依法缴纳社会保障资金的证明（以发布公告时间往前推算半年）</w:t>
            </w:r>
            <w:r>
              <w:rPr>
                <w:rFonts w:hint="eastAsia" w:ascii="Times New Roman" w:hAnsi="Times New Roman"/>
                <w:bCs/>
                <w:sz w:val="24"/>
                <w:szCs w:val="24"/>
                <w:highlight w:val="none"/>
              </w:rPr>
              <w:t>（或《依法缴纳税收和社会保障资金承诺函》）</w:t>
            </w:r>
            <w:r>
              <w:rPr>
                <w:rFonts w:hint="default" w:ascii="Times New Roman" w:hAnsi="Times New Roman"/>
                <w:bCs/>
                <w:sz w:val="24"/>
                <w:szCs w:val="24"/>
                <w:highlight w:val="none"/>
              </w:rPr>
              <w:t>。指政府社会保障资金征收部门出具的单位职工社会保险缴费清单或专用收据或缴纳证明；依法不需要缴纳社会保障资金的供应商，应提供相应文件证明其依法不需要缴纳社会保障资金；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default" w:ascii="Times New Roman" w:hAnsi="Times New Roman"/>
                <w:bCs/>
                <w:sz w:val="24"/>
                <w:szCs w:val="24"/>
                <w:highlight w:val="none"/>
              </w:rPr>
            </w:pPr>
            <w:r>
              <w:rPr>
                <w:rFonts w:hint="eastAsia" w:ascii="Times New Roman" w:hAnsi="Times New Roman"/>
                <w:bCs/>
                <w:sz w:val="24"/>
                <w:szCs w:val="24"/>
                <w:highlight w:val="none"/>
                <w:lang w:val="en-US" w:eastAsia="zh-CN"/>
              </w:rPr>
              <w:t>（5）</w:t>
            </w:r>
            <w:r>
              <w:rPr>
                <w:rFonts w:hint="eastAsia" w:ascii="Times New Roman" w:hAnsi="Times New Roman"/>
                <w:bCs/>
                <w:sz w:val="24"/>
                <w:szCs w:val="24"/>
                <w:highlight w:val="none"/>
              </w:rPr>
              <w:t>法定代表人（负责人）的授权委托书及授权代表的身份证；若法定代表人（负责人）参加，仅提供法定代表人（负责人）的身份证</w:t>
            </w:r>
            <w:r>
              <w:rPr>
                <w:rFonts w:hint="eastAsia" w:ascii="Times New Roman" w:hAnsi="Times New Roman"/>
                <w:bCs/>
                <w:sz w:val="24"/>
                <w:szCs w:val="24"/>
                <w:highlight w:val="none"/>
                <w:lang w:val="en-US" w:eastAsia="zh-CN"/>
              </w:rPr>
              <w:t>明</w:t>
            </w:r>
            <w:r>
              <w:rPr>
                <w:rFonts w:hint="eastAsia" w:ascii="Times New Roman" w:hAnsi="Times New Roman"/>
                <w:bCs/>
                <w:sz w:val="24"/>
                <w:szCs w:val="24"/>
                <w:highlight w:val="none"/>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imes New Roman" w:hAnsi="Times New Roman"/>
                <w:bCs/>
                <w:sz w:val="24"/>
                <w:szCs w:val="24"/>
                <w:highlight w:val="none"/>
              </w:rPr>
            </w:pPr>
            <w:r>
              <w:rPr>
                <w:rFonts w:hint="eastAsia" w:ascii="Times New Roman" w:hAnsi="Times New Roman"/>
                <w:bCs/>
                <w:sz w:val="24"/>
                <w:szCs w:val="24"/>
                <w:highlight w:val="none"/>
                <w:lang w:val="en-US" w:eastAsia="zh-CN"/>
              </w:rPr>
              <w:t>（6）</w:t>
            </w:r>
            <w:r>
              <w:rPr>
                <w:rFonts w:hint="eastAsia" w:ascii="Times New Roman" w:hAnsi="Times New Roman"/>
                <w:bCs/>
                <w:sz w:val="24"/>
                <w:szCs w:val="24"/>
                <w:highlight w:val="none"/>
              </w:rPr>
              <w:t xml:space="preserve">参加政府采购活动前3年内在经营活动中没有重大违法记录的书面声明和信用记录承诺。格式按附件《无重大违法记录声明》和《信用记录承诺函》；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imes New Roman" w:hAnsi="Times New Roman"/>
                <w:bCs/>
                <w:sz w:val="24"/>
                <w:szCs w:val="24"/>
                <w:highlight w:val="none"/>
                <w:lang w:eastAsia="zh-CN"/>
              </w:rPr>
            </w:pPr>
            <w:r>
              <w:rPr>
                <w:rFonts w:hint="eastAsia" w:ascii="Times New Roman" w:hAnsi="Times New Roman"/>
                <w:bCs/>
                <w:sz w:val="24"/>
                <w:szCs w:val="24"/>
                <w:highlight w:val="none"/>
                <w:lang w:val="en-US" w:eastAsia="zh-CN"/>
              </w:rPr>
              <w:t>（7）</w:t>
            </w:r>
            <w:r>
              <w:rPr>
                <w:rFonts w:hint="eastAsia" w:ascii="Times New Roman" w:hAnsi="Times New Roman"/>
                <w:bCs/>
                <w:sz w:val="24"/>
                <w:szCs w:val="24"/>
                <w:highlight w:val="none"/>
              </w:rPr>
              <w:t>具备履行合同所必需的设备和专业技术能力的证明材料，是指提供《履行合同的设备技术能力证明表》，格式按附件</w:t>
            </w:r>
            <w:r>
              <w:rPr>
                <w:rFonts w:hint="eastAsia" w:ascii="Times New Roman" w:hAnsi="Times New Roman"/>
                <w:bCs/>
                <w:sz w:val="24"/>
                <w:szCs w:val="24"/>
                <w:highlight w:val="no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imes New Roman" w:hAnsi="Times New Roman"/>
                <w:bCs/>
                <w:sz w:val="24"/>
                <w:szCs w:val="24"/>
                <w:highlight w:val="none"/>
              </w:rPr>
            </w:pPr>
            <w:r>
              <w:rPr>
                <w:rFonts w:hint="eastAsia" w:ascii="Times New Roman" w:hAnsi="Times New Roman"/>
                <w:bCs/>
                <w:sz w:val="24"/>
                <w:szCs w:val="24"/>
                <w:highlight w:val="none"/>
                <w:lang w:val="en-US" w:eastAsia="zh-CN"/>
              </w:rPr>
              <w:t>（8）</w:t>
            </w:r>
            <w:r>
              <w:rPr>
                <w:rFonts w:hint="eastAsia" w:ascii="宋体" w:hAnsi="宋体" w:cs="宋体"/>
                <w:sz w:val="24"/>
                <w:szCs w:val="24"/>
                <w:highlight w:val="none"/>
              </w:rPr>
              <w:t>中小企业声明函（格式见附件）</w:t>
            </w:r>
            <w:r>
              <w:rPr>
                <w:rFonts w:hint="eastAsia" w:ascii="Times New Roman" w:hAnsi="Times New Roman"/>
                <w:bCs/>
                <w:sz w:val="24"/>
                <w:szCs w:val="24"/>
                <w:highlight w:val="none"/>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sz w:val="24"/>
                <w:szCs w:val="24"/>
                <w:highlight w:val="none"/>
              </w:rPr>
            </w:pPr>
            <w:r>
              <w:rPr>
                <w:rFonts w:hint="eastAsia" w:ascii="Times New Roman" w:hAnsi="Times New Roman"/>
                <w:b/>
                <w:sz w:val="24"/>
                <w:szCs w:val="24"/>
                <w:highlight w:val="none"/>
              </w:rPr>
              <w:t>备注：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Times New Roman" w:hAnsi="Times New Roman" w:eastAsia="宋体"/>
                <w:b/>
                <w:sz w:val="24"/>
                <w:szCs w:val="24"/>
                <w:highlight w:val="none"/>
                <w:lang w:eastAsia="zh-CN"/>
              </w:rPr>
            </w:pPr>
            <w:r>
              <w:rPr>
                <w:rFonts w:hint="default" w:ascii="Times New Roman" w:hAnsi="Times New Roman"/>
                <w:b/>
                <w:sz w:val="24"/>
                <w:szCs w:val="24"/>
                <w:highlight w:val="none"/>
              </w:rPr>
              <w:t>1.</w:t>
            </w:r>
            <w:r>
              <w:rPr>
                <w:rFonts w:hint="eastAsia" w:ascii="Times New Roman" w:hAnsi="Times New Roman"/>
                <w:b/>
                <w:sz w:val="24"/>
                <w:szCs w:val="24"/>
                <w:highlight w:val="none"/>
              </w:rPr>
              <w:t>资格审查采用资格后审；依法免税或不需要缴纳社会保障资金的，需提供相关证明文件</w:t>
            </w:r>
            <w:r>
              <w:rPr>
                <w:rFonts w:hint="eastAsia" w:ascii="Times New Roman" w:hAnsi="Times New Roman"/>
                <w:b/>
                <w:sz w:val="24"/>
                <w:szCs w:val="24"/>
                <w:highlight w:val="no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Times New Roman" w:hAnsi="Times New Roman"/>
                <w:b/>
                <w:sz w:val="24"/>
                <w:szCs w:val="24"/>
                <w:highlight w:val="none"/>
              </w:rPr>
            </w:pPr>
            <w:r>
              <w:rPr>
                <w:rFonts w:hint="eastAsia" w:ascii="Times New Roman" w:hAnsi="Times New Roman"/>
                <w:b/>
                <w:sz w:val="24"/>
                <w:szCs w:val="24"/>
                <w:highlight w:val="none"/>
              </w:rPr>
              <w:t>2.以上要求所有资料无需提供原件，提供原件的清晰图片上传至相应模块即可，供应商为其真实合法性负责；</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cs="宋体"/>
                <w:b/>
                <w:sz w:val="24"/>
                <w:szCs w:val="24"/>
                <w:highlight w:val="none"/>
              </w:rPr>
            </w:pPr>
            <w:r>
              <w:rPr>
                <w:rFonts w:hint="eastAsia" w:ascii="Times New Roman" w:hAnsi="Times New Roman"/>
                <w:b/>
                <w:sz w:val="24"/>
                <w:szCs w:val="24"/>
                <w:highlight w:val="none"/>
              </w:rPr>
              <w:t>3</w:t>
            </w:r>
            <w:r>
              <w:rPr>
                <w:rFonts w:hint="default" w:ascii="Times New Roman" w:hAnsi="Times New Roman"/>
                <w:b/>
                <w:sz w:val="24"/>
                <w:szCs w:val="24"/>
                <w:highlight w:val="none"/>
              </w:rPr>
              <w:t>.</w:t>
            </w:r>
            <w:r>
              <w:rPr>
                <w:rFonts w:hint="eastAsia" w:ascii="Times New Roman" w:hAnsi="Times New Roman"/>
                <w:b/>
                <w:sz w:val="24"/>
                <w:szCs w:val="24"/>
                <w:highlight w:val="none"/>
              </w:rPr>
              <w:t>电子标书制作，</w:t>
            </w:r>
            <w:r>
              <w:rPr>
                <w:rFonts w:hint="default"/>
                <w:b/>
                <w:spacing w:val="-2"/>
                <w:sz w:val="24"/>
                <w:szCs w:val="20"/>
                <w:highlight w:val="none"/>
              </w:rPr>
              <w:t>资格审查的</w:t>
            </w:r>
            <w:r>
              <w:rPr>
                <w:rFonts w:hint="default"/>
                <w:b/>
                <w:sz w:val="24"/>
                <w:szCs w:val="20"/>
                <w:highlight w:val="none"/>
              </w:rPr>
              <w:t>1</w:t>
            </w:r>
            <w:r>
              <w:rPr>
                <w:rFonts w:hint="eastAsia"/>
                <w:b/>
                <w:sz w:val="24"/>
                <w:szCs w:val="20"/>
                <w:highlight w:val="none"/>
              </w:rPr>
              <w:t>-</w:t>
            </w:r>
            <w:r>
              <w:rPr>
                <w:rFonts w:hint="eastAsia"/>
                <w:b/>
                <w:sz w:val="24"/>
                <w:szCs w:val="20"/>
                <w:highlight w:val="none"/>
                <w:lang w:val="en-US" w:eastAsia="zh-CN"/>
              </w:rPr>
              <w:t>4</w:t>
            </w:r>
            <w:r>
              <w:rPr>
                <w:rFonts w:hint="default"/>
                <w:b/>
                <w:spacing w:val="-7"/>
                <w:sz w:val="24"/>
                <w:szCs w:val="20"/>
                <w:highlight w:val="none"/>
              </w:rPr>
              <w:t>项应直接从诚</w:t>
            </w:r>
            <w:r>
              <w:rPr>
                <w:rFonts w:hint="default"/>
                <w:b/>
                <w:spacing w:val="-2"/>
                <w:sz w:val="24"/>
                <w:szCs w:val="20"/>
                <w:highlight w:val="none"/>
              </w:rPr>
              <w:t>信库中获取；</w:t>
            </w:r>
            <w:r>
              <w:rPr>
                <w:rFonts w:hint="eastAsia"/>
                <w:b/>
                <w:spacing w:val="-10"/>
                <w:sz w:val="24"/>
                <w:szCs w:val="20"/>
                <w:highlight w:val="none"/>
                <w:lang w:val="en-US" w:eastAsia="zh-CN"/>
              </w:rPr>
              <w:t>5-8</w:t>
            </w:r>
            <w:r>
              <w:rPr>
                <w:rFonts w:hint="default"/>
                <w:b/>
                <w:spacing w:val="-11"/>
                <w:sz w:val="24"/>
                <w:szCs w:val="20"/>
                <w:highlight w:val="none"/>
              </w:rPr>
              <w:t>项按磋商文件规定格式填写后，直接上传至</w:t>
            </w:r>
            <w:r>
              <w:rPr>
                <w:rFonts w:hint="default"/>
                <w:b/>
                <w:sz w:val="24"/>
                <w:szCs w:val="20"/>
                <w:highlight w:val="none"/>
              </w:rPr>
              <w:t>电子标书系统中</w:t>
            </w:r>
            <w:r>
              <w:rPr>
                <w:rFonts w:hint="eastAsia" w:ascii="Times New Roman" w:hAnsi="Times New Roman"/>
                <w:b/>
                <w:sz w:val="24"/>
                <w:szCs w:val="24"/>
                <w:highlight w:val="none"/>
              </w:rPr>
              <w:t>。</w:t>
            </w:r>
            <w:r>
              <w:rPr>
                <w:rFonts w:hint="eastAsia" w:ascii="宋体" w:hAnsi="宋体" w:cs="宋体"/>
                <w:b/>
                <w:sz w:val="24"/>
                <w:szCs w:val="24"/>
                <w:highlight w:val="none"/>
              </w:rPr>
              <w:t>供应商未按照上述要求提供材料、证件或制作电子标书的，作无效标处理。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cs="宋体"/>
                <w:b/>
                <w:sz w:val="24"/>
                <w:szCs w:val="24"/>
                <w:highlight w:val="none"/>
              </w:rPr>
            </w:pPr>
            <w:r>
              <w:rPr>
                <w:rFonts w:hint="eastAsia" w:ascii="宋体" w:hAnsi="宋体" w:cs="宋体"/>
                <w:b/>
                <w:sz w:val="24"/>
                <w:szCs w:val="24"/>
                <w:highlight w:val="none"/>
              </w:rPr>
              <w:t>4.（1）遵循聊城市财政局于2022年8月31日下发的《聊城市财政局关于推行政府采购供应商资格信用承诺制的通知》，在山东省境内注册的供应商</w:t>
            </w:r>
            <w:r>
              <w:rPr>
                <w:rFonts w:hint="eastAsia" w:ascii="宋体" w:hAnsi="宋体" w:cs="宋体"/>
                <w:b/>
                <w:sz w:val="24"/>
                <w:szCs w:val="24"/>
                <w:highlight w:val="none"/>
                <w:lang w:val="en-US" w:eastAsia="zh-CN"/>
              </w:rPr>
              <w:t>3-4</w:t>
            </w:r>
            <w:r>
              <w:rPr>
                <w:rFonts w:hint="eastAsia" w:ascii="宋体" w:hAnsi="宋体" w:cs="宋体"/>
                <w:b/>
                <w:sz w:val="24"/>
                <w:szCs w:val="24"/>
                <w:highlight w:val="none"/>
              </w:rPr>
              <w:t>项可在响应文件中提供《依法缴纳税收和社会保障资金承诺函》(以下简称《承诺函》,格式见附件),不再提供“依法缴纳税收和社会保障资金的相关证明材料”。供应商可提前在“中国山东政府采购网”查询本单位缴纳税收和社会保障资金情况。</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cs="宋体"/>
                <w:b/>
                <w:sz w:val="24"/>
                <w:szCs w:val="24"/>
                <w:highlight w:val="none"/>
              </w:rPr>
            </w:pPr>
            <w:r>
              <w:rPr>
                <w:rFonts w:hint="eastAsia" w:ascii="宋体" w:hAnsi="宋体" w:cs="宋体"/>
                <w:b/>
                <w:sz w:val="24"/>
                <w:szCs w:val="24"/>
                <w:highlight w:val="none"/>
              </w:rPr>
              <w:t>（2）在政府采购项目资格审查环节，采购人和采购代理机构登录“中国山东政府采购网”,在“开评标管理”栏目中，查询提供《承诺函》的供应商近六个月在山东省缴纳税收和社会保障资金的情况。若供应商提供《承诺函》不属实，作无效标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cs="宋体"/>
                <w:b/>
                <w:sz w:val="24"/>
                <w:szCs w:val="24"/>
                <w:highlight w:val="none"/>
              </w:rPr>
            </w:pPr>
            <w:r>
              <w:rPr>
                <w:rFonts w:hint="eastAsia" w:ascii="宋体" w:hAnsi="宋体" w:cs="宋体"/>
                <w:b/>
                <w:sz w:val="24"/>
                <w:szCs w:val="24"/>
                <w:highlight w:val="none"/>
              </w:rPr>
              <w:t>（3）供应商依法免税或不需要缴纳社会保障资金的，应提供相应材料证明依法免税或不需要缴纳社会保障资金。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cs="宋体"/>
                <w:b/>
                <w:sz w:val="24"/>
                <w:szCs w:val="24"/>
                <w:highlight w:val="none"/>
              </w:rPr>
            </w:pPr>
            <w:r>
              <w:rPr>
                <w:rFonts w:hint="eastAsia" w:ascii="宋体" w:hAnsi="宋体" w:cs="宋体"/>
                <w:b/>
                <w:sz w:val="24"/>
                <w:szCs w:val="24"/>
                <w:highlight w:val="none"/>
              </w:rPr>
              <w:t>（4）供应商未在山东省内缴纳税收和社会保障资金的，应按磋商文件</w:t>
            </w:r>
            <w:r>
              <w:rPr>
                <w:rFonts w:hint="eastAsia" w:ascii="宋体" w:hAnsi="宋体" w:cs="宋体"/>
                <w:b/>
                <w:sz w:val="24"/>
                <w:szCs w:val="24"/>
                <w:highlight w:val="none"/>
                <w:lang w:val="en-US" w:eastAsia="zh-CN"/>
              </w:rPr>
              <w:t>3-4</w:t>
            </w:r>
            <w:r>
              <w:rPr>
                <w:rFonts w:hint="eastAsia" w:ascii="宋体" w:hAnsi="宋体" w:cs="宋体"/>
                <w:b/>
                <w:sz w:val="24"/>
                <w:szCs w:val="24"/>
                <w:highlight w:val="none"/>
              </w:rPr>
              <w:t>项要求提供缴纳税收和社会保障资金的证明材料。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cs="宋体"/>
                <w:b/>
                <w:sz w:val="24"/>
                <w:szCs w:val="24"/>
                <w:highlight w:val="none"/>
              </w:rPr>
            </w:pPr>
            <w:r>
              <w:rPr>
                <w:rFonts w:hint="eastAsia" w:ascii="宋体" w:hAnsi="宋体" w:cs="宋体"/>
                <w:b/>
                <w:sz w:val="24"/>
                <w:szCs w:val="24"/>
                <w:highlight w:val="none"/>
              </w:rPr>
              <w:t>5.电子投标文件中无相应模块的，将与本项目相关的资质证书、报告证明材料等统一上传至【投标需要说明的其他材料】；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cs="宋体"/>
                <w:b/>
                <w:sz w:val="24"/>
                <w:szCs w:val="24"/>
                <w:highlight w:val="none"/>
                <w:lang w:eastAsia="zh-CN"/>
              </w:rPr>
            </w:pPr>
            <w:r>
              <w:rPr>
                <w:rFonts w:hint="eastAsia" w:ascii="宋体" w:hAnsi="宋体" w:cs="宋体"/>
                <w:b/>
                <w:sz w:val="24"/>
                <w:szCs w:val="24"/>
                <w:highlight w:val="none"/>
              </w:rPr>
              <w:t>6.《供应商资格审查统计表》及《供应商有关证件、业绩统计表》</w:t>
            </w:r>
            <w:r>
              <w:rPr>
                <w:rFonts w:hint="eastAsia" w:ascii="宋体" w:hAnsi="宋体" w:cs="宋体"/>
                <w:b/>
                <w:sz w:val="24"/>
                <w:szCs w:val="24"/>
                <w:highlight w:val="none"/>
                <w:lang w:eastAsia="zh-CN"/>
              </w:rPr>
              <w:t>（</w:t>
            </w:r>
            <w:r>
              <w:rPr>
                <w:rFonts w:hint="eastAsia" w:ascii="宋体" w:hAnsi="宋体" w:cs="宋体"/>
                <w:b/>
                <w:sz w:val="24"/>
                <w:szCs w:val="24"/>
                <w:highlight w:val="none"/>
                <w:lang w:val="en-US" w:eastAsia="zh-CN"/>
              </w:rPr>
              <w:t>如有</w:t>
            </w:r>
            <w:r>
              <w:rPr>
                <w:rFonts w:hint="eastAsia" w:ascii="宋体" w:hAnsi="宋体" w:cs="宋体"/>
                <w:b/>
                <w:sz w:val="24"/>
                <w:szCs w:val="24"/>
                <w:highlight w:val="none"/>
                <w:lang w:eastAsia="zh-CN"/>
              </w:rPr>
              <w:t>）</w:t>
            </w:r>
            <w:r>
              <w:rPr>
                <w:rFonts w:hint="eastAsia" w:ascii="宋体" w:hAnsi="宋体" w:cs="宋体"/>
                <w:b/>
                <w:sz w:val="24"/>
                <w:szCs w:val="24"/>
                <w:highlight w:val="none"/>
              </w:rPr>
              <w:t>应上传至系统电子响应文件【其他材料】中。如上传到系统中的电子响应文件中不提供《供应商有关证件、业绩统计表》</w:t>
            </w:r>
            <w:r>
              <w:rPr>
                <w:rFonts w:hint="eastAsia" w:ascii="宋体" w:hAnsi="宋体" w:cs="宋体"/>
                <w:b/>
                <w:sz w:val="24"/>
                <w:szCs w:val="24"/>
                <w:highlight w:val="none"/>
                <w:lang w:eastAsia="zh-CN"/>
              </w:rPr>
              <w:t>（</w:t>
            </w:r>
            <w:r>
              <w:rPr>
                <w:rFonts w:hint="eastAsia" w:ascii="宋体" w:hAnsi="宋体" w:cs="宋体"/>
                <w:b/>
                <w:sz w:val="24"/>
                <w:szCs w:val="24"/>
                <w:highlight w:val="none"/>
                <w:lang w:val="en-US" w:eastAsia="zh-CN"/>
              </w:rPr>
              <w:t>如有</w:t>
            </w:r>
            <w:r>
              <w:rPr>
                <w:rFonts w:hint="eastAsia" w:ascii="宋体" w:hAnsi="宋体" w:cs="宋体"/>
                <w:b/>
                <w:sz w:val="24"/>
                <w:szCs w:val="24"/>
                <w:highlight w:val="none"/>
                <w:lang w:eastAsia="zh-CN"/>
              </w:rPr>
              <w:t>）</w:t>
            </w:r>
            <w:r>
              <w:rPr>
                <w:rFonts w:hint="eastAsia" w:ascii="宋体" w:hAnsi="宋体" w:cs="宋体"/>
                <w:b/>
                <w:sz w:val="24"/>
                <w:szCs w:val="24"/>
                <w:highlight w:val="none"/>
              </w:rPr>
              <w:t>，磋商小组将不再对表中涉及内容进行评审，表中涉及内容按0分计算</w:t>
            </w:r>
            <w:r>
              <w:rPr>
                <w:rFonts w:hint="eastAsia" w:ascii="宋体" w:hAnsi="宋体" w:cs="宋体"/>
                <w:b/>
                <w:sz w:val="24"/>
                <w:szCs w:val="24"/>
                <w:highlight w:val="no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说明：山东山东省政府采购供应商资格信用承诺制已经实行，为供应商参与政府采购活动提供便利。近期，因税务数据来源通道升级，政府采购供应商缴纳税收查询功能暂停，待系统升级完成后立即使用。暂停期间，供应商参与政府采购应在投标(响应)文件中提供依法缴纳税收的证明材料。供应商未按照上述重要说明的要求提供材料、证件或制作电子标书的，作无效标处理</w:t>
            </w:r>
          </w:p>
          <w:p>
            <w:pPr>
              <w:pStyle w:val="423"/>
              <w:keepNext w:val="0"/>
              <w:keepLines w:val="0"/>
              <w:suppressLineNumbers w:val="0"/>
              <w:spacing w:before="0" w:beforeAutospacing="0" w:after="0" w:afterAutospacing="0" w:line="360" w:lineRule="auto"/>
              <w:ind w:left="0" w:right="0"/>
              <w:rPr>
                <w:rFonts w:hint="default" w:ascii="Times New Roman" w:hAnsi="Times New Roman" w:cs="Times New Roman"/>
                <w:b/>
                <w:bCs/>
                <w:color w:val="auto"/>
                <w:szCs w:val="24"/>
                <w:highlight w:val="none"/>
              </w:rPr>
            </w:pPr>
            <w:r>
              <w:rPr>
                <w:rFonts w:hint="eastAsia" w:ascii="宋体" w:hAnsi="宋体" w:cs="宋体"/>
                <w:b/>
                <w:bCs/>
                <w:sz w:val="24"/>
                <w:szCs w:val="24"/>
                <w:highlight w:val="none"/>
                <w:lang w:eastAsia="zh-CN"/>
              </w:rPr>
              <w:t>各供应商务必安排好专人对各自诚信库信息进行更新、维护，并对因诚信库信息不合法、不真实、无效、错误或编辑待验证状态等造成的一切后果负责</w:t>
            </w:r>
            <w:r>
              <w:rPr>
                <w:rFonts w:hint="eastAsia" w:ascii="宋体" w:hAnsi="宋体" w:cs="宋体"/>
                <w:b/>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tcBorders>
              <w:bottom w:val="single" w:color="auto" w:sz="4" w:space="0"/>
            </w:tcBorders>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8</w:t>
            </w:r>
          </w:p>
        </w:tc>
        <w:tc>
          <w:tcPr>
            <w:tcW w:w="2160" w:type="dxa"/>
            <w:tcBorders>
              <w:bottom w:val="single" w:color="auto" w:sz="4" w:space="0"/>
            </w:tcBorders>
            <w:noWrap w:val="0"/>
            <w:vAlign w:val="center"/>
          </w:tcPr>
          <w:p>
            <w:pPr>
              <w:pStyle w:val="39"/>
              <w:keepNext w:val="0"/>
              <w:keepLines w:val="0"/>
              <w:suppressLineNumbers w:val="0"/>
              <w:spacing w:before="0" w:beforeAutospacing="0" w:after="0" w:afterAutospacing="0" w:line="360" w:lineRule="auto"/>
              <w:ind w:left="0" w:right="0" w:firstLine="480"/>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招标方式</w:t>
            </w:r>
          </w:p>
        </w:tc>
        <w:tc>
          <w:tcPr>
            <w:tcW w:w="7021" w:type="dxa"/>
            <w:tcBorders>
              <w:bottom w:val="single" w:color="auto" w:sz="4" w:space="0"/>
            </w:tcBorders>
            <w:noWrap w:val="0"/>
            <w:vAlign w:val="center"/>
          </w:tcPr>
          <w:p>
            <w:pPr>
              <w:pStyle w:val="39"/>
              <w:keepNext w:val="0"/>
              <w:keepLines w:val="0"/>
              <w:suppressLineNumbers w:val="0"/>
              <w:spacing w:before="0" w:beforeAutospacing="0" w:after="0" w:afterAutospacing="0" w:line="360" w:lineRule="auto"/>
              <w:ind w:left="0" w:right="0"/>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vMerge w:val="restart"/>
            <w:shd w:val="clear" w:color="auto" w:fill="FFFFFF"/>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9</w:t>
            </w:r>
          </w:p>
        </w:tc>
        <w:tc>
          <w:tcPr>
            <w:tcW w:w="2160" w:type="dxa"/>
            <w:shd w:val="clear" w:color="auto" w:fill="FFFFFF"/>
            <w:noWrap w:val="0"/>
            <w:vAlign w:val="center"/>
          </w:tcPr>
          <w:p>
            <w:pPr>
              <w:pStyle w:val="39"/>
              <w:keepNext w:val="0"/>
              <w:keepLines w:val="0"/>
              <w:suppressLineNumbers w:val="0"/>
              <w:spacing w:before="0" w:beforeAutospacing="0" w:after="0" w:afterAutospacing="0" w:line="240" w:lineRule="auto"/>
              <w:ind w:left="0" w:right="0"/>
              <w:jc w:val="center"/>
              <w:rPr>
                <w:rFonts w:hint="eastAsia" w:ascii="Times New Roman" w:hAnsi="Times New Roman" w:eastAsia="宋体" w:cs="Times New Roman"/>
                <w:color w:val="auto"/>
                <w:szCs w:val="22"/>
                <w:highlight w:val="none"/>
                <w:lang w:val="en-US" w:eastAsia="zh-CN"/>
              </w:rPr>
            </w:pPr>
            <w:r>
              <w:rPr>
                <w:rFonts w:hint="default" w:ascii="Times New Roman" w:hAnsi="Times New Roman" w:cs="Times New Roman"/>
                <w:color w:val="auto"/>
                <w:szCs w:val="22"/>
                <w:highlight w:val="none"/>
              </w:rPr>
              <w:t>交货期</w:t>
            </w:r>
          </w:p>
        </w:tc>
        <w:tc>
          <w:tcPr>
            <w:tcW w:w="7021" w:type="dxa"/>
            <w:shd w:val="clear" w:color="auto" w:fill="FFFFFF"/>
            <w:noWrap w:val="0"/>
            <w:vAlign w:val="center"/>
          </w:tcPr>
          <w:p>
            <w:pPr>
              <w:pStyle w:val="39"/>
              <w:keepNext w:val="0"/>
              <w:keepLines w:val="0"/>
              <w:suppressLineNumbers w:val="0"/>
              <w:spacing w:before="0" w:beforeAutospacing="0" w:after="0" w:afterAutospacing="0" w:line="240" w:lineRule="auto"/>
              <w:ind w:left="0" w:right="0"/>
              <w:rPr>
                <w:rFonts w:hint="default" w:ascii="Times New Roman" w:hAnsi="Times New Roman" w:cs="Times New Roman"/>
                <w:b w:val="0"/>
                <w:bCs/>
                <w:color w:val="auto"/>
                <w:kern w:val="0"/>
                <w:szCs w:val="20"/>
                <w:highlight w:val="none"/>
                <w:lang w:val="en-US"/>
              </w:rPr>
            </w:pPr>
            <w:r>
              <w:rPr>
                <w:rFonts w:hint="eastAsia" w:ascii="Times New Roman" w:hAnsi="Times New Roman" w:cs="Times New Roman"/>
                <w:b w:val="0"/>
                <w:bCs/>
                <w:color w:val="auto"/>
                <w:kern w:val="0"/>
                <w:szCs w:val="20"/>
                <w:highlight w:val="none"/>
                <w:lang w:eastAsia="zh-CN"/>
              </w:rPr>
              <w:t xml:space="preserve">自签订合同之日起 </w:t>
            </w:r>
            <w:r>
              <w:rPr>
                <w:rFonts w:hint="eastAsia" w:ascii="Times New Roman" w:hAnsi="Times New Roman" w:cs="Times New Roman"/>
                <w:b w:val="0"/>
                <w:bCs/>
                <w:color w:val="auto"/>
                <w:kern w:val="0"/>
                <w:szCs w:val="20"/>
                <w:highlight w:val="none"/>
                <w:lang w:val="en-US" w:eastAsia="zh-CN"/>
              </w:rPr>
              <w:t>50</w:t>
            </w:r>
            <w:r>
              <w:rPr>
                <w:rFonts w:hint="eastAsia" w:ascii="Times New Roman" w:hAnsi="Times New Roman" w:cs="Times New Roman"/>
                <w:b w:val="0"/>
                <w:bCs/>
                <w:color w:val="auto"/>
                <w:kern w:val="0"/>
                <w:szCs w:val="20"/>
                <w:highlight w:val="none"/>
                <w:lang w:eastAsia="zh-CN"/>
              </w:rPr>
              <w:t xml:space="preserve"> 日内</w:t>
            </w:r>
            <w:r>
              <w:rPr>
                <w:rFonts w:hint="eastAsia" w:ascii="Times New Roman" w:hAnsi="Times New Roman" w:cs="Times New Roman"/>
                <w:b w:val="0"/>
                <w:bCs/>
                <w:color w:val="auto"/>
                <w:kern w:val="0"/>
                <w:szCs w:val="20"/>
                <w:highlight w:val="none"/>
                <w:lang w:val="en-US" w:eastAsia="zh-CN"/>
              </w:rPr>
              <w:t>供货安装完毕</w:t>
            </w:r>
            <w:r>
              <w:rPr>
                <w:rFonts w:hint="eastAsia" w:ascii="Times New Roman" w:hAnsi="Times New Roman" w:cs="Times New Roman"/>
                <w:b w:val="0"/>
                <w:bCs/>
                <w:color w:val="auto"/>
                <w:kern w:val="0"/>
                <w:szCs w:val="20"/>
                <w:highlight w:val="none"/>
                <w:lang w:eastAsia="zh-CN"/>
              </w:rPr>
              <w:t>。（</w:t>
            </w:r>
            <w:r>
              <w:rPr>
                <w:rFonts w:hint="eastAsia" w:ascii="Times New Roman" w:hAnsi="Times New Roman" w:cs="Times New Roman"/>
                <w:b w:val="0"/>
                <w:bCs/>
                <w:color w:val="auto"/>
                <w:kern w:val="0"/>
                <w:szCs w:val="20"/>
                <w:highlight w:val="none"/>
                <w:lang w:val="en-US" w:eastAsia="zh-CN"/>
              </w:rPr>
              <w:t>负偏离无效）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vMerge w:val="continue"/>
            <w:shd w:val="clear" w:color="auto" w:fill="FFFFFF"/>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p>
        </w:tc>
        <w:tc>
          <w:tcPr>
            <w:tcW w:w="2160" w:type="dxa"/>
            <w:shd w:val="clear" w:color="auto" w:fill="FFFFFF"/>
            <w:noWrap w:val="0"/>
            <w:vAlign w:val="center"/>
          </w:tcPr>
          <w:p>
            <w:pPr>
              <w:pStyle w:val="39"/>
              <w:keepNext w:val="0"/>
              <w:keepLines w:val="0"/>
              <w:suppressLineNumbers w:val="0"/>
              <w:spacing w:before="0" w:beforeAutospacing="0" w:after="0" w:afterAutospacing="0" w:line="240" w:lineRule="auto"/>
              <w:ind w:left="0" w:right="0"/>
              <w:jc w:val="center"/>
              <w:rPr>
                <w:rFonts w:hint="eastAsia" w:ascii="Times New Roman" w:hAnsi="Times New Roman" w:eastAsia="宋体" w:cs="Times New Roman"/>
                <w:color w:val="auto"/>
                <w:szCs w:val="22"/>
                <w:highlight w:val="none"/>
                <w:lang w:eastAsia="zh-CN"/>
              </w:rPr>
            </w:pPr>
            <w:r>
              <w:rPr>
                <w:rFonts w:hint="eastAsia" w:ascii="Times New Roman" w:hAnsi="Times New Roman" w:cs="Times New Roman"/>
                <w:color w:val="auto"/>
                <w:szCs w:val="22"/>
                <w:highlight w:val="none"/>
                <w:lang w:val="en-US" w:eastAsia="zh-CN"/>
              </w:rPr>
              <w:t>质保期</w:t>
            </w:r>
          </w:p>
        </w:tc>
        <w:tc>
          <w:tcPr>
            <w:tcW w:w="7021" w:type="dxa"/>
            <w:shd w:val="clear" w:color="auto" w:fill="FFFFFF"/>
            <w:noWrap w:val="0"/>
            <w:vAlign w:val="center"/>
          </w:tcPr>
          <w:p>
            <w:pPr>
              <w:pStyle w:val="39"/>
              <w:keepNext w:val="0"/>
              <w:keepLines w:val="0"/>
              <w:suppressLineNumbers w:val="0"/>
              <w:spacing w:before="0" w:beforeAutospacing="0" w:after="0" w:afterAutospacing="0" w:line="240" w:lineRule="auto"/>
              <w:ind w:left="0" w:right="0"/>
              <w:jc w:val="both"/>
              <w:rPr>
                <w:rFonts w:hint="eastAsia" w:ascii="Times New Roman" w:hAnsi="Times New Roman" w:cs="Times New Roman"/>
                <w:b w:val="0"/>
                <w:bCs/>
                <w:color w:val="auto"/>
                <w:kern w:val="0"/>
                <w:szCs w:val="20"/>
                <w:highlight w:val="none"/>
              </w:rPr>
            </w:pPr>
            <w:r>
              <w:rPr>
                <w:rFonts w:hint="eastAsia" w:ascii="Times New Roman" w:hAnsi="Times New Roman" w:cs="Times New Roman"/>
                <w:b w:val="0"/>
                <w:bCs/>
                <w:color w:val="auto"/>
                <w:kern w:val="0"/>
                <w:szCs w:val="20"/>
                <w:highlight w:val="none"/>
              </w:rPr>
              <w:t>自验收合格之日起不少于8年（器材电子部件、供电系统等易损部件质保期不少于2年）。（负偏离无效）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vMerge w:val="continue"/>
            <w:shd w:val="clear" w:color="auto" w:fill="FFFFFF"/>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p>
        </w:tc>
        <w:tc>
          <w:tcPr>
            <w:tcW w:w="2160" w:type="dxa"/>
            <w:shd w:val="clear" w:color="auto" w:fill="FFFFFF"/>
            <w:noWrap w:val="0"/>
            <w:vAlign w:val="center"/>
          </w:tcPr>
          <w:p>
            <w:pPr>
              <w:pStyle w:val="39"/>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Cs w:val="22"/>
                <w:highlight w:val="none"/>
                <w:lang w:val="en-US" w:eastAsia="zh-CN"/>
              </w:rPr>
            </w:pPr>
            <w:r>
              <w:rPr>
                <w:rFonts w:hint="eastAsia" w:ascii="Times New Roman" w:hAnsi="Times New Roman" w:cs="Times New Roman"/>
                <w:color w:val="auto"/>
                <w:szCs w:val="22"/>
                <w:highlight w:val="none"/>
                <w:lang w:val="en-US" w:eastAsia="zh-CN"/>
              </w:rPr>
              <w:t>核心产品</w:t>
            </w:r>
          </w:p>
        </w:tc>
        <w:tc>
          <w:tcPr>
            <w:tcW w:w="7021" w:type="dxa"/>
            <w:shd w:val="clear" w:color="auto" w:fill="FFFFFF"/>
            <w:noWrap w:val="0"/>
            <w:vAlign w:val="center"/>
          </w:tcPr>
          <w:p>
            <w:pPr>
              <w:pStyle w:val="39"/>
              <w:keepNext w:val="0"/>
              <w:keepLines w:val="0"/>
              <w:suppressLineNumbers w:val="0"/>
              <w:spacing w:before="0" w:beforeAutospacing="0" w:after="0" w:afterAutospacing="0" w:line="240" w:lineRule="auto"/>
              <w:ind w:left="0" w:right="0"/>
              <w:rPr>
                <w:rFonts w:hint="eastAsia" w:ascii="Times New Roman" w:hAnsi="Times New Roman" w:eastAsia="宋体" w:cs="Times New Roman"/>
                <w:b w:val="0"/>
                <w:bCs/>
                <w:color w:val="auto"/>
                <w:kern w:val="0"/>
                <w:szCs w:val="20"/>
                <w:highlight w:val="none"/>
                <w:lang w:val="en-US" w:eastAsia="zh-CN"/>
              </w:rPr>
            </w:pPr>
            <w:r>
              <w:rPr>
                <w:rFonts w:hint="eastAsia" w:ascii="Times New Roman" w:hAnsi="Times New Roman" w:eastAsia="宋体" w:cs="Times New Roman"/>
                <w:b w:val="0"/>
                <w:bCs/>
                <w:color w:val="auto"/>
                <w:kern w:val="0"/>
                <w:szCs w:val="20"/>
                <w:highlight w:val="none"/>
                <w:lang w:val="en-US" w:eastAsia="zh-CN"/>
              </w:rPr>
              <w:t>核心产品为：智能双位太空漫步机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shd w:val="clear" w:color="auto" w:fill="FFFFFF"/>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10</w:t>
            </w:r>
          </w:p>
        </w:tc>
        <w:tc>
          <w:tcPr>
            <w:tcW w:w="2160" w:type="dxa"/>
            <w:shd w:val="clear" w:color="auto" w:fill="FFFFFF"/>
            <w:noWrap w:val="0"/>
            <w:vAlign w:val="center"/>
          </w:tcPr>
          <w:p>
            <w:pPr>
              <w:pStyle w:val="39"/>
              <w:keepNext w:val="0"/>
              <w:keepLines w:val="0"/>
              <w:suppressLineNumbers w:val="0"/>
              <w:spacing w:before="0" w:beforeAutospacing="0" w:after="0" w:afterAutospacing="0" w:line="360" w:lineRule="auto"/>
              <w:ind w:left="0" w:right="0" w:firstLine="480"/>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交货地点</w:t>
            </w:r>
          </w:p>
        </w:tc>
        <w:tc>
          <w:tcPr>
            <w:tcW w:w="7021" w:type="dxa"/>
            <w:shd w:val="clear" w:color="auto" w:fill="FFFFFF"/>
            <w:noWrap w:val="0"/>
            <w:vAlign w:val="center"/>
          </w:tcPr>
          <w:p>
            <w:pPr>
              <w:pStyle w:val="423"/>
              <w:keepNext w:val="0"/>
              <w:keepLines w:val="0"/>
              <w:suppressLineNumbers w:val="0"/>
              <w:spacing w:before="0" w:beforeAutospacing="0" w:after="0" w:afterAutospacing="0" w:line="360" w:lineRule="auto"/>
              <w:ind w:left="0" w:right="0"/>
              <w:rPr>
                <w:rFonts w:hint="default" w:ascii="Times New Roman" w:hAnsi="Times New Roman" w:cs="Times New Roman"/>
                <w:bCs/>
                <w:color w:val="auto"/>
                <w:szCs w:val="24"/>
                <w:highlight w:val="none"/>
              </w:rPr>
            </w:pPr>
            <w:r>
              <w:rPr>
                <w:rFonts w:hint="eastAsia" w:ascii="Times New Roman" w:hAnsi="Times New Roman" w:cs="Times New Roman"/>
                <w:bCs/>
                <w:color w:val="auto"/>
                <w:szCs w:val="24"/>
                <w:highlight w:val="none"/>
              </w:rPr>
              <w:t>招标</w:t>
            </w:r>
            <w:r>
              <w:rPr>
                <w:rFonts w:hint="default" w:ascii="Times New Roman" w:hAnsi="Times New Roman" w:cs="Times New Roman"/>
                <w:bCs/>
                <w:color w:val="auto"/>
                <w:szCs w:val="24"/>
                <w:highlight w:val="none"/>
              </w:rPr>
              <w:t>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shd w:val="clear" w:color="auto" w:fill="FFFFFF"/>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11</w:t>
            </w:r>
          </w:p>
        </w:tc>
        <w:tc>
          <w:tcPr>
            <w:tcW w:w="2160" w:type="dxa"/>
            <w:shd w:val="clear" w:color="auto" w:fill="FFFFFF"/>
            <w:noWrap w:val="0"/>
            <w:vAlign w:val="center"/>
          </w:tcPr>
          <w:p>
            <w:pPr>
              <w:pStyle w:val="39"/>
              <w:keepNext w:val="0"/>
              <w:keepLines w:val="0"/>
              <w:suppressLineNumbers w:val="0"/>
              <w:spacing w:before="0" w:beforeAutospacing="0" w:after="0" w:afterAutospacing="0" w:line="360" w:lineRule="auto"/>
              <w:ind w:left="0" w:right="0" w:firstLine="480"/>
              <w:jc w:val="left"/>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投标报价</w:t>
            </w:r>
          </w:p>
        </w:tc>
        <w:tc>
          <w:tcPr>
            <w:tcW w:w="7021" w:type="dxa"/>
            <w:shd w:val="clear" w:color="auto" w:fill="FFFFFF"/>
            <w:noWrap w:val="0"/>
            <w:vAlign w:val="center"/>
          </w:tcPr>
          <w:p>
            <w:pPr>
              <w:pStyle w:val="423"/>
              <w:keepNext w:val="0"/>
              <w:keepLines w:val="0"/>
              <w:suppressLineNumbers w:val="0"/>
              <w:spacing w:before="0" w:beforeAutospacing="0" w:after="0" w:afterAutospacing="0" w:line="360" w:lineRule="auto"/>
              <w:ind w:left="0" w:right="0"/>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lang w:val="en-US" w:eastAsia="zh-CN"/>
              </w:rPr>
              <w:t>本项目为交钥匙项目，报价应包括完成本项目所需货物、运输费、装卸费、</w:t>
            </w:r>
            <w:r>
              <w:rPr>
                <w:rFonts w:hint="eastAsia" w:cs="Times New Roman"/>
                <w:color w:val="auto"/>
                <w:szCs w:val="24"/>
                <w:highlight w:val="none"/>
                <w:lang w:val="en-US" w:eastAsia="zh-CN"/>
              </w:rPr>
              <w:t>安装费、</w:t>
            </w:r>
            <w:r>
              <w:rPr>
                <w:rFonts w:hint="default" w:ascii="Times New Roman" w:hAnsi="Times New Roman" w:cs="Times New Roman"/>
                <w:color w:val="auto"/>
                <w:szCs w:val="24"/>
                <w:highlight w:val="none"/>
                <w:lang w:val="en-US" w:eastAsia="zh-CN"/>
              </w:rPr>
              <w:t>保险费、</w:t>
            </w:r>
            <w:r>
              <w:rPr>
                <w:rFonts w:hint="eastAsia" w:cs="Times New Roman"/>
                <w:color w:val="auto"/>
                <w:szCs w:val="24"/>
                <w:highlight w:val="none"/>
                <w:lang w:val="en-US" w:eastAsia="zh-CN"/>
              </w:rPr>
              <w:t>招标服务费、验收费、</w:t>
            </w:r>
            <w:r>
              <w:rPr>
                <w:rFonts w:hint="default" w:ascii="Times New Roman" w:hAnsi="Times New Roman" w:cs="Times New Roman"/>
                <w:color w:val="auto"/>
                <w:szCs w:val="24"/>
                <w:highlight w:val="none"/>
                <w:lang w:val="en-US" w:eastAsia="zh-CN"/>
              </w:rPr>
              <w:t>检验检测费、指导安装、服务、技术支持、售后服务、利润、税金等完成本项目所需的所有费用；以及采购文件明示和暗示的所有责任、义务和风险等全部费用。如出现任何遗漏内容需产生额外费用，均由投标人自行承担，采购人将不再另支付任何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shd w:val="clear" w:color="auto" w:fill="FFFFFF"/>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12</w:t>
            </w:r>
          </w:p>
        </w:tc>
        <w:tc>
          <w:tcPr>
            <w:tcW w:w="2160" w:type="dxa"/>
            <w:shd w:val="clear" w:color="auto" w:fill="FFFFFF"/>
            <w:noWrap w:val="0"/>
            <w:vAlign w:val="center"/>
          </w:tcPr>
          <w:p>
            <w:pPr>
              <w:pStyle w:val="39"/>
              <w:keepNext w:val="0"/>
              <w:keepLines w:val="0"/>
              <w:suppressLineNumbers w:val="0"/>
              <w:spacing w:before="0" w:beforeAutospacing="0" w:after="0" w:afterAutospacing="0" w:line="360" w:lineRule="auto"/>
              <w:ind w:left="0" w:right="0" w:firstLine="480"/>
              <w:jc w:val="left"/>
              <w:rPr>
                <w:rFonts w:hint="default" w:ascii="Times New Roman" w:hAnsi="Times New Roman" w:cs="Times New Roman"/>
                <w:color w:val="auto"/>
                <w:szCs w:val="22"/>
                <w:highlight w:val="none"/>
              </w:rPr>
            </w:pPr>
            <w:r>
              <w:rPr>
                <w:rFonts w:hint="default" w:ascii="Times New Roman" w:hAnsi="Times New Roman" w:cs="Times New Roman"/>
                <w:color w:val="auto"/>
                <w:szCs w:val="22"/>
                <w:highlight w:val="none"/>
              </w:rPr>
              <w:t>付款方式</w:t>
            </w:r>
          </w:p>
        </w:tc>
        <w:tc>
          <w:tcPr>
            <w:tcW w:w="7021" w:type="dxa"/>
            <w:shd w:val="clear" w:color="auto" w:fill="FFFFFF"/>
            <w:noWrap w:val="0"/>
            <w:vAlign w:val="center"/>
          </w:tcPr>
          <w:p>
            <w:pPr>
              <w:pStyle w:val="423"/>
              <w:keepNext w:val="0"/>
              <w:keepLines w:val="0"/>
              <w:numPr>
                <w:ilvl w:val="0"/>
                <w:numId w:val="0"/>
              </w:numPr>
              <w:suppressLineNumbers w:val="0"/>
              <w:spacing w:before="0" w:beforeAutospacing="0" w:after="0" w:afterAutospacing="0" w:line="360" w:lineRule="auto"/>
              <w:ind w:left="0" w:right="0"/>
              <w:rPr>
                <w:rFonts w:hint="default" w:ascii="Times New Roman" w:hAnsi="Times New Roman" w:cs="Times New Roman"/>
                <w:color w:val="auto"/>
                <w:szCs w:val="22"/>
                <w:highlight w:val="none"/>
                <w:lang w:val="en-US"/>
              </w:rPr>
            </w:pPr>
            <w:r>
              <w:rPr>
                <w:rFonts w:hint="default" w:ascii="Times New Roman" w:hAnsi="Times New Roman" w:cs="Times New Roman"/>
                <w:color w:val="auto"/>
                <w:szCs w:val="22"/>
                <w:highlight w:val="none"/>
                <w:lang w:val="en-US"/>
              </w:rPr>
              <w:t>合同签订生效具备实施条件后预付合同金额的30%，全部货物设备运达指定位置并验收合格后付至合同金额的97%，剩余3%做为质保金，验收合格之日起一年后无质量问题一次性无息付清（负偏离无效）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shd w:val="clear" w:color="auto" w:fill="FFFFFF"/>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13</w:t>
            </w:r>
          </w:p>
        </w:tc>
        <w:tc>
          <w:tcPr>
            <w:tcW w:w="2160" w:type="dxa"/>
            <w:shd w:val="clear" w:color="auto" w:fill="FFFFFF"/>
            <w:noWrap w:val="0"/>
            <w:vAlign w:val="center"/>
          </w:tcPr>
          <w:p>
            <w:pPr>
              <w:pStyle w:val="39"/>
              <w:keepNext w:val="0"/>
              <w:keepLines w:val="0"/>
              <w:suppressLineNumbers w:val="0"/>
              <w:spacing w:before="0" w:beforeAutospacing="0" w:after="0" w:afterAutospacing="0" w:line="360" w:lineRule="auto"/>
              <w:ind w:left="0" w:right="0" w:firstLine="480"/>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资金来源</w:t>
            </w:r>
          </w:p>
        </w:tc>
        <w:tc>
          <w:tcPr>
            <w:tcW w:w="7021" w:type="dxa"/>
            <w:shd w:val="clear" w:color="auto" w:fill="FFFFFF"/>
            <w:noWrap w:val="0"/>
            <w:vAlign w:val="center"/>
          </w:tcPr>
          <w:p>
            <w:pPr>
              <w:pStyle w:val="28"/>
              <w:keepNext w:val="0"/>
              <w:keepLines w:val="0"/>
              <w:widowControl/>
              <w:suppressLineNumbers w:val="0"/>
              <w:spacing w:before="0" w:beforeAutospacing="0" w:after="0" w:afterAutospacing="0" w:line="360" w:lineRule="auto"/>
              <w:ind w:left="0" w:right="0"/>
              <w:rPr>
                <w:rFonts w:hint="default" w:ascii="宋体" w:hAnsi="宋体" w:cs="Times New Roman"/>
                <w:color w:val="auto"/>
                <w:highlight w:val="none"/>
              </w:rPr>
            </w:pPr>
            <w:r>
              <w:rPr>
                <w:rFonts w:hint="eastAsia" w:ascii="宋体" w:hAnsi="宋体" w:cs="Times New Roman"/>
                <w:color w:val="auto"/>
                <w:highlight w:val="none"/>
              </w:rPr>
              <w:t>财政</w:t>
            </w:r>
            <w:r>
              <w:rPr>
                <w:rFonts w:hint="eastAsia" w:ascii="宋体" w:hAnsi="宋体" w:cs="Times New Roman"/>
                <w:color w:val="auto"/>
                <w:highlight w:val="none"/>
                <w:lang w:eastAsia="zh-CN"/>
              </w:rPr>
              <w:t>性</w:t>
            </w:r>
            <w:r>
              <w:rPr>
                <w:rFonts w:hint="eastAsia" w:ascii="宋体" w:hAnsi="宋体" w:cs="Times New Roman"/>
                <w:color w:val="auto"/>
                <w:highlight w:val="none"/>
              </w:rPr>
              <w:t>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14</w:t>
            </w:r>
          </w:p>
        </w:tc>
        <w:tc>
          <w:tcPr>
            <w:tcW w:w="2160" w:type="dxa"/>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投标有效期</w:t>
            </w:r>
          </w:p>
        </w:tc>
        <w:tc>
          <w:tcPr>
            <w:tcW w:w="7021" w:type="dxa"/>
            <w:noWrap w:val="0"/>
            <w:vAlign w:val="center"/>
          </w:tcPr>
          <w:p>
            <w:pPr>
              <w:pStyle w:val="39"/>
              <w:keepNext w:val="0"/>
              <w:keepLines w:val="0"/>
              <w:suppressLineNumbers w:val="0"/>
              <w:spacing w:before="0" w:beforeAutospacing="0" w:after="0" w:afterAutospacing="0" w:line="360" w:lineRule="auto"/>
              <w:ind w:left="0" w:right="0"/>
              <w:jc w:val="left"/>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90天（日历日）。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15</w:t>
            </w:r>
          </w:p>
        </w:tc>
        <w:tc>
          <w:tcPr>
            <w:tcW w:w="2160" w:type="dxa"/>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eastAsia" w:hAnsi="宋体" w:cs="宋体"/>
                <w:color w:val="auto"/>
                <w:szCs w:val="24"/>
                <w:highlight w:val="none"/>
              </w:rPr>
              <w:t>投标文件份数</w:t>
            </w:r>
          </w:p>
        </w:tc>
        <w:tc>
          <w:tcPr>
            <w:tcW w:w="7021" w:type="dxa"/>
            <w:noWrap w:val="0"/>
            <w:vAlign w:val="center"/>
          </w:tcPr>
          <w:p>
            <w:pPr>
              <w:keepNext w:val="0"/>
              <w:keepLines w:val="0"/>
              <w:suppressLineNumbers w:val="0"/>
              <w:spacing w:before="0" w:beforeAutospacing="0" w:after="0" w:afterAutospacing="0" w:line="360" w:lineRule="auto"/>
              <w:ind w:left="0" w:right="0"/>
              <w:jc w:val="left"/>
              <w:rPr>
                <w:rFonts w:hint="eastAsia" w:ascii="宋体" w:hAnsi="宋体" w:cs="宋体"/>
                <w:b/>
                <w:color w:val="auto"/>
                <w:kern w:val="0"/>
                <w:sz w:val="24"/>
                <w:szCs w:val="24"/>
                <w:highlight w:val="none"/>
                <w:lang w:val="zh-CN" w:bidi="zh-CN"/>
              </w:rPr>
            </w:pPr>
            <w:r>
              <w:rPr>
                <w:rFonts w:hint="eastAsia" w:ascii="宋体" w:hAnsi="宋体" w:cs="宋体"/>
                <w:b/>
                <w:color w:val="auto"/>
                <w:kern w:val="0"/>
                <w:sz w:val="24"/>
                <w:szCs w:val="24"/>
                <w:highlight w:val="none"/>
                <w:lang w:val="zh-CN" w:bidi="zh-CN"/>
              </w:rPr>
              <w:t>1、加密文件 1 份，为.lctf 文件，在聊城市公共资源交易网会员系统响应文件上传；</w:t>
            </w:r>
          </w:p>
          <w:p>
            <w:pPr>
              <w:keepNext w:val="0"/>
              <w:keepLines w:val="0"/>
              <w:suppressLineNumbers w:val="0"/>
              <w:spacing w:before="0" w:beforeAutospacing="0" w:after="0" w:afterAutospacing="0" w:line="360" w:lineRule="auto"/>
              <w:ind w:left="0" w:right="0"/>
              <w:jc w:val="left"/>
              <w:rPr>
                <w:rFonts w:hint="eastAsia" w:ascii="宋体" w:hAnsi="宋体" w:cs="宋体"/>
                <w:b/>
                <w:color w:val="auto"/>
                <w:kern w:val="0"/>
                <w:sz w:val="24"/>
                <w:szCs w:val="24"/>
                <w:highlight w:val="none"/>
                <w:lang w:val="zh-CN" w:bidi="zh-CN"/>
              </w:rPr>
            </w:pPr>
            <w:r>
              <w:rPr>
                <w:rFonts w:hint="eastAsia" w:ascii="宋体" w:hAnsi="宋体" w:cs="宋体"/>
                <w:b/>
                <w:color w:val="auto"/>
                <w:kern w:val="0"/>
                <w:sz w:val="24"/>
                <w:szCs w:val="24"/>
                <w:highlight w:val="none"/>
                <w:lang w:val="zh-CN" w:bidi="zh-CN"/>
              </w:rPr>
              <w:t>2、开标当日投标人不必抵达开标现场，仅需登录聊城市公共资源交易中心不见面开标大厅参与开标会议；开标前登录网上不见面开标大厅，完成签到工作。</w:t>
            </w:r>
          </w:p>
          <w:p>
            <w:pPr>
              <w:keepNext w:val="0"/>
              <w:keepLines w:val="0"/>
              <w:suppressLineNumbers w:val="0"/>
              <w:spacing w:before="0" w:beforeAutospacing="0" w:after="0" w:afterAutospacing="0" w:line="360" w:lineRule="auto"/>
              <w:ind w:left="0" w:right="0"/>
              <w:rPr>
                <w:rFonts w:hint="default" w:ascii="Times New Roman" w:hAnsi="Times New Roman" w:cs="Times New Roman"/>
                <w:b/>
                <w:color w:val="auto"/>
                <w:szCs w:val="20"/>
                <w:highlight w:val="none"/>
              </w:rPr>
            </w:pPr>
            <w:r>
              <w:rPr>
                <w:rFonts w:hint="eastAsia" w:ascii="宋体" w:hAnsi="宋体" w:cs="宋体"/>
                <w:b/>
                <w:color w:val="auto"/>
                <w:kern w:val="0"/>
                <w:sz w:val="24"/>
                <w:szCs w:val="24"/>
                <w:highlight w:val="none"/>
                <w:lang w:val="zh-CN" w:bidi="zh-CN"/>
              </w:rPr>
              <w:t>3、中标人需提交三份胶装的系统内生成的PDF 版纸质标书，并加盖公章，送至代理公司。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default" w:ascii="Times New Roman" w:hAnsi="Times New Roman" w:cs="Times New Roman"/>
                <w:color w:val="auto"/>
                <w:szCs w:val="20"/>
                <w:highlight w:val="none"/>
              </w:rPr>
              <w:t>16</w:t>
            </w:r>
          </w:p>
        </w:tc>
        <w:tc>
          <w:tcPr>
            <w:tcW w:w="2160" w:type="dxa"/>
            <w:noWrap w:val="0"/>
            <w:vAlign w:val="center"/>
          </w:tcPr>
          <w:p>
            <w:pPr>
              <w:pStyle w:val="666"/>
              <w:keepNext w:val="0"/>
              <w:keepLines w:val="0"/>
              <w:suppressLineNumbers w:val="0"/>
              <w:spacing w:before="0" w:beforeAutospacing="0" w:after="0" w:afterAutospacing="0" w:line="360" w:lineRule="auto"/>
              <w:ind w:left="0" w:right="0" w:firstLine="0" w:firstLineChars="0"/>
              <w:jc w:val="center"/>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shd w:val="pct10" w:color="auto" w:fill="FFFFFF"/>
              </w:rPr>
              <w:t>答疑安排</w:t>
            </w:r>
          </w:p>
        </w:tc>
        <w:tc>
          <w:tcPr>
            <w:tcW w:w="7021" w:type="dxa"/>
            <w:noWrap w:val="0"/>
            <w:vAlign w:val="center"/>
          </w:tcPr>
          <w:p>
            <w:pPr>
              <w:pStyle w:val="666"/>
              <w:keepNext w:val="0"/>
              <w:keepLines w:val="0"/>
              <w:suppressLineNumbers w:val="0"/>
              <w:spacing w:before="0" w:beforeAutospacing="0" w:after="0" w:afterAutospacing="0" w:line="360" w:lineRule="auto"/>
              <w:ind w:left="0" w:right="0" w:firstLine="0" w:firstLineChars="0"/>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投标人提交疑问时间：</w:t>
            </w:r>
            <w:r>
              <w:rPr>
                <w:rFonts w:hint="eastAsia" w:ascii="Times New Roman" w:cs="Times New Roman"/>
                <w:color w:val="auto"/>
                <w:szCs w:val="20"/>
                <w:highlight w:val="none"/>
              </w:rPr>
              <w:t>202</w:t>
            </w:r>
            <w:r>
              <w:rPr>
                <w:rFonts w:hint="eastAsia" w:ascii="Times New Roman" w:cs="Times New Roman"/>
                <w:color w:val="auto"/>
                <w:szCs w:val="20"/>
                <w:highlight w:val="none"/>
                <w:lang w:val="en-US" w:eastAsia="zh-CN"/>
              </w:rPr>
              <w:t>3</w:t>
            </w:r>
            <w:r>
              <w:rPr>
                <w:rFonts w:hint="eastAsia" w:ascii="Times New Roman" w:cs="Times New Roman"/>
                <w:color w:val="auto"/>
                <w:szCs w:val="20"/>
                <w:highlight w:val="none"/>
              </w:rPr>
              <w:t>年</w:t>
            </w:r>
            <w:r>
              <w:rPr>
                <w:rFonts w:hint="eastAsia" w:ascii="Times New Roman" w:cs="Times New Roman"/>
                <w:color w:val="auto"/>
                <w:szCs w:val="20"/>
                <w:highlight w:val="none"/>
                <w:lang w:val="en-US" w:eastAsia="zh-CN"/>
              </w:rPr>
              <w:t>08</w:t>
            </w:r>
            <w:r>
              <w:rPr>
                <w:rFonts w:hint="eastAsia" w:ascii="Times New Roman" w:cs="Times New Roman"/>
                <w:color w:val="auto"/>
                <w:szCs w:val="20"/>
                <w:highlight w:val="none"/>
              </w:rPr>
              <w:t>月</w:t>
            </w:r>
            <w:r>
              <w:rPr>
                <w:rFonts w:hint="eastAsia" w:ascii="Times New Roman" w:cs="Times New Roman"/>
                <w:color w:val="auto"/>
                <w:szCs w:val="20"/>
                <w:highlight w:val="none"/>
                <w:lang w:val="en-US" w:eastAsia="zh-CN"/>
              </w:rPr>
              <w:t>30</w:t>
            </w:r>
            <w:r>
              <w:rPr>
                <w:rFonts w:hint="eastAsia" w:ascii="Times New Roman" w:cs="Times New Roman"/>
                <w:color w:val="auto"/>
                <w:szCs w:val="20"/>
                <w:highlight w:val="none"/>
              </w:rPr>
              <w:t>日17时前</w:t>
            </w:r>
            <w:r>
              <w:rPr>
                <w:rFonts w:hint="default" w:ascii="Times New Roman" w:cs="Times New Roman"/>
                <w:color w:val="auto"/>
                <w:szCs w:val="20"/>
                <w:highlight w:val="none"/>
              </w:rPr>
              <w:t>；</w:t>
            </w:r>
          </w:p>
          <w:p>
            <w:pPr>
              <w:pStyle w:val="666"/>
              <w:keepNext w:val="0"/>
              <w:keepLines w:val="0"/>
              <w:suppressLineNumbers w:val="0"/>
              <w:spacing w:before="0" w:beforeAutospacing="0" w:after="0" w:afterAutospacing="0" w:line="360" w:lineRule="auto"/>
              <w:ind w:left="0" w:right="0" w:firstLine="0" w:firstLineChars="0"/>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投标人对招标文件、踏勘现场有询问或者疑问，需采购人解答或者答疑时，</w:t>
            </w:r>
            <w:r>
              <w:rPr>
                <w:rFonts w:hint="eastAsia" w:ascii="Times New Roman" w:cs="Times New Roman"/>
                <w:color w:val="auto"/>
                <w:szCs w:val="20"/>
                <w:highlight w:val="none"/>
              </w:rPr>
              <w:t>应于202</w:t>
            </w:r>
            <w:r>
              <w:rPr>
                <w:rFonts w:hint="eastAsia" w:ascii="Times New Roman" w:cs="Times New Roman"/>
                <w:color w:val="auto"/>
                <w:szCs w:val="20"/>
                <w:highlight w:val="none"/>
                <w:lang w:val="en-US" w:eastAsia="zh-CN"/>
              </w:rPr>
              <w:t>3</w:t>
            </w:r>
            <w:r>
              <w:rPr>
                <w:rFonts w:hint="eastAsia" w:ascii="Times New Roman" w:cs="Times New Roman"/>
                <w:color w:val="auto"/>
                <w:szCs w:val="20"/>
                <w:highlight w:val="none"/>
              </w:rPr>
              <w:t>年</w:t>
            </w:r>
            <w:r>
              <w:rPr>
                <w:rFonts w:hint="eastAsia" w:ascii="Times New Roman" w:cs="Times New Roman"/>
                <w:color w:val="auto"/>
                <w:szCs w:val="20"/>
                <w:highlight w:val="none"/>
                <w:lang w:val="en-US" w:eastAsia="zh-CN"/>
              </w:rPr>
              <w:t>08</w:t>
            </w:r>
            <w:r>
              <w:rPr>
                <w:rFonts w:hint="eastAsia" w:ascii="Times New Roman" w:cs="Times New Roman"/>
                <w:color w:val="auto"/>
                <w:szCs w:val="20"/>
                <w:highlight w:val="none"/>
              </w:rPr>
              <w:t>月</w:t>
            </w:r>
            <w:r>
              <w:rPr>
                <w:rFonts w:hint="eastAsia" w:ascii="Times New Roman" w:cs="Times New Roman"/>
                <w:color w:val="auto"/>
                <w:szCs w:val="20"/>
                <w:highlight w:val="none"/>
                <w:lang w:val="en-US" w:eastAsia="zh-CN"/>
              </w:rPr>
              <w:t>30</w:t>
            </w:r>
            <w:r>
              <w:rPr>
                <w:rFonts w:hint="eastAsia" w:ascii="Times New Roman" w:cs="Times New Roman"/>
                <w:color w:val="auto"/>
                <w:szCs w:val="20"/>
                <w:highlight w:val="none"/>
              </w:rPr>
              <w:t>日17时前</w:t>
            </w:r>
            <w:r>
              <w:rPr>
                <w:rFonts w:hint="default" w:ascii="Times New Roman" w:hAnsi="Times New Roman" w:cs="Times New Roman"/>
                <w:color w:val="auto"/>
                <w:szCs w:val="24"/>
                <w:highlight w:val="none"/>
              </w:rPr>
              <w:t>，选择直接联系代理公司或者在平台系统内提问等形式提出疑问，其中系统发起的提问不得透漏投标人的名称和联系方式；直接联系代理公司的，应以加盖投标人单位公章的书面文件提出，同时将电子版文件以电子邮件的形式发送至</w:t>
            </w:r>
            <w:r>
              <w:rPr>
                <w:rFonts w:hint="eastAsia" w:ascii="Times New Roman" w:hAnsi="Times New Roman" w:cs="Times New Roman"/>
                <w:color w:val="auto"/>
                <w:szCs w:val="24"/>
                <w:highlight w:val="none"/>
              </w:rPr>
              <w:t>sdzhzb2017@163.com。</w:t>
            </w:r>
          </w:p>
          <w:p>
            <w:pPr>
              <w:pStyle w:val="666"/>
              <w:keepNext w:val="0"/>
              <w:keepLines w:val="0"/>
              <w:suppressLineNumbers w:val="0"/>
              <w:spacing w:before="0" w:beforeAutospacing="0" w:after="0" w:afterAutospacing="0" w:line="360" w:lineRule="auto"/>
              <w:ind w:left="0" w:right="0" w:firstLine="480"/>
              <w:rPr>
                <w:rFonts w:hint="eastAsia" w:ascii="Times New Roman" w:hAnsi="Times New Roman" w:cs="Times New Roman"/>
                <w:b/>
                <w:color w:val="auto"/>
                <w:szCs w:val="24"/>
                <w:highlight w:val="none"/>
              </w:rPr>
            </w:pPr>
            <w:r>
              <w:rPr>
                <w:rFonts w:hint="eastAsia" w:ascii="Times New Roman" w:hAnsi="Times New Roman" w:cs="Times New Roman"/>
                <w:color w:val="auto"/>
                <w:szCs w:val="24"/>
                <w:highlight w:val="none"/>
              </w:rPr>
              <w:t>我代理机构根据项目的实际情况或投标人提出的问题，决定是否对招标文件进行澄清说明或补充修改，澄清说明或者补充修改在聊城市公共资源交易网上文件获取系统中发布，发布之日即视为已通知所有获取招标文件的投标人，各投标企业应随时关注项目信息并及时登录聊城市公共资源交易系统下载电子版各类澄清答疑，否则所造成的一切后果由投标人自负。补充文件作为招标文件的组成部分，对所有投标人具有最终约束力。</w:t>
            </w:r>
            <w:r>
              <w:rPr>
                <w:rFonts w:hint="eastAsia" w:ascii="Times New Roman" w:hAnsi="Times New Roman" w:cs="Times New Roman"/>
                <w:b/>
                <w:color w:val="auto"/>
                <w:szCs w:val="24"/>
                <w:highlight w:val="none"/>
              </w:rPr>
              <w:t>另投标人务必把最新的澄清文件导入到投标文件制作工具中，否则无法生成最新投标文件。</w:t>
            </w:r>
          </w:p>
          <w:p>
            <w:pPr>
              <w:pStyle w:val="666"/>
              <w:keepNext w:val="0"/>
              <w:keepLines w:val="0"/>
              <w:suppressLineNumbers w:val="0"/>
              <w:spacing w:before="0" w:beforeAutospacing="0" w:after="0" w:afterAutospacing="0" w:line="360" w:lineRule="auto"/>
              <w:ind w:left="0" w:right="0" w:firstLine="480"/>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投标人未在规定时间内提出询问或者疑问，视为认同招标文件以及答疑文件内的所有要求，投标人未按照招标文件、解答或者答疑要求报价的，后果自负。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eastAsia" w:ascii="宋体" w:hAnsi="宋体" w:cs="宋体"/>
                <w:color w:val="auto"/>
                <w:sz w:val="24"/>
                <w:szCs w:val="24"/>
                <w:highlight w:val="none"/>
              </w:rPr>
              <w:t>17</w:t>
            </w:r>
          </w:p>
        </w:tc>
        <w:tc>
          <w:tcPr>
            <w:tcW w:w="2160" w:type="dxa"/>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eastAsia" w:hAnsi="宋体" w:cs="宋体"/>
                <w:color w:val="auto"/>
                <w:szCs w:val="24"/>
                <w:highlight w:val="none"/>
              </w:rPr>
              <w:t>递交投标文件截止时间及开标时间</w:t>
            </w:r>
          </w:p>
        </w:tc>
        <w:tc>
          <w:tcPr>
            <w:tcW w:w="7021" w:type="dxa"/>
            <w:noWrap w:val="0"/>
            <w:vAlign w:val="center"/>
          </w:tcPr>
          <w:p>
            <w:pPr>
              <w:pStyle w:val="39"/>
              <w:keepNext w:val="0"/>
              <w:keepLines w:val="0"/>
              <w:suppressLineNumbers w:val="0"/>
              <w:spacing w:before="0" w:beforeAutospacing="0" w:after="0" w:afterAutospacing="0" w:line="360" w:lineRule="auto"/>
              <w:ind w:left="0" w:right="0"/>
              <w:jc w:val="left"/>
              <w:rPr>
                <w:rFonts w:hint="default" w:ascii="Times New Roman" w:hAnsi="Times New Roman" w:cs="Times New Roman"/>
                <w:color w:val="auto"/>
                <w:szCs w:val="20"/>
                <w:highlight w:val="none"/>
              </w:rPr>
            </w:pPr>
            <w:r>
              <w:rPr>
                <w:rFonts w:hint="eastAsia" w:hAnsi="宋体" w:cs="宋体"/>
                <w:color w:val="auto"/>
                <w:szCs w:val="24"/>
                <w:highlight w:val="none"/>
              </w:rPr>
              <w:t>见公告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eastAsia" w:ascii="宋体" w:hAnsi="宋体" w:cs="宋体"/>
                <w:color w:val="auto"/>
                <w:sz w:val="24"/>
                <w:szCs w:val="24"/>
                <w:highlight w:val="none"/>
              </w:rPr>
              <w:t>18</w:t>
            </w:r>
          </w:p>
        </w:tc>
        <w:tc>
          <w:tcPr>
            <w:tcW w:w="2160" w:type="dxa"/>
            <w:noWrap w:val="0"/>
            <w:vAlign w:val="center"/>
          </w:tcPr>
          <w:p>
            <w:pPr>
              <w:pStyle w:val="39"/>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eastAsia" w:hAnsi="宋体" w:cs="宋体"/>
                <w:color w:val="auto"/>
                <w:szCs w:val="24"/>
                <w:highlight w:val="none"/>
              </w:rPr>
              <w:t>递交投标文件地点及开标地点</w:t>
            </w:r>
          </w:p>
        </w:tc>
        <w:tc>
          <w:tcPr>
            <w:tcW w:w="7021" w:type="dxa"/>
            <w:noWrap w:val="0"/>
            <w:vAlign w:val="center"/>
          </w:tcPr>
          <w:p>
            <w:pPr>
              <w:pStyle w:val="39"/>
              <w:keepNext w:val="0"/>
              <w:keepLines w:val="0"/>
              <w:suppressLineNumbers w:val="0"/>
              <w:spacing w:before="0" w:beforeAutospacing="0" w:after="0" w:afterAutospacing="0" w:line="360" w:lineRule="auto"/>
              <w:ind w:left="0" w:right="0"/>
              <w:rPr>
                <w:rFonts w:hint="default" w:ascii="Times New Roman" w:hAnsi="Times New Roman" w:cs="Times New Roman"/>
                <w:color w:val="auto"/>
                <w:szCs w:val="20"/>
                <w:highlight w:val="none"/>
              </w:rPr>
            </w:pPr>
            <w:r>
              <w:rPr>
                <w:rFonts w:hint="eastAsia" w:hAnsi="宋体" w:cs="宋体"/>
                <w:color w:val="auto"/>
                <w:szCs w:val="24"/>
                <w:highlight w:val="none"/>
              </w:rPr>
              <w:t>见公告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eastAsia" w:ascii="宋体" w:hAnsi="宋体" w:cs="宋体"/>
                <w:color w:val="auto"/>
                <w:sz w:val="24"/>
                <w:szCs w:val="24"/>
                <w:highlight w:val="none"/>
              </w:rPr>
              <w:t>19</w:t>
            </w:r>
          </w:p>
        </w:tc>
        <w:tc>
          <w:tcPr>
            <w:tcW w:w="2160" w:type="dxa"/>
            <w:noWrap w:val="0"/>
            <w:vAlign w:val="center"/>
          </w:tcPr>
          <w:p>
            <w:pPr>
              <w:pStyle w:val="39"/>
              <w:keepNext w:val="0"/>
              <w:keepLines w:val="0"/>
              <w:suppressLineNumbers w:val="0"/>
              <w:spacing w:before="0" w:beforeAutospacing="0" w:after="0" w:afterAutospacing="0" w:line="360" w:lineRule="auto"/>
              <w:ind w:left="0" w:right="0" w:firstLine="480"/>
              <w:rPr>
                <w:rFonts w:hint="default" w:ascii="Times New Roman" w:hAnsi="Times New Roman" w:cs="Times New Roman"/>
                <w:color w:val="auto"/>
                <w:szCs w:val="20"/>
                <w:highlight w:val="none"/>
              </w:rPr>
            </w:pPr>
            <w:r>
              <w:rPr>
                <w:rFonts w:hint="eastAsia" w:hAnsi="宋体" w:cs="宋体"/>
                <w:color w:val="auto"/>
                <w:szCs w:val="24"/>
                <w:highlight w:val="none"/>
              </w:rPr>
              <w:t>保证金</w:t>
            </w:r>
          </w:p>
        </w:tc>
        <w:tc>
          <w:tcPr>
            <w:tcW w:w="7021" w:type="dxa"/>
            <w:noWrap w:val="0"/>
            <w:vAlign w:val="center"/>
          </w:tcPr>
          <w:p>
            <w:pPr>
              <w:keepNext w:val="0"/>
              <w:keepLines w:val="0"/>
              <w:suppressLineNumbers w:val="0"/>
              <w:tabs>
                <w:tab w:val="left" w:pos="0"/>
                <w:tab w:val="left" w:pos="180"/>
                <w:tab w:val="left" w:pos="360"/>
              </w:tabs>
              <w:spacing w:before="0" w:beforeAutospacing="0" w:after="0" w:afterAutospacing="0" w:line="360" w:lineRule="auto"/>
              <w:ind w:left="0" w:right="0"/>
              <w:rPr>
                <w:rFonts w:hint="default" w:ascii="Times New Roman" w:hAnsi="Times New Roman" w:cs="Times New Roman"/>
                <w:color w:val="auto"/>
                <w:sz w:val="24"/>
                <w:szCs w:val="24"/>
                <w:highlight w:val="none"/>
              </w:rPr>
            </w:pPr>
            <w:r>
              <w:rPr>
                <w:rFonts w:hint="eastAsia" w:ascii="宋体" w:hAnsi="宋体" w:cs="宋体"/>
                <w:color w:val="auto"/>
                <w:sz w:val="24"/>
                <w:szCs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tcBorders>
              <w:bottom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eastAsia" w:ascii="宋体" w:hAnsi="宋体" w:cs="宋体"/>
                <w:color w:val="auto"/>
                <w:sz w:val="24"/>
                <w:szCs w:val="24"/>
                <w:highlight w:val="none"/>
              </w:rPr>
              <w:t>20</w:t>
            </w:r>
          </w:p>
        </w:tc>
        <w:tc>
          <w:tcPr>
            <w:tcW w:w="2160" w:type="dxa"/>
            <w:tcBorders>
              <w:bottom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 w:val="24"/>
                <w:szCs w:val="24"/>
                <w:highlight w:val="none"/>
              </w:rPr>
            </w:pPr>
            <w:r>
              <w:rPr>
                <w:rFonts w:hint="eastAsia" w:ascii="宋体" w:hAnsi="宋体" w:cs="宋体"/>
                <w:color w:val="auto"/>
                <w:sz w:val="24"/>
                <w:szCs w:val="24"/>
                <w:highlight w:val="none"/>
              </w:rPr>
              <w:t>联系方式</w:t>
            </w:r>
          </w:p>
        </w:tc>
        <w:tc>
          <w:tcPr>
            <w:tcW w:w="7021" w:type="dxa"/>
            <w:tcBorders>
              <w:bottom w:val="single" w:color="auto" w:sz="4" w:space="0"/>
            </w:tcBorders>
            <w:noWrap w:val="0"/>
            <w:vAlign w:val="center"/>
          </w:tcPr>
          <w:p>
            <w:pPr>
              <w:keepNext w:val="0"/>
              <w:keepLines w:val="0"/>
              <w:suppressLineNumbers w:val="0"/>
              <w:spacing w:before="0" w:beforeAutospacing="0" w:after="0" w:afterAutospacing="0" w:line="360" w:lineRule="auto"/>
              <w:ind w:left="0" w:right="0"/>
              <w:jc w:val="left"/>
              <w:rPr>
                <w:rFonts w:hint="eastAsia" w:ascii="宋体" w:hAnsi="Times New Roman" w:cs="Times New Roman"/>
                <w:color w:val="auto"/>
                <w:sz w:val="24"/>
                <w:szCs w:val="24"/>
                <w:highlight w:val="none"/>
              </w:rPr>
            </w:pPr>
            <w:r>
              <w:rPr>
                <w:rFonts w:hint="eastAsia" w:ascii="宋体" w:cs="Times New Roman"/>
                <w:color w:val="auto"/>
                <w:sz w:val="24"/>
                <w:szCs w:val="24"/>
                <w:highlight w:val="none"/>
                <w:lang w:val="en-US" w:eastAsia="zh-CN"/>
              </w:rPr>
              <w:t>1、</w:t>
            </w:r>
            <w:r>
              <w:rPr>
                <w:rFonts w:hint="eastAsia" w:ascii="宋体" w:hAnsi="Times New Roman" w:cs="Times New Roman"/>
                <w:color w:val="auto"/>
                <w:sz w:val="24"/>
                <w:szCs w:val="24"/>
                <w:highlight w:val="none"/>
              </w:rPr>
              <w:t>招标人:聊城市教育和体育局</w:t>
            </w:r>
          </w:p>
          <w:p>
            <w:pPr>
              <w:keepNext w:val="0"/>
              <w:keepLines w:val="0"/>
              <w:suppressLineNumbers w:val="0"/>
              <w:spacing w:before="0" w:beforeAutospacing="0" w:after="0" w:afterAutospacing="0" w:line="360" w:lineRule="auto"/>
              <w:ind w:left="0" w:right="0"/>
              <w:jc w:val="left"/>
              <w:rPr>
                <w:rFonts w:hint="eastAsia" w:ascii="宋体" w:hAnsi="Times New Roman" w:cs="Times New Roman"/>
                <w:color w:val="auto"/>
                <w:sz w:val="24"/>
                <w:szCs w:val="24"/>
                <w:highlight w:val="none"/>
              </w:rPr>
            </w:pPr>
            <w:r>
              <w:rPr>
                <w:rFonts w:hint="eastAsia" w:ascii="宋体" w:hAnsi="Times New Roman" w:cs="Times New Roman"/>
                <w:color w:val="auto"/>
                <w:sz w:val="24"/>
                <w:szCs w:val="24"/>
                <w:highlight w:val="none"/>
              </w:rPr>
              <w:t>地址：聊城市湖南路</w:t>
            </w:r>
          </w:p>
          <w:p>
            <w:pPr>
              <w:keepNext w:val="0"/>
              <w:keepLines w:val="0"/>
              <w:suppressLineNumbers w:val="0"/>
              <w:spacing w:before="0" w:beforeAutospacing="0" w:after="0" w:afterAutospacing="0" w:line="360" w:lineRule="auto"/>
              <w:ind w:left="0" w:right="0"/>
              <w:jc w:val="left"/>
              <w:rPr>
                <w:rFonts w:hint="eastAsia" w:ascii="宋体" w:hAnsi="Times New Roman" w:cs="Times New Roman"/>
                <w:color w:val="auto"/>
                <w:sz w:val="24"/>
                <w:szCs w:val="24"/>
                <w:highlight w:val="none"/>
              </w:rPr>
            </w:pPr>
            <w:r>
              <w:rPr>
                <w:rFonts w:hint="eastAsia" w:ascii="宋体" w:hAnsi="Times New Roman" w:cs="Times New Roman"/>
                <w:color w:val="auto"/>
                <w:sz w:val="24"/>
                <w:szCs w:val="24"/>
                <w:highlight w:val="none"/>
              </w:rPr>
              <w:t>联系人：</w:t>
            </w:r>
            <w:r>
              <w:rPr>
                <w:rFonts w:hint="eastAsia" w:ascii="宋体" w:cs="Times New Roman"/>
                <w:color w:val="auto"/>
                <w:sz w:val="24"/>
                <w:szCs w:val="24"/>
                <w:highlight w:val="none"/>
                <w:lang w:eastAsia="zh-CN"/>
              </w:rPr>
              <w:t>张</w:t>
            </w:r>
            <w:r>
              <w:rPr>
                <w:rFonts w:hint="eastAsia" w:ascii="宋体" w:hAnsi="Times New Roman" w:cs="Times New Roman"/>
                <w:color w:val="auto"/>
                <w:sz w:val="24"/>
                <w:szCs w:val="24"/>
                <w:highlight w:val="none"/>
              </w:rPr>
              <w:t>科长</w:t>
            </w:r>
          </w:p>
          <w:p>
            <w:pPr>
              <w:keepNext w:val="0"/>
              <w:keepLines w:val="0"/>
              <w:suppressLineNumbers w:val="0"/>
              <w:spacing w:before="0" w:beforeAutospacing="0" w:after="0" w:afterAutospacing="0" w:line="360" w:lineRule="auto"/>
              <w:ind w:left="0" w:right="0"/>
              <w:jc w:val="left"/>
              <w:rPr>
                <w:rFonts w:hint="eastAsia" w:ascii="宋体" w:hAnsi="Times New Roman" w:eastAsia="宋体" w:cs="Times New Roman"/>
                <w:color w:val="auto"/>
                <w:sz w:val="24"/>
                <w:szCs w:val="24"/>
                <w:highlight w:val="none"/>
                <w:lang w:eastAsia="zh-CN"/>
              </w:rPr>
            </w:pPr>
            <w:r>
              <w:rPr>
                <w:rFonts w:hint="eastAsia" w:ascii="宋体" w:hAnsi="Times New Roman" w:cs="Times New Roman"/>
                <w:color w:val="auto"/>
                <w:sz w:val="24"/>
                <w:szCs w:val="24"/>
                <w:highlight w:val="none"/>
              </w:rPr>
              <w:t>联系方式：</w:t>
            </w:r>
            <w:r>
              <w:rPr>
                <w:rFonts w:hint="eastAsia" w:ascii="宋体" w:cs="Times New Roman"/>
                <w:color w:val="auto"/>
                <w:sz w:val="24"/>
                <w:szCs w:val="24"/>
                <w:highlight w:val="none"/>
                <w:lang w:val="en-US" w:eastAsia="zh-CN"/>
              </w:rPr>
              <w:t xml:space="preserve"> </w:t>
            </w:r>
          </w:p>
          <w:p>
            <w:pPr>
              <w:keepNext w:val="0"/>
              <w:keepLines w:val="0"/>
              <w:suppressLineNumbers w:val="0"/>
              <w:spacing w:before="0" w:beforeAutospacing="0" w:after="0" w:afterAutospacing="0" w:line="360" w:lineRule="auto"/>
              <w:ind w:left="0" w:right="0"/>
              <w:jc w:val="left"/>
              <w:rPr>
                <w:rFonts w:hint="eastAsia" w:ascii="宋体" w:hAnsi="Times New Roman" w:cs="Times New Roman"/>
                <w:color w:val="auto"/>
                <w:sz w:val="24"/>
                <w:szCs w:val="24"/>
                <w:highlight w:val="none"/>
              </w:rPr>
            </w:pPr>
            <w:r>
              <w:rPr>
                <w:rFonts w:hint="eastAsia" w:ascii="宋体" w:cs="Times New Roman"/>
                <w:color w:val="auto"/>
                <w:sz w:val="24"/>
                <w:szCs w:val="24"/>
                <w:highlight w:val="none"/>
                <w:lang w:val="en-US" w:eastAsia="zh-CN"/>
              </w:rPr>
              <w:t>2、</w:t>
            </w:r>
            <w:r>
              <w:rPr>
                <w:rFonts w:hint="eastAsia" w:ascii="宋体" w:hAnsi="Times New Roman" w:cs="Times New Roman"/>
                <w:color w:val="auto"/>
                <w:sz w:val="24"/>
                <w:szCs w:val="24"/>
                <w:highlight w:val="none"/>
              </w:rPr>
              <w:t>采购代理机构：山东众合项目咨询有限公司</w:t>
            </w:r>
          </w:p>
          <w:p>
            <w:pPr>
              <w:keepNext w:val="0"/>
              <w:keepLines w:val="0"/>
              <w:suppressLineNumbers w:val="0"/>
              <w:spacing w:before="0" w:beforeAutospacing="0" w:after="0" w:afterAutospacing="0" w:line="360" w:lineRule="auto"/>
              <w:ind w:left="0" w:right="0"/>
              <w:jc w:val="left"/>
              <w:rPr>
                <w:rFonts w:hint="eastAsia" w:ascii="宋体" w:hAnsi="Times New Roman" w:cs="Times New Roman"/>
                <w:color w:val="auto"/>
                <w:sz w:val="24"/>
                <w:szCs w:val="24"/>
                <w:highlight w:val="none"/>
              </w:rPr>
            </w:pPr>
            <w:r>
              <w:rPr>
                <w:rFonts w:hint="eastAsia" w:ascii="宋体" w:hAnsi="Times New Roman" w:cs="Times New Roman"/>
                <w:color w:val="auto"/>
                <w:sz w:val="24"/>
                <w:szCs w:val="24"/>
                <w:highlight w:val="none"/>
              </w:rPr>
              <w:t>地  址：聊城市华建一街区商业办公楼九栋五楼</w:t>
            </w:r>
          </w:p>
          <w:p>
            <w:pPr>
              <w:keepNext w:val="0"/>
              <w:keepLines w:val="0"/>
              <w:suppressLineNumbers w:val="0"/>
              <w:spacing w:before="0" w:beforeAutospacing="0" w:after="0" w:afterAutospacing="0" w:line="360" w:lineRule="auto"/>
              <w:ind w:left="0" w:right="0"/>
              <w:jc w:val="left"/>
              <w:rPr>
                <w:rFonts w:hint="eastAsia" w:ascii="宋体" w:hAnsi="Times New Roman" w:eastAsia="宋体" w:cs="Times New Roman"/>
                <w:color w:val="auto"/>
                <w:sz w:val="24"/>
                <w:szCs w:val="24"/>
                <w:highlight w:val="none"/>
                <w:lang w:eastAsia="zh-CN"/>
              </w:rPr>
            </w:pPr>
            <w:r>
              <w:rPr>
                <w:rFonts w:hint="eastAsia" w:ascii="宋体" w:hAnsi="Times New Roman" w:cs="Times New Roman"/>
                <w:color w:val="auto"/>
                <w:sz w:val="24"/>
                <w:szCs w:val="24"/>
                <w:highlight w:val="none"/>
              </w:rPr>
              <w:t>联系人：</w:t>
            </w:r>
            <w:r>
              <w:rPr>
                <w:rFonts w:hint="eastAsia" w:ascii="宋体" w:cs="Times New Roman"/>
                <w:color w:val="auto"/>
                <w:sz w:val="24"/>
                <w:szCs w:val="24"/>
                <w:highlight w:val="none"/>
                <w:lang w:val="en-US" w:eastAsia="zh-CN"/>
              </w:rPr>
              <w:t>唐慧珑</w:t>
            </w:r>
          </w:p>
          <w:p>
            <w:pPr>
              <w:keepNext w:val="0"/>
              <w:keepLines w:val="0"/>
              <w:suppressLineNumbers w:val="0"/>
              <w:spacing w:before="0" w:beforeAutospacing="0" w:after="0" w:afterAutospacing="0" w:line="360" w:lineRule="auto"/>
              <w:ind w:left="0" w:right="0"/>
              <w:jc w:val="left"/>
              <w:rPr>
                <w:rFonts w:hint="default" w:ascii="宋体" w:hAnsi="Times New Roman" w:eastAsia="宋体" w:cs="Times New Roman"/>
                <w:color w:val="auto"/>
                <w:sz w:val="24"/>
                <w:szCs w:val="24"/>
                <w:highlight w:val="none"/>
                <w:lang w:val="en-US" w:eastAsia="zh-CN"/>
              </w:rPr>
            </w:pPr>
            <w:r>
              <w:rPr>
                <w:rFonts w:hint="eastAsia" w:ascii="宋体" w:hAnsi="Times New Roman" w:cs="Times New Roman"/>
                <w:color w:val="auto"/>
                <w:sz w:val="24"/>
                <w:szCs w:val="24"/>
                <w:highlight w:val="none"/>
              </w:rPr>
              <w:t>联系方式：</w:t>
            </w:r>
            <w:r>
              <w:rPr>
                <w:rFonts w:hint="eastAsia" w:ascii="宋体" w:cs="Times New Roman"/>
                <w:color w:val="auto"/>
                <w:sz w:val="24"/>
                <w:szCs w:val="24"/>
                <w:highlight w:val="none"/>
                <w:lang w:val="en-US" w:eastAsia="zh-CN"/>
              </w:rPr>
              <w:t>15315770811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shd w:val="clear" w:color="auto" w:fill="FFFFFF"/>
            <w:noWrap w:val="0"/>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eastAsia" w:ascii="宋体" w:hAnsi="宋体" w:cs="宋体"/>
                <w:color w:val="auto"/>
                <w:sz w:val="24"/>
                <w:szCs w:val="24"/>
                <w:highlight w:val="none"/>
              </w:rPr>
              <w:t>21</w:t>
            </w:r>
          </w:p>
        </w:tc>
        <w:tc>
          <w:tcPr>
            <w:tcW w:w="2160" w:type="dxa"/>
            <w:shd w:val="clear" w:color="auto" w:fill="FFFFFF"/>
            <w:noWrap w:val="0"/>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 w:val="24"/>
                <w:szCs w:val="24"/>
                <w:highlight w:val="none"/>
              </w:rPr>
            </w:pPr>
            <w:r>
              <w:rPr>
                <w:rFonts w:hint="eastAsia" w:ascii="宋体" w:hAnsi="宋体" w:cs="宋体"/>
                <w:color w:val="auto"/>
                <w:sz w:val="24"/>
                <w:szCs w:val="24"/>
                <w:highlight w:val="none"/>
              </w:rPr>
              <w:t>评标方法</w:t>
            </w:r>
          </w:p>
        </w:tc>
        <w:tc>
          <w:tcPr>
            <w:tcW w:w="7021" w:type="dxa"/>
            <w:shd w:val="clear" w:color="auto" w:fill="FFFFFF"/>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cs="宋体"/>
                <w:b/>
                <w:sz w:val="24"/>
                <w:szCs w:val="24"/>
              </w:rPr>
            </w:pPr>
            <w:r>
              <w:rPr>
                <w:rFonts w:hint="eastAsia" w:ascii="宋体" w:hAnsi="宋体" w:cs="宋体"/>
                <w:b/>
                <w:sz w:val="24"/>
                <w:szCs w:val="24"/>
              </w:rPr>
              <w:sym w:font="Wingdings 2" w:char="0052"/>
            </w:r>
            <w:r>
              <w:rPr>
                <w:rFonts w:hint="eastAsia" w:ascii="宋体" w:hAnsi="宋体" w:cs="宋体"/>
                <w:b/>
                <w:sz w:val="24"/>
                <w:szCs w:val="24"/>
              </w:rPr>
              <w:t>综合评分法</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default" w:ascii="宋体" w:hAnsi="宋体" w:cs="宋体"/>
                <w:b/>
                <w:sz w:val="24"/>
                <w:szCs w:val="24"/>
              </w:rPr>
            </w:pPr>
            <w:r>
              <w:rPr>
                <w:rFonts w:hint="eastAsia" w:ascii="宋体" w:hAnsi="宋体" w:cs="宋体"/>
                <w:b/>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cs="宋体"/>
                <w:b/>
                <w:sz w:val="24"/>
                <w:szCs w:val="24"/>
              </w:rPr>
            </w:pPr>
            <w:r>
              <w:rPr>
                <w:rFonts w:hint="eastAsia" w:ascii="宋体" w:hAnsi="宋体" w:cs="宋体"/>
                <w:sz w:val="24"/>
                <w:szCs w:val="24"/>
              </w:rPr>
              <w:t>□</w:t>
            </w:r>
            <w:r>
              <w:rPr>
                <w:rFonts w:hint="eastAsia" w:ascii="宋体" w:hAnsi="宋体" w:cs="宋体"/>
                <w:b/>
                <w:sz w:val="24"/>
                <w:szCs w:val="24"/>
              </w:rPr>
              <w:t>最低评标价法</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cs="宋体"/>
                <w:b/>
                <w:sz w:val="24"/>
                <w:szCs w:val="24"/>
              </w:rPr>
            </w:pPr>
            <w:r>
              <w:rPr>
                <w:rFonts w:hint="eastAsia" w:ascii="宋体" w:hAnsi="宋体" w:cs="宋体"/>
                <w:b/>
                <w:sz w:val="24"/>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keepNext w:val="0"/>
              <w:keepLines w:val="0"/>
              <w:suppressLineNumbers w:val="0"/>
              <w:spacing w:before="0" w:beforeAutospacing="0" w:after="0" w:afterAutospacing="0" w:line="360" w:lineRule="auto"/>
              <w:ind w:left="0" w:right="0"/>
              <w:rPr>
                <w:rFonts w:hint="default" w:ascii="Times New Roman" w:hAnsi="Times New Roman" w:cs="Times New Roman"/>
                <w:b/>
                <w:color w:val="auto"/>
                <w:sz w:val="24"/>
                <w:szCs w:val="24"/>
                <w:highlight w:val="none"/>
              </w:rPr>
            </w:pPr>
            <w:r>
              <w:rPr>
                <w:rFonts w:hint="eastAsia" w:ascii="宋体" w:hAnsi="宋体" w:cs="宋体"/>
                <w:b/>
                <w:sz w:val="24"/>
                <w:szCs w:val="24"/>
              </w:rPr>
              <w:t>非单一产品采购项目，采购人应当根据采购项目技术构成、产品价格比重等合理确定核心产品，并在招标文件中载明。多家投标人提供的核心产品品牌相同的，按前两款规定处理。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eastAsia" w:ascii="宋体" w:hAnsi="宋体" w:cs="宋体"/>
                <w:color w:val="auto"/>
                <w:sz w:val="24"/>
                <w:szCs w:val="24"/>
                <w:highlight w:val="none"/>
              </w:rPr>
              <w:t>22</w:t>
            </w:r>
          </w:p>
        </w:tc>
        <w:tc>
          <w:tcPr>
            <w:tcW w:w="2160" w:type="dxa"/>
            <w:noWrap w:val="0"/>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4"/>
                <w:highlight w:val="none"/>
              </w:rPr>
            </w:pPr>
            <w:r>
              <w:rPr>
                <w:rFonts w:hint="eastAsia" w:ascii="宋体" w:hAnsi="宋体" w:cs="宋体"/>
                <w:color w:val="auto"/>
                <w:sz w:val="24"/>
                <w:szCs w:val="24"/>
                <w:highlight w:val="none"/>
              </w:rPr>
              <w:t>代理服务费</w:t>
            </w:r>
          </w:p>
        </w:tc>
        <w:tc>
          <w:tcPr>
            <w:tcW w:w="7021" w:type="dxa"/>
            <w:tcBorders>
              <w:bottom w:val="single" w:color="auto" w:sz="4" w:space="0"/>
            </w:tcBorders>
            <w:noWrap w:val="0"/>
            <w:vAlign w:val="center"/>
          </w:tcPr>
          <w:p>
            <w:pPr>
              <w:keepNext w:val="0"/>
              <w:keepLines w:val="0"/>
              <w:suppressLineNumbers w:val="0"/>
              <w:spacing w:before="0" w:beforeAutospacing="0" w:after="0" w:afterAutospacing="0" w:line="360" w:lineRule="auto"/>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中标人</w:t>
            </w:r>
            <w:r>
              <w:rPr>
                <w:rFonts w:hint="eastAsia" w:ascii="宋体" w:hAnsi="宋体" w:cs="宋体"/>
                <w:color w:val="auto"/>
                <w:sz w:val="24"/>
                <w:szCs w:val="24"/>
                <w:highlight w:val="none"/>
              </w:rPr>
              <w:t>自中标结果公告之日起五个工作日内按发改价格[2011]534号通知（货物类）标准</w:t>
            </w:r>
            <w:r>
              <w:rPr>
                <w:rFonts w:hint="eastAsia" w:ascii="宋体" w:hAnsi="宋体" w:cs="宋体"/>
                <w:color w:val="auto"/>
                <w:sz w:val="24"/>
                <w:szCs w:val="24"/>
                <w:highlight w:val="none"/>
                <w:lang w:val="en-US" w:eastAsia="zh-CN"/>
              </w:rPr>
              <w:t>的90%</w:t>
            </w:r>
            <w:r>
              <w:rPr>
                <w:rFonts w:hint="eastAsia" w:ascii="宋体" w:hAnsi="宋体" w:cs="宋体"/>
                <w:color w:val="auto"/>
                <w:sz w:val="24"/>
                <w:szCs w:val="24"/>
                <w:highlight w:val="none"/>
              </w:rPr>
              <w:t>向采购代理机构交纳代理费。</w:t>
            </w:r>
          </w:p>
          <w:p>
            <w:pPr>
              <w:keepNext w:val="0"/>
              <w:keepLines w:val="0"/>
              <w:suppressLineNumbers w:val="0"/>
              <w:spacing w:before="0" w:beforeAutospacing="0" w:after="0" w:afterAutospacing="0" w:line="360" w:lineRule="auto"/>
              <w:ind w:left="0" w:right="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代理费交纳后由采购代理机构协助</w:t>
            </w:r>
            <w:r>
              <w:rPr>
                <w:rFonts w:hint="eastAsia" w:ascii="宋体" w:hAnsi="宋体" w:cs="宋体"/>
                <w:b/>
                <w:bCs/>
                <w:color w:val="auto"/>
                <w:sz w:val="24"/>
                <w:szCs w:val="24"/>
                <w:highlight w:val="none"/>
                <w:lang w:val="en-US" w:eastAsia="zh-CN"/>
              </w:rPr>
              <w:t>招标</w:t>
            </w:r>
            <w:r>
              <w:rPr>
                <w:rFonts w:hint="eastAsia" w:ascii="宋体" w:hAnsi="宋体" w:cs="宋体"/>
                <w:b/>
                <w:bCs/>
                <w:color w:val="auto"/>
                <w:sz w:val="24"/>
                <w:szCs w:val="24"/>
                <w:highlight w:val="none"/>
              </w:rPr>
              <w:t>人和中标人签订合同。</w:t>
            </w:r>
          </w:p>
          <w:p>
            <w:pPr>
              <w:keepNext w:val="0"/>
              <w:keepLines w:val="0"/>
              <w:suppressLineNumbers w:val="0"/>
              <w:spacing w:before="0" w:beforeAutospacing="0" w:after="0" w:afterAutospacing="0" w:line="360" w:lineRule="auto"/>
              <w:ind w:left="0" w:right="0"/>
              <w:rPr>
                <w:rFonts w:hint="eastAsia" w:ascii="宋体" w:hAnsi="宋体" w:cs="宋体"/>
                <w:b/>
                <w:color w:val="auto"/>
                <w:sz w:val="24"/>
                <w:szCs w:val="24"/>
                <w:highlight w:val="none"/>
              </w:rPr>
            </w:pPr>
            <w:r>
              <w:rPr>
                <w:rFonts w:hint="eastAsia" w:ascii="宋体" w:hAnsi="宋体" w:cs="宋体"/>
                <w:b/>
                <w:color w:val="auto"/>
                <w:sz w:val="24"/>
                <w:szCs w:val="24"/>
                <w:highlight w:val="none"/>
              </w:rPr>
              <w:t>因未交纳代理费而导致的一切后果由中标人自行承担。</w:t>
            </w:r>
          </w:p>
          <w:p>
            <w:pPr>
              <w:keepNext w:val="0"/>
              <w:keepLines w:val="0"/>
              <w:suppressLineNumbers w:val="0"/>
              <w:spacing w:before="0" w:beforeAutospacing="0" w:after="0" w:afterAutospacing="0" w:line="360" w:lineRule="auto"/>
              <w:ind w:left="0" w:right="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开户名称：山东众合项目咨询有限公司</w:t>
            </w:r>
          </w:p>
          <w:p>
            <w:pPr>
              <w:keepNext w:val="0"/>
              <w:keepLines w:val="0"/>
              <w:suppressLineNumbers w:val="0"/>
              <w:spacing w:before="0" w:beforeAutospacing="0" w:after="0" w:afterAutospacing="0" w:line="360" w:lineRule="auto"/>
              <w:ind w:left="0" w:right="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开 户 行：中国建设银行股份有限公司聊城东城支行</w:t>
            </w:r>
          </w:p>
          <w:p>
            <w:pPr>
              <w:keepNext w:val="0"/>
              <w:keepLines w:val="0"/>
              <w:suppressLineNumbers w:val="0"/>
              <w:spacing w:before="0" w:beforeAutospacing="0" w:after="0" w:afterAutospacing="0" w:line="360" w:lineRule="auto"/>
              <w:ind w:left="0" w:right="0"/>
              <w:rPr>
                <w:rFonts w:hint="eastAsia" w:ascii="Times New Roman" w:hAnsi="Times New Roman" w:cs="Times New Roman"/>
                <w:color w:val="auto"/>
                <w:sz w:val="24"/>
                <w:szCs w:val="21"/>
                <w:highlight w:val="none"/>
              </w:rPr>
            </w:pPr>
            <w:r>
              <w:rPr>
                <w:rFonts w:hint="eastAsia" w:ascii="宋体" w:hAnsi="宋体" w:cs="宋体"/>
                <w:b/>
                <w:bCs/>
                <w:color w:val="auto"/>
                <w:sz w:val="24"/>
                <w:szCs w:val="24"/>
                <w:highlight w:val="none"/>
              </w:rPr>
              <w:t>账号：37050185420800000215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Cs w:val="20"/>
                <w:highlight w:val="none"/>
              </w:rPr>
            </w:pPr>
            <w:r>
              <w:rPr>
                <w:rFonts w:hint="eastAsia" w:ascii="宋体" w:hAnsi="宋体" w:cs="宋体"/>
                <w:color w:val="auto"/>
                <w:sz w:val="24"/>
                <w:szCs w:val="24"/>
                <w:highlight w:val="none"/>
              </w:rPr>
              <w:t>23</w:t>
            </w:r>
          </w:p>
        </w:tc>
        <w:tc>
          <w:tcPr>
            <w:tcW w:w="2160" w:type="dxa"/>
            <w:noWrap w:val="0"/>
            <w:vAlign w:val="center"/>
          </w:tcPr>
          <w:p>
            <w:pPr>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szCs w:val="24"/>
                <w:highlight w:val="none"/>
              </w:rPr>
            </w:pPr>
            <w:r>
              <w:rPr>
                <w:rFonts w:hint="eastAsia" w:ascii="宋体" w:hAnsi="宋体" w:cs="宋体"/>
                <w:color w:val="auto"/>
                <w:sz w:val="24"/>
                <w:szCs w:val="24"/>
                <w:highlight w:val="none"/>
              </w:rPr>
              <w:t>履约保证金</w:t>
            </w:r>
          </w:p>
        </w:tc>
        <w:tc>
          <w:tcPr>
            <w:tcW w:w="7021" w:type="dxa"/>
            <w:tcBorders>
              <w:bottom w:val="single" w:color="auto" w:sz="4" w:space="0"/>
            </w:tcBorders>
            <w:noWrap w:val="0"/>
            <w:vAlign w:val="center"/>
          </w:tcPr>
          <w:p>
            <w:pPr>
              <w:keepNext w:val="0"/>
              <w:keepLines w:val="0"/>
              <w:suppressLineNumbers w:val="0"/>
              <w:spacing w:before="0" w:beforeAutospacing="0" w:after="0" w:afterAutospacing="0" w:line="360" w:lineRule="auto"/>
              <w:ind w:left="0" w:right="0"/>
              <w:rPr>
                <w:rFonts w:hint="default" w:ascii="Times New Roman" w:hAnsi="Times New Roman" w:cs="Times New Roman"/>
                <w:b/>
                <w:color w:val="auto"/>
                <w:sz w:val="24"/>
                <w:szCs w:val="24"/>
                <w:highlight w:val="none"/>
              </w:rPr>
            </w:pPr>
            <w:r>
              <w:rPr>
                <w:rFonts w:hint="eastAsia" w:ascii="宋体" w:hAnsi="宋体" w:cs="宋体"/>
                <w:color w:val="auto"/>
                <w:sz w:val="24"/>
                <w:szCs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shd w:val="clear" w:color="auto" w:fill="auto"/>
            <w:noWrap w:val="0"/>
            <w:vAlign w:val="center"/>
          </w:tcPr>
          <w:p>
            <w:pPr>
              <w:pStyle w:val="27"/>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highlight w:val="none"/>
              </w:rPr>
            </w:pPr>
            <w:r>
              <w:rPr>
                <w:rFonts w:hint="eastAsia" w:ascii="宋体" w:hAnsi="宋体" w:cs="宋体"/>
                <w:color w:val="auto"/>
                <w:sz w:val="24"/>
                <w:highlight w:val="none"/>
              </w:rPr>
              <w:t>24</w:t>
            </w:r>
          </w:p>
        </w:tc>
        <w:tc>
          <w:tcPr>
            <w:tcW w:w="2160" w:type="dxa"/>
            <w:shd w:val="clear" w:color="auto" w:fill="auto"/>
            <w:noWrap w:val="0"/>
            <w:vAlign w:val="center"/>
          </w:tcPr>
          <w:p>
            <w:pPr>
              <w:keepNext w:val="0"/>
              <w:keepLines w:val="0"/>
              <w:suppressLineNumbers w:val="0"/>
              <w:autoSpaceDE w:val="0"/>
              <w:autoSpaceDN w:val="0"/>
              <w:spacing w:before="0" w:beforeAutospacing="0" w:after="0" w:afterAutospacing="0" w:line="360" w:lineRule="auto"/>
              <w:ind w:left="0" w:right="0"/>
              <w:jc w:val="center"/>
              <w:rPr>
                <w:rFonts w:hint="default" w:ascii="Times New Roman" w:hAnsi="Times New Roman" w:cs="Times New Roman"/>
                <w:color w:val="auto"/>
                <w:sz w:val="24"/>
                <w:szCs w:val="24"/>
                <w:highlight w:val="none"/>
              </w:rPr>
            </w:pPr>
            <w:r>
              <w:rPr>
                <w:rFonts w:hint="eastAsia" w:ascii="宋体" w:hAnsi="宋体" w:cs="宋体"/>
                <w:color w:val="auto"/>
                <w:kern w:val="0"/>
                <w:sz w:val="24"/>
                <w:szCs w:val="24"/>
                <w:highlight w:val="none"/>
                <w:lang w:val="zh-CN" w:bidi="zh-CN"/>
              </w:rPr>
              <w:t>质疑投诉</w:t>
            </w:r>
          </w:p>
        </w:tc>
        <w:tc>
          <w:tcPr>
            <w:tcW w:w="7021" w:type="dxa"/>
            <w:shd w:val="clear" w:color="auto" w:fill="FFFFFF"/>
            <w:noWrap w:val="0"/>
            <w:vAlign w:val="center"/>
          </w:tcPr>
          <w:p>
            <w:pPr>
              <w:keepNext w:val="0"/>
              <w:keepLines w:val="0"/>
              <w:suppressLineNumbers w:val="0"/>
              <w:spacing w:before="0" w:beforeAutospacing="0" w:after="0" w:afterAutospacing="0" w:line="360" w:lineRule="auto"/>
              <w:ind w:left="0" w:right="0"/>
              <w:jc w:val="left"/>
              <w:rPr>
                <w:rFonts w:hint="eastAsia" w:ascii="宋体" w:hAnsi="宋体" w:cs="宋体"/>
                <w:color w:val="auto"/>
                <w:kern w:val="0"/>
                <w:sz w:val="24"/>
                <w:szCs w:val="24"/>
                <w:highlight w:val="none"/>
                <w:lang w:val="zh-CN" w:bidi="zh-CN"/>
              </w:rPr>
            </w:pPr>
            <w:r>
              <w:rPr>
                <w:rFonts w:hint="eastAsia" w:ascii="宋体" w:hAnsi="宋体" w:cs="宋体"/>
                <w:color w:val="auto"/>
                <w:kern w:val="0"/>
                <w:sz w:val="24"/>
                <w:szCs w:val="24"/>
                <w:highlight w:val="none"/>
                <w:lang w:val="zh-CN" w:bidi="zh-CN"/>
              </w:rPr>
              <w:t>投标人（供应商）可以委托代理人进行质疑和投诉。其授权委托书应当载明代理人的姓名或者名称、代理事项、具体权限、期限和相关事项。</w:t>
            </w:r>
          </w:p>
          <w:p>
            <w:pPr>
              <w:keepNext w:val="0"/>
              <w:keepLines w:val="0"/>
              <w:suppressLineNumbers w:val="0"/>
              <w:spacing w:before="0" w:beforeAutospacing="0" w:after="0" w:afterAutospacing="0" w:line="360" w:lineRule="auto"/>
              <w:ind w:left="0" w:right="0"/>
              <w:jc w:val="left"/>
              <w:rPr>
                <w:rFonts w:hint="eastAsia" w:ascii="宋体" w:hAnsi="宋体" w:cs="宋体"/>
                <w:color w:val="auto"/>
                <w:kern w:val="0"/>
                <w:sz w:val="24"/>
                <w:szCs w:val="24"/>
                <w:highlight w:val="none"/>
                <w:lang w:val="zh-CN" w:bidi="zh-CN"/>
              </w:rPr>
            </w:pPr>
            <w:r>
              <w:rPr>
                <w:rFonts w:hint="eastAsia" w:ascii="宋体" w:hAnsi="宋体" w:cs="宋体"/>
                <w:color w:val="auto"/>
                <w:kern w:val="0"/>
                <w:sz w:val="24"/>
                <w:szCs w:val="24"/>
                <w:highlight w:val="none"/>
                <w:lang w:val="zh-CN" w:bidi="zh-CN"/>
              </w:rPr>
              <w:t>投标人（供应商）为自然人的，应当由本人签字；投标人（供应商）为法人或者其他组织的，应当由法定代表人、主要负责人签字或者盖章，并加盖公章。</w:t>
            </w:r>
          </w:p>
          <w:p>
            <w:pPr>
              <w:keepNext w:val="0"/>
              <w:keepLines w:val="0"/>
              <w:suppressLineNumbers w:val="0"/>
              <w:spacing w:before="0" w:beforeAutospacing="0" w:after="0" w:afterAutospacing="0" w:line="360" w:lineRule="auto"/>
              <w:ind w:left="0" w:right="0"/>
              <w:jc w:val="left"/>
              <w:rPr>
                <w:rFonts w:hint="eastAsia" w:ascii="宋体" w:hAnsi="宋体" w:cs="宋体"/>
                <w:color w:val="auto"/>
                <w:kern w:val="0"/>
                <w:sz w:val="24"/>
                <w:szCs w:val="24"/>
                <w:highlight w:val="none"/>
                <w:lang w:val="zh-CN" w:bidi="zh-CN"/>
              </w:rPr>
            </w:pPr>
            <w:r>
              <w:rPr>
                <w:rFonts w:hint="eastAsia" w:ascii="宋体" w:hAnsi="宋体" w:cs="宋体"/>
                <w:color w:val="auto"/>
                <w:kern w:val="0"/>
                <w:sz w:val="24"/>
                <w:szCs w:val="24"/>
                <w:highlight w:val="none"/>
                <w:lang w:val="zh-CN" w:bidi="zh-CN"/>
              </w:rPr>
              <w:t>代理人提出质疑和投诉，应当提交投标人（供应商）签署的授权委托书。</w:t>
            </w:r>
          </w:p>
          <w:p>
            <w:pPr>
              <w:keepNext w:val="0"/>
              <w:keepLines w:val="0"/>
              <w:suppressLineNumbers w:val="0"/>
              <w:spacing w:before="0" w:beforeAutospacing="0" w:after="0" w:afterAutospacing="0" w:line="360" w:lineRule="auto"/>
              <w:ind w:left="0" w:right="0"/>
              <w:jc w:val="left"/>
              <w:rPr>
                <w:rFonts w:hint="eastAsia" w:ascii="宋体" w:hAnsi="宋体" w:cs="宋体"/>
                <w:color w:val="auto"/>
                <w:kern w:val="0"/>
                <w:sz w:val="24"/>
                <w:szCs w:val="24"/>
                <w:highlight w:val="none"/>
                <w:lang w:val="zh-CN" w:bidi="zh-CN"/>
              </w:rPr>
            </w:pPr>
            <w:r>
              <w:rPr>
                <w:rFonts w:hint="eastAsia" w:ascii="宋体" w:hAnsi="宋体" w:cs="宋体"/>
                <w:color w:val="auto"/>
                <w:kern w:val="0"/>
                <w:sz w:val="24"/>
                <w:szCs w:val="24"/>
                <w:highlight w:val="none"/>
                <w:lang w:val="zh-CN" w:bidi="zh-CN"/>
              </w:rPr>
              <w:t>以联合体形式参加政府采购活动的，其投诉应当由组成联合体的所有投标人（供应商）共同提出。</w:t>
            </w:r>
          </w:p>
          <w:p>
            <w:pPr>
              <w:keepNext w:val="0"/>
              <w:keepLines w:val="0"/>
              <w:suppressLineNumbers w:val="0"/>
              <w:spacing w:before="0" w:beforeAutospacing="0" w:after="0" w:afterAutospacing="0" w:line="360" w:lineRule="auto"/>
              <w:ind w:left="0" w:right="0"/>
              <w:jc w:val="left"/>
              <w:rPr>
                <w:rFonts w:hint="eastAsia" w:ascii="宋体" w:hAnsi="宋体" w:cs="宋体"/>
                <w:color w:val="auto"/>
                <w:kern w:val="0"/>
                <w:sz w:val="24"/>
                <w:szCs w:val="24"/>
                <w:highlight w:val="none"/>
                <w:lang w:val="zh-CN" w:bidi="zh-CN"/>
              </w:rPr>
            </w:pPr>
            <w:r>
              <w:rPr>
                <w:rFonts w:hint="eastAsia" w:ascii="宋体" w:hAnsi="宋体" w:cs="宋体"/>
                <w:color w:val="auto"/>
                <w:kern w:val="0"/>
                <w:sz w:val="24"/>
                <w:szCs w:val="24"/>
                <w:highlight w:val="none"/>
                <w:lang w:val="zh-CN" w:bidi="zh-CN"/>
              </w:rPr>
              <w:t>投标人（供应商）认为采购文件、采购过程、中标或者成交结果使自己的权益受到损害的，可以在知道或者应知其权益受到损害之日起7个工作日内，以书面形式向采购人、采购代理机构提出质疑。</w:t>
            </w:r>
          </w:p>
          <w:p>
            <w:pPr>
              <w:keepNext w:val="0"/>
              <w:keepLines w:val="0"/>
              <w:suppressLineNumbers w:val="0"/>
              <w:spacing w:before="0" w:beforeAutospacing="0" w:after="0" w:afterAutospacing="0" w:line="360" w:lineRule="auto"/>
              <w:ind w:left="0" w:right="0"/>
              <w:jc w:val="left"/>
              <w:rPr>
                <w:rFonts w:hint="eastAsia" w:ascii="宋体" w:hAnsi="宋体" w:cs="宋体"/>
                <w:color w:val="auto"/>
                <w:kern w:val="0"/>
                <w:sz w:val="24"/>
                <w:szCs w:val="24"/>
                <w:highlight w:val="none"/>
                <w:lang w:val="zh-CN" w:bidi="zh-CN"/>
              </w:rPr>
            </w:pPr>
            <w:r>
              <w:rPr>
                <w:rFonts w:hint="eastAsia" w:ascii="宋体" w:hAnsi="宋体" w:cs="宋体"/>
                <w:color w:val="auto"/>
                <w:kern w:val="0"/>
                <w:sz w:val="24"/>
                <w:szCs w:val="24"/>
                <w:highlight w:val="none"/>
                <w:lang w:val="zh-CN" w:bidi="zh-CN"/>
              </w:rPr>
              <w:t>投标人（供应商）应当在法定质疑期内一次性提出针对同一采购程序环节的质疑。</w:t>
            </w:r>
          </w:p>
          <w:p>
            <w:pPr>
              <w:keepNext w:val="0"/>
              <w:keepLines w:val="0"/>
              <w:suppressLineNumbers w:val="0"/>
              <w:spacing w:before="0" w:beforeAutospacing="0" w:after="0" w:afterAutospacing="0" w:line="360" w:lineRule="auto"/>
              <w:ind w:left="0" w:right="0"/>
              <w:jc w:val="left"/>
              <w:rPr>
                <w:rFonts w:hint="eastAsia" w:ascii="宋体" w:hAnsi="宋体" w:cs="宋体"/>
                <w:color w:val="auto"/>
                <w:kern w:val="0"/>
                <w:sz w:val="24"/>
                <w:szCs w:val="24"/>
                <w:highlight w:val="none"/>
                <w:lang w:val="zh-CN" w:bidi="zh-CN"/>
              </w:rPr>
            </w:pPr>
            <w:r>
              <w:rPr>
                <w:rFonts w:hint="eastAsia" w:ascii="宋体" w:hAnsi="宋体" w:cs="宋体"/>
                <w:color w:val="auto"/>
                <w:kern w:val="0"/>
                <w:sz w:val="24"/>
                <w:szCs w:val="24"/>
                <w:highlight w:val="none"/>
                <w:lang w:val="zh-CN" w:bidi="zh-CN"/>
              </w:rPr>
              <w:t>质疑投标人（供应商）对采购人、采购代理机构的答复不满意，或者采购人、采购代理机构未在规定时间内作出答复的，可以在答复期满后15个工作日内向规定的财政部门提起投诉。</w:t>
            </w:r>
          </w:p>
          <w:p>
            <w:pPr>
              <w:keepNext w:val="0"/>
              <w:keepLines w:val="0"/>
              <w:suppressLineNumbers w:val="0"/>
              <w:spacing w:before="0" w:beforeAutospacing="0" w:after="0" w:afterAutospacing="0" w:line="360" w:lineRule="auto"/>
              <w:ind w:left="0" w:right="0"/>
              <w:jc w:val="left"/>
              <w:rPr>
                <w:rFonts w:hint="eastAsia" w:ascii="宋体" w:hAnsi="宋体" w:cs="宋体"/>
                <w:color w:val="auto"/>
                <w:kern w:val="0"/>
                <w:sz w:val="24"/>
                <w:szCs w:val="24"/>
                <w:highlight w:val="none"/>
                <w:lang w:val="zh-CN" w:bidi="zh-CN"/>
              </w:rPr>
            </w:pPr>
            <w:r>
              <w:rPr>
                <w:rFonts w:hint="eastAsia" w:ascii="宋体" w:hAnsi="宋体" w:cs="宋体"/>
                <w:color w:val="auto"/>
                <w:kern w:val="0"/>
                <w:sz w:val="24"/>
                <w:szCs w:val="24"/>
                <w:highlight w:val="none"/>
                <w:lang w:val="zh-CN" w:bidi="zh-CN"/>
              </w:rPr>
              <w:t>质疑的提出和答复、投诉的提起和处理应严格按照中华人民共和国财政部令【第94号】《政府采购质疑和投诉办法》</w:t>
            </w:r>
          </w:p>
          <w:p>
            <w:pPr>
              <w:keepNext w:val="0"/>
              <w:keepLines w:val="0"/>
              <w:suppressLineNumbers w:val="0"/>
              <w:spacing w:before="0" w:beforeAutospacing="0" w:after="0" w:afterAutospacing="0" w:line="360" w:lineRule="auto"/>
              <w:ind w:left="0" w:right="0"/>
              <w:jc w:val="left"/>
              <w:rPr>
                <w:rFonts w:hint="eastAsia" w:ascii="宋体" w:hAnsi="宋体" w:cs="宋体"/>
                <w:color w:val="auto"/>
                <w:kern w:val="0"/>
                <w:sz w:val="24"/>
                <w:szCs w:val="24"/>
                <w:highlight w:val="none"/>
                <w:lang w:val="zh-CN" w:bidi="zh-CN"/>
              </w:rPr>
            </w:pPr>
            <w:r>
              <w:rPr>
                <w:rFonts w:hint="eastAsia" w:ascii="宋体" w:hAnsi="宋体" w:cs="宋体"/>
                <w:color w:val="auto"/>
                <w:kern w:val="0"/>
                <w:sz w:val="24"/>
                <w:szCs w:val="24"/>
                <w:highlight w:val="none"/>
                <w:lang w:val="zh-CN" w:bidi="zh-CN"/>
              </w:rPr>
              <w:t>质疑函收件人：</w:t>
            </w:r>
            <w:r>
              <w:rPr>
                <w:rFonts w:hint="eastAsia" w:ascii="宋体" w:hAnsi="宋体" w:cs="宋体"/>
                <w:color w:val="auto"/>
                <w:kern w:val="0"/>
                <w:sz w:val="24"/>
                <w:szCs w:val="24"/>
                <w:highlight w:val="none"/>
                <w:lang w:val="en-US" w:bidi="zh-CN"/>
              </w:rPr>
              <w:t>唐慧珑</w:t>
            </w:r>
          </w:p>
          <w:p>
            <w:pPr>
              <w:keepNext w:val="0"/>
              <w:keepLines w:val="0"/>
              <w:suppressLineNumbers w:val="0"/>
              <w:spacing w:before="0" w:beforeAutospacing="0" w:after="0" w:afterAutospacing="0" w:line="360" w:lineRule="auto"/>
              <w:ind w:left="0" w:right="0"/>
              <w:jc w:val="left"/>
              <w:rPr>
                <w:rFonts w:hint="default" w:ascii="宋体" w:hAnsi="宋体" w:cs="宋体"/>
                <w:color w:val="auto"/>
                <w:kern w:val="0"/>
                <w:sz w:val="24"/>
                <w:szCs w:val="24"/>
                <w:highlight w:val="none"/>
                <w:lang w:val="en-US" w:bidi="zh-CN"/>
              </w:rPr>
            </w:pPr>
            <w:r>
              <w:rPr>
                <w:rFonts w:hint="eastAsia" w:ascii="宋体" w:hAnsi="宋体" w:cs="宋体"/>
                <w:color w:val="auto"/>
                <w:kern w:val="0"/>
                <w:sz w:val="24"/>
                <w:szCs w:val="24"/>
                <w:highlight w:val="none"/>
                <w:lang w:val="zh-CN" w:bidi="zh-CN"/>
              </w:rPr>
              <w:t>联系电话：</w:t>
            </w:r>
            <w:r>
              <w:rPr>
                <w:rFonts w:hint="eastAsia" w:ascii="宋体" w:hAnsi="宋体" w:cs="宋体"/>
                <w:color w:val="auto"/>
                <w:kern w:val="0"/>
                <w:sz w:val="24"/>
                <w:szCs w:val="24"/>
                <w:highlight w:val="none"/>
                <w:lang w:val="en-US" w:bidi="zh-CN"/>
              </w:rPr>
              <w:t>15315770811</w:t>
            </w:r>
          </w:p>
          <w:p>
            <w:pPr>
              <w:keepNext w:val="0"/>
              <w:keepLines w:val="0"/>
              <w:suppressLineNumbers w:val="0"/>
              <w:spacing w:before="0" w:beforeAutospacing="0" w:after="0" w:afterAutospacing="0" w:line="360" w:lineRule="auto"/>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地  址：聊城市长江路山东省聊城市华建壹街区商业办公楼九栋五楼</w:t>
            </w:r>
          </w:p>
          <w:p>
            <w:pPr>
              <w:keepNext w:val="0"/>
              <w:keepLines w:val="0"/>
              <w:suppressLineNumbers w:val="0"/>
              <w:spacing w:before="0" w:beforeAutospacing="0" w:after="0" w:afterAutospacing="0" w:line="360" w:lineRule="auto"/>
              <w:ind w:left="0" w:right="0"/>
              <w:jc w:val="left"/>
              <w:rPr>
                <w:rFonts w:hint="default" w:ascii="Times New Roman" w:hAnsi="Times New Roman" w:cs="Times New Roman"/>
                <w:b/>
                <w:bCs/>
                <w:color w:val="auto"/>
                <w:sz w:val="24"/>
                <w:szCs w:val="24"/>
                <w:highlight w:val="none"/>
              </w:rPr>
            </w:pPr>
            <w:r>
              <w:rPr>
                <w:rFonts w:hint="eastAsia" w:ascii="宋体" w:hAnsi="宋体" w:cs="宋体"/>
                <w:color w:val="auto"/>
                <w:sz w:val="24"/>
                <w:szCs w:val="24"/>
                <w:highlight w:val="none"/>
              </w:rPr>
              <w:t>邮箱：</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"mailto:sdzhzb2017@163.com"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sdzhzb2017@163.com</w:t>
            </w:r>
            <w:r>
              <w:rPr>
                <w:rFonts w:hint="eastAsia" w:ascii="宋体" w:hAnsi="宋体" w:cs="宋体"/>
                <w:color w:val="auto"/>
                <w:sz w:val="24"/>
                <w:szCs w:val="24"/>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pStyle w:val="27"/>
              <w:keepNext w:val="0"/>
              <w:keepLines w:val="0"/>
              <w:suppressLineNumbers w:val="0"/>
              <w:spacing w:before="0" w:beforeAutospacing="0" w:after="0" w:afterAutospacing="0" w:line="360" w:lineRule="auto"/>
              <w:ind w:left="0" w:right="0"/>
              <w:jc w:val="center"/>
              <w:rPr>
                <w:rFonts w:hint="default" w:ascii="Times New Roman" w:hAnsi="Times New Roman" w:cs="Times New Roman"/>
                <w:color w:val="auto"/>
                <w:sz w:val="24"/>
                <w:highlight w:val="none"/>
              </w:rPr>
            </w:pPr>
            <w:r>
              <w:rPr>
                <w:rFonts w:hint="eastAsia" w:ascii="宋体" w:hAnsi="宋体" w:cs="宋体"/>
                <w:color w:val="auto"/>
                <w:sz w:val="24"/>
                <w:highlight w:val="none"/>
              </w:rPr>
              <w:t>25</w:t>
            </w:r>
          </w:p>
        </w:tc>
        <w:tc>
          <w:tcPr>
            <w:tcW w:w="2160"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Times New Roman" w:cs="Times New Roman"/>
                <w:color w:val="auto"/>
                <w:sz w:val="24"/>
                <w:szCs w:val="24"/>
                <w:highlight w:val="none"/>
              </w:rPr>
            </w:pPr>
            <w:r>
              <w:rPr>
                <w:rFonts w:hint="eastAsia" w:ascii="宋体" w:hAnsi="宋体" w:cs="宋体"/>
                <w:b/>
                <w:color w:val="auto"/>
                <w:kern w:val="0"/>
                <w:sz w:val="24"/>
                <w:szCs w:val="24"/>
                <w:highlight w:val="none"/>
                <w:lang w:val="zh-CN" w:bidi="zh-CN"/>
              </w:rPr>
              <w:t>开标时间、地点</w:t>
            </w:r>
          </w:p>
        </w:tc>
        <w:tc>
          <w:tcPr>
            <w:tcW w:w="7021" w:type="dxa"/>
            <w:noWrap w:val="0"/>
            <w:vAlign w:val="center"/>
          </w:tcPr>
          <w:p>
            <w:pPr>
              <w:keepNext w:val="0"/>
              <w:keepLines w:val="0"/>
              <w:suppressLineNumbers w:val="0"/>
              <w:spacing w:before="0" w:beforeAutospacing="0" w:after="0" w:afterAutospacing="0" w:line="360" w:lineRule="auto"/>
              <w:ind w:left="0" w:right="0"/>
              <w:rPr>
                <w:rFonts w:hint="eastAsia" w:ascii="宋体" w:hAnsi="宋体" w:cs="宋体"/>
                <w:color w:val="auto"/>
                <w:sz w:val="24"/>
                <w:szCs w:val="24"/>
                <w:highlight w:val="none"/>
              </w:rPr>
            </w:pPr>
            <w:r>
              <w:rPr>
                <w:rFonts w:hint="eastAsia" w:ascii="宋体" w:hAnsi="宋体" w:cs="宋体"/>
                <w:color w:val="auto"/>
                <w:sz w:val="24"/>
                <w:szCs w:val="24"/>
                <w:highlight w:val="none"/>
              </w:rPr>
              <w:t>开标时间：同投标截止时间</w:t>
            </w:r>
          </w:p>
          <w:p>
            <w:pPr>
              <w:keepNext w:val="0"/>
              <w:keepLines w:val="0"/>
              <w:suppressLineNumbers w:val="0"/>
              <w:spacing w:before="0" w:beforeAutospacing="0" w:after="0" w:afterAutospacing="0" w:line="360" w:lineRule="auto"/>
              <w:ind w:left="0" w:right="0"/>
              <w:rPr>
                <w:rFonts w:hint="eastAsia" w:ascii="宋体" w:hAnsi="宋体" w:cs="宋体"/>
                <w:color w:val="auto"/>
                <w:sz w:val="24"/>
                <w:szCs w:val="24"/>
                <w:highlight w:val="none"/>
              </w:rPr>
            </w:pPr>
            <w:r>
              <w:rPr>
                <w:rFonts w:hint="eastAsia" w:ascii="宋体" w:hAnsi="宋体" w:cs="宋体"/>
                <w:b/>
                <w:bCs/>
                <w:color w:val="auto"/>
                <w:sz w:val="24"/>
                <w:szCs w:val="24"/>
                <w:highlight w:val="none"/>
              </w:rPr>
              <w:t>签到时间</w:t>
            </w:r>
            <w:r>
              <w:rPr>
                <w:rFonts w:hint="eastAsia" w:ascii="宋体" w:hAnsi="宋体" w:cs="宋体"/>
                <w:color w:val="auto"/>
                <w:sz w:val="24"/>
                <w:szCs w:val="24"/>
                <w:highlight w:val="none"/>
              </w:rPr>
              <w:t>：投标人需在开标前登录不见面开标大厅</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并完成签到工作。</w:t>
            </w:r>
          </w:p>
          <w:p>
            <w:pPr>
              <w:keepNext w:val="0"/>
              <w:keepLines w:val="0"/>
              <w:suppressLineNumbers w:val="0"/>
              <w:spacing w:before="0" w:beforeAutospacing="0" w:after="0" w:afterAutospacing="0" w:line="360" w:lineRule="auto"/>
              <w:ind w:left="0" w:right="0"/>
              <w:rPr>
                <w:rFonts w:hint="eastAsia" w:ascii="宋体" w:hAnsi="宋体" w:cs="宋体"/>
                <w:color w:val="auto"/>
                <w:sz w:val="24"/>
                <w:szCs w:val="24"/>
                <w:highlight w:val="none"/>
              </w:rPr>
            </w:pPr>
            <w:r>
              <w:rPr>
                <w:rFonts w:hint="eastAsia" w:ascii="宋体" w:hAnsi="宋体" w:cs="宋体"/>
                <w:b/>
                <w:bCs/>
                <w:color w:val="auto"/>
                <w:sz w:val="24"/>
                <w:szCs w:val="24"/>
                <w:highlight w:val="none"/>
              </w:rPr>
              <w:t>解密时间</w:t>
            </w:r>
            <w:r>
              <w:rPr>
                <w:rFonts w:hint="eastAsia" w:ascii="宋体" w:hAnsi="宋体" w:cs="宋体"/>
                <w:color w:val="auto"/>
                <w:sz w:val="24"/>
                <w:szCs w:val="24"/>
                <w:highlight w:val="none"/>
              </w:rPr>
              <w:t>：投标人需提前60钟登录不见面开标大厅，因投标人自身原因导致在规定的解密时间（从投标人解密环节开始计时，每个投标人限30分钟）内解密失败的，其投标被拒绝且投标文件被退回。</w:t>
            </w:r>
          </w:p>
          <w:p>
            <w:pPr>
              <w:keepNext w:val="0"/>
              <w:keepLines w:val="0"/>
              <w:suppressLineNumbers w:val="0"/>
              <w:spacing w:before="0" w:beforeAutospacing="0" w:after="0" w:afterAutospacing="0" w:line="360" w:lineRule="auto"/>
              <w:ind w:left="0" w:right="0" w:firstLine="480" w:firstLineChars="200"/>
              <w:jc w:val="left"/>
              <w:rPr>
                <w:rFonts w:hint="default" w:ascii="宋体" w:hAnsi="Times New Roman" w:cs="Times New Roman"/>
                <w:color w:val="auto"/>
                <w:sz w:val="24"/>
                <w:szCs w:val="24"/>
                <w:highlight w:val="none"/>
              </w:rPr>
            </w:pPr>
            <w:r>
              <w:rPr>
                <w:rFonts w:hint="eastAsia" w:ascii="宋体" w:hAnsi="宋体" w:cs="宋体"/>
                <w:color w:val="auto"/>
                <w:sz w:val="24"/>
                <w:szCs w:val="24"/>
                <w:highlight w:val="none"/>
              </w:rPr>
              <w:t>投标人对线上投标文件开启过程和开标记录有异议的，可在不见面开标大厅互动交流板块提出并询问，如未提出异议视为认同开标结果。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pStyle w:val="27"/>
              <w:keepNext w:val="0"/>
              <w:keepLines w:val="0"/>
              <w:suppressLineNumbers w:val="0"/>
              <w:spacing w:before="0" w:beforeAutospacing="0" w:after="0" w:afterAutospacing="0" w:line="360" w:lineRule="auto"/>
              <w:ind w:left="0" w:right="0"/>
              <w:jc w:val="center"/>
              <w:rPr>
                <w:rFonts w:hint="eastAsia" w:ascii="Times New Roman" w:hAnsi="Times New Roman" w:cs="Times New Roman"/>
                <w:color w:val="auto"/>
                <w:sz w:val="24"/>
                <w:highlight w:val="none"/>
              </w:rPr>
            </w:pPr>
            <w:r>
              <w:rPr>
                <w:rFonts w:hint="eastAsia" w:ascii="宋体" w:hAnsi="宋体" w:cs="宋体"/>
                <w:color w:val="auto"/>
                <w:sz w:val="24"/>
                <w:highlight w:val="none"/>
              </w:rPr>
              <w:t>26</w:t>
            </w:r>
          </w:p>
        </w:tc>
        <w:tc>
          <w:tcPr>
            <w:tcW w:w="216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bCs/>
                <w:color w:val="auto"/>
                <w:sz w:val="24"/>
                <w:szCs w:val="24"/>
                <w:highlight w:val="none"/>
              </w:rPr>
              <w:t>废标</w:t>
            </w:r>
          </w:p>
        </w:tc>
        <w:tc>
          <w:tcPr>
            <w:tcW w:w="7021" w:type="dxa"/>
            <w:noWrap w:val="0"/>
            <w:vAlign w:val="center"/>
          </w:tcPr>
          <w:p>
            <w:pPr>
              <w:keepNext w:val="0"/>
              <w:keepLines w:val="0"/>
              <w:suppressLineNumbers w:val="0"/>
              <w:spacing w:before="0" w:beforeAutospacing="0" w:after="0" w:afterAutospacing="0" w:line="360" w:lineRule="auto"/>
              <w:ind w:left="0" w:right="0"/>
              <w:jc w:val="lef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在招标采购中，出现下列情形之一的，应予废标：</w:t>
            </w:r>
          </w:p>
          <w:p>
            <w:pPr>
              <w:keepNext w:val="0"/>
              <w:keepLines w:val="0"/>
              <w:suppressLineNumbers w:val="0"/>
              <w:spacing w:before="0" w:beforeAutospacing="0" w:after="0" w:afterAutospacing="0" w:line="360" w:lineRule="auto"/>
              <w:ind w:left="0" w:right="0"/>
              <w:jc w:val="lef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（一）符合专业条件的投标人或者对招标文件作实质响应的投标人不足三家的；</w:t>
            </w:r>
          </w:p>
          <w:p>
            <w:pPr>
              <w:keepNext w:val="0"/>
              <w:keepLines w:val="0"/>
              <w:suppressLineNumbers w:val="0"/>
              <w:spacing w:before="0" w:beforeAutospacing="0" w:after="0" w:afterAutospacing="0" w:line="360" w:lineRule="auto"/>
              <w:ind w:left="0" w:right="0"/>
              <w:jc w:val="lef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（二）出现影响采购公正的违法、违规行为的；</w:t>
            </w:r>
          </w:p>
          <w:p>
            <w:pPr>
              <w:keepNext w:val="0"/>
              <w:keepLines w:val="0"/>
              <w:suppressLineNumbers w:val="0"/>
              <w:spacing w:before="0" w:beforeAutospacing="0" w:after="0" w:afterAutospacing="0" w:line="360" w:lineRule="auto"/>
              <w:ind w:left="0" w:right="0"/>
              <w:jc w:val="left"/>
              <w:rPr>
                <w:rFonts w:hint="eastAsia" w:ascii="宋体" w:hAnsi="宋体" w:cs="宋体"/>
                <w:color w:val="auto"/>
                <w:sz w:val="24"/>
                <w:szCs w:val="24"/>
                <w:highlight w:val="none"/>
                <w:lang w:val="en-GB"/>
              </w:rPr>
            </w:pPr>
            <w:r>
              <w:rPr>
                <w:rFonts w:hint="eastAsia" w:ascii="宋体" w:hAnsi="宋体" w:cs="宋体"/>
                <w:color w:val="auto"/>
                <w:sz w:val="24"/>
                <w:szCs w:val="24"/>
                <w:highlight w:val="none"/>
                <w:lang w:val="en-GB"/>
              </w:rPr>
              <w:t>（三）投标人的报价均超过了采购预算，招标人不能支付的；</w:t>
            </w:r>
          </w:p>
          <w:p>
            <w:pPr>
              <w:keepNext w:val="0"/>
              <w:keepLines w:val="0"/>
              <w:suppressLineNumbers w:val="0"/>
              <w:spacing w:before="0" w:beforeAutospacing="0" w:after="0" w:afterAutospacing="0" w:line="360" w:lineRule="auto"/>
              <w:ind w:left="0" w:right="0"/>
              <w:jc w:val="left"/>
              <w:rPr>
                <w:rFonts w:hint="eastAsia" w:ascii="宋体" w:hAnsi="宋体" w:cs="宋体"/>
                <w:b/>
                <w:color w:val="auto"/>
                <w:sz w:val="24"/>
                <w:szCs w:val="24"/>
                <w:highlight w:val="none"/>
                <w:lang w:bidi="ar"/>
              </w:rPr>
            </w:pPr>
            <w:r>
              <w:rPr>
                <w:rFonts w:hint="eastAsia" w:ascii="宋体" w:hAnsi="宋体" w:cs="宋体"/>
                <w:color w:val="auto"/>
                <w:sz w:val="24"/>
                <w:szCs w:val="24"/>
                <w:highlight w:val="none"/>
                <w:lang w:val="en-GB"/>
              </w:rPr>
              <w:t>（四）因重大变故，采购任务取消的。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keepNext w:val="0"/>
              <w:keepLines w:val="0"/>
              <w:suppressLineNumbers w:val="0"/>
              <w:spacing w:before="0" w:beforeAutospacing="0" w:after="0" w:afterAutospacing="0" w:line="360" w:lineRule="auto"/>
              <w:ind w:left="0" w:right="0"/>
              <w:jc w:val="center"/>
              <w:rPr>
                <w:rFonts w:hint="eastAsia" w:ascii="Times New Roman" w:hAnsi="宋体" w:cs="Times New Roman"/>
                <w:color w:val="auto"/>
                <w:sz w:val="24"/>
                <w:szCs w:val="20"/>
                <w:highlight w:val="none"/>
              </w:rPr>
            </w:pPr>
            <w:r>
              <w:rPr>
                <w:rFonts w:hint="eastAsia" w:ascii="宋体" w:hAnsi="宋体" w:cs="宋体"/>
                <w:color w:val="auto"/>
                <w:sz w:val="24"/>
                <w:szCs w:val="24"/>
                <w:highlight w:val="none"/>
              </w:rPr>
              <w:t>27</w:t>
            </w:r>
          </w:p>
        </w:tc>
        <w:tc>
          <w:tcPr>
            <w:tcW w:w="216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电子投标文件CA签章要求</w:t>
            </w:r>
          </w:p>
        </w:tc>
        <w:tc>
          <w:tcPr>
            <w:tcW w:w="7021" w:type="dxa"/>
            <w:noWrap w:val="0"/>
            <w:vAlign w:val="center"/>
          </w:tcPr>
          <w:p>
            <w:pPr>
              <w:keepNext w:val="0"/>
              <w:keepLines w:val="0"/>
              <w:suppressLineNumbers w:val="0"/>
              <w:spacing w:before="0" w:beforeAutospacing="0" w:after="0" w:afterAutospacing="0" w:line="360" w:lineRule="auto"/>
              <w:ind w:left="0" w:right="0"/>
              <w:jc w:val="left"/>
              <w:rPr>
                <w:rFonts w:hint="default" w:ascii="宋体" w:hAnsi="宋体" w:cs="宋体"/>
                <w:color w:val="auto"/>
                <w:sz w:val="24"/>
                <w:szCs w:val="24"/>
                <w:highlight w:val="none"/>
              </w:rPr>
            </w:pPr>
            <w:r>
              <w:rPr>
                <w:rFonts w:hint="eastAsia" w:ascii="宋体" w:hAnsi="宋体" w:cs="宋体"/>
                <w:color w:val="auto"/>
                <w:sz w:val="24"/>
                <w:szCs w:val="24"/>
                <w:highlight w:val="none"/>
              </w:rPr>
              <w:t>投标文件封面、投标函及电子招标文件规定的其它应签章处应用CA锁进行电子签章。未按要求进行电子签章的投标文件，作无效标处理。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28</w:t>
            </w:r>
          </w:p>
        </w:tc>
        <w:tc>
          <w:tcPr>
            <w:tcW w:w="216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cs="宋体"/>
                <w:b/>
                <w:bCs/>
                <w:color w:val="auto"/>
                <w:spacing w:val="-6"/>
                <w:sz w:val="24"/>
                <w:szCs w:val="24"/>
                <w:highlight w:val="none"/>
                <w:lang w:val="en-GB"/>
              </w:rPr>
            </w:pPr>
            <w:r>
              <w:rPr>
                <w:rFonts w:hint="eastAsia" w:ascii="宋体" w:hAnsi="宋体" w:cs="宋体"/>
                <w:b/>
                <w:bCs/>
                <w:color w:val="auto"/>
                <w:spacing w:val="-6"/>
                <w:sz w:val="24"/>
                <w:szCs w:val="24"/>
                <w:highlight w:val="none"/>
              </w:rPr>
              <w:t>电子招标投标</w:t>
            </w:r>
          </w:p>
        </w:tc>
        <w:tc>
          <w:tcPr>
            <w:tcW w:w="7021" w:type="dxa"/>
            <w:noWrap w:val="0"/>
            <w:vAlign w:val="center"/>
          </w:tcPr>
          <w:p>
            <w:pPr>
              <w:keepNext w:val="0"/>
              <w:keepLines w:val="0"/>
              <w:suppressLineNumbers w:val="0"/>
              <w:spacing w:before="0" w:beforeAutospacing="0" w:after="0" w:afterAutospacing="0" w:line="360" w:lineRule="auto"/>
              <w:ind w:left="0" w:right="0"/>
              <w:jc w:val="left"/>
              <w:rPr>
                <w:rFonts w:hint="eastAsia" w:ascii="宋体" w:hAnsi="宋体" w:cs="宋体"/>
                <w:b/>
                <w:bCs/>
                <w:color w:val="auto"/>
                <w:spacing w:val="-6"/>
                <w:sz w:val="24"/>
                <w:szCs w:val="24"/>
                <w:highlight w:val="none"/>
              </w:rPr>
            </w:pPr>
            <w:r>
              <w:rPr>
                <w:rFonts w:hint="eastAsia" w:ascii="宋体" w:hAnsi="宋体" w:cs="宋体"/>
                <w:b/>
                <w:bCs/>
                <w:color w:val="auto"/>
                <w:spacing w:val="-6"/>
                <w:sz w:val="24"/>
                <w:szCs w:val="24"/>
                <w:highlight w:val="none"/>
              </w:rPr>
              <w:t>本项目采用电子评标，其中本项目技术标采用</w:t>
            </w:r>
            <w:r>
              <w:rPr>
                <w:rFonts w:hint="eastAsia" w:ascii="宋体" w:hAnsi="宋体" w:cs="宋体"/>
                <w:b/>
                <w:bCs/>
                <w:color w:val="auto"/>
                <w:spacing w:val="-6"/>
                <w:sz w:val="24"/>
                <w:szCs w:val="24"/>
                <w:highlight w:val="none"/>
                <w:lang w:val="en-US" w:eastAsia="zh-CN"/>
              </w:rPr>
              <w:t>明</w:t>
            </w:r>
            <w:r>
              <w:rPr>
                <w:rFonts w:hint="eastAsia" w:ascii="宋体" w:hAnsi="宋体" w:cs="宋体"/>
                <w:b/>
                <w:bCs/>
                <w:color w:val="auto"/>
                <w:spacing w:val="-6"/>
                <w:sz w:val="24"/>
                <w:szCs w:val="24"/>
                <w:highlight w:val="none"/>
              </w:rPr>
              <w:t>标评审。</w:t>
            </w:r>
          </w:p>
          <w:p>
            <w:pPr>
              <w:keepNext w:val="0"/>
              <w:keepLines w:val="0"/>
              <w:suppressLineNumbers w:val="0"/>
              <w:spacing w:before="0" w:beforeAutospacing="0" w:after="0" w:afterAutospacing="0" w:line="360" w:lineRule="auto"/>
              <w:ind w:left="0" w:right="0"/>
              <w:jc w:val="left"/>
              <w:rPr>
                <w:rFonts w:hint="eastAsia" w:ascii="宋体" w:hAnsi="宋体" w:cs="宋体"/>
                <w:b/>
                <w:bCs/>
                <w:color w:val="auto"/>
                <w:spacing w:val="-6"/>
                <w:sz w:val="24"/>
                <w:szCs w:val="24"/>
                <w:highlight w:val="none"/>
              </w:rPr>
            </w:pPr>
            <w:r>
              <w:rPr>
                <w:rFonts w:hint="eastAsia" w:ascii="宋体" w:hAnsi="宋体" w:cs="宋体"/>
                <w:b/>
                <w:bCs/>
                <w:color w:val="auto"/>
                <w:spacing w:val="-6"/>
                <w:sz w:val="24"/>
                <w:szCs w:val="24"/>
                <w:highlight w:val="none"/>
              </w:rPr>
              <w:t>电子投标文件中从诚信库内的获取的所有扫描件均为原件扫描件，否则不予认可，涉及打分的，不予计算，资格审查的，不予通过。</w:t>
            </w:r>
          </w:p>
          <w:p>
            <w:pPr>
              <w:keepNext w:val="0"/>
              <w:keepLines w:val="0"/>
              <w:suppressLineNumbers w:val="0"/>
              <w:spacing w:before="0" w:beforeAutospacing="0" w:after="0" w:afterAutospacing="0" w:line="360" w:lineRule="auto"/>
              <w:ind w:left="0" w:right="0"/>
              <w:jc w:val="left"/>
              <w:rPr>
                <w:rFonts w:hint="eastAsia" w:ascii="宋体" w:hAnsi="宋体" w:cs="宋体"/>
                <w:b/>
                <w:bCs/>
                <w:color w:val="auto"/>
                <w:spacing w:val="-6"/>
                <w:sz w:val="24"/>
                <w:szCs w:val="24"/>
                <w:highlight w:val="none"/>
                <w:lang w:val="en-GB"/>
              </w:rPr>
            </w:pPr>
            <w:r>
              <w:rPr>
                <w:rFonts w:hint="eastAsia" w:ascii="宋体" w:hAnsi="宋体" w:cs="宋体"/>
                <w:b/>
                <w:bCs/>
                <w:color w:val="auto"/>
                <w:spacing w:val="-6"/>
                <w:sz w:val="24"/>
                <w:szCs w:val="24"/>
                <w:highlight w:val="none"/>
              </w:rPr>
              <w:t>本次招标文件以聊城市公共资源交易平台系统内发售下载的为准，各供应商需及时查看系统内澄清答疑情况，澄清答疑后的文件为最终文件。电子评标答疑文件的格式为.lccf，请供应商务必把最新的澄清文件导入到投标文件制作工具中，否则无法生成最新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29</w:t>
            </w:r>
          </w:p>
        </w:tc>
        <w:tc>
          <w:tcPr>
            <w:tcW w:w="216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cs="宋体"/>
                <w:b/>
                <w:bCs/>
                <w:color w:val="auto"/>
                <w:spacing w:val="-6"/>
                <w:sz w:val="24"/>
                <w:szCs w:val="24"/>
                <w:highlight w:val="none"/>
              </w:rPr>
            </w:pPr>
            <w:r>
              <w:rPr>
                <w:rFonts w:hint="eastAsia" w:ascii="宋体" w:hAnsi="宋体" w:cs="宋体"/>
                <w:b/>
                <w:bCs/>
                <w:color w:val="auto"/>
                <w:spacing w:val="-6"/>
                <w:sz w:val="24"/>
                <w:szCs w:val="24"/>
                <w:highlight w:val="none"/>
              </w:rPr>
              <w:t>电子招投标的应急措施</w:t>
            </w:r>
          </w:p>
        </w:tc>
        <w:tc>
          <w:tcPr>
            <w:tcW w:w="7021" w:type="dxa"/>
            <w:noWrap w:val="0"/>
            <w:vAlign w:val="center"/>
          </w:tcPr>
          <w:p>
            <w:pPr>
              <w:keepNext w:val="0"/>
              <w:keepLines w:val="0"/>
              <w:suppressLineNumbers w:val="0"/>
              <w:spacing w:before="0" w:beforeAutospacing="0" w:after="0" w:afterAutospacing="0" w:line="360" w:lineRule="auto"/>
              <w:ind w:left="0" w:right="0"/>
              <w:jc w:val="left"/>
              <w:rPr>
                <w:rFonts w:hint="eastAsia" w:ascii="宋体" w:hAnsi="宋体" w:cs="宋体"/>
                <w:b/>
                <w:bCs/>
                <w:color w:val="auto"/>
                <w:spacing w:val="-6"/>
                <w:sz w:val="24"/>
                <w:szCs w:val="24"/>
                <w:highlight w:val="none"/>
              </w:rPr>
            </w:pPr>
            <w:r>
              <w:rPr>
                <w:rFonts w:hint="eastAsia" w:ascii="宋体" w:hAnsi="宋体" w:cs="宋体"/>
                <w:b/>
                <w:bCs/>
                <w:color w:val="auto"/>
                <w:spacing w:val="-6"/>
                <w:sz w:val="24"/>
                <w:szCs w:val="24"/>
                <w:highlight w:val="none"/>
              </w:rPr>
              <w:t>电子开标、评标如出现下列原因，导致系统无法正常运行或无法正常评标时，应采取应急措施。</w:t>
            </w:r>
          </w:p>
          <w:p>
            <w:pPr>
              <w:keepNext w:val="0"/>
              <w:keepLines w:val="0"/>
              <w:suppressLineNumbers w:val="0"/>
              <w:spacing w:before="0" w:beforeAutospacing="0" w:after="0" w:afterAutospacing="0" w:line="360" w:lineRule="auto"/>
              <w:ind w:left="0" w:right="0"/>
              <w:jc w:val="left"/>
              <w:rPr>
                <w:rFonts w:hint="eastAsia" w:ascii="宋体" w:hAnsi="宋体" w:cs="宋体"/>
                <w:b/>
                <w:bCs/>
                <w:color w:val="auto"/>
                <w:spacing w:val="-6"/>
                <w:sz w:val="24"/>
                <w:szCs w:val="24"/>
                <w:highlight w:val="none"/>
              </w:rPr>
            </w:pPr>
            <w:r>
              <w:rPr>
                <w:rFonts w:hint="eastAsia" w:ascii="宋体" w:hAnsi="宋体" w:cs="宋体"/>
                <w:b/>
                <w:bCs/>
                <w:color w:val="auto"/>
                <w:spacing w:val="-6"/>
                <w:sz w:val="24"/>
                <w:szCs w:val="24"/>
                <w:highlight w:val="none"/>
              </w:rPr>
              <w:t>（1）系统服务器发生故障，无法访问或无法使用系统；</w:t>
            </w:r>
          </w:p>
          <w:p>
            <w:pPr>
              <w:keepNext w:val="0"/>
              <w:keepLines w:val="0"/>
              <w:suppressLineNumbers w:val="0"/>
              <w:spacing w:before="0" w:beforeAutospacing="0" w:after="0" w:afterAutospacing="0" w:line="360" w:lineRule="auto"/>
              <w:ind w:left="0" w:right="0"/>
              <w:jc w:val="left"/>
              <w:rPr>
                <w:rFonts w:hint="eastAsia" w:ascii="宋体" w:hAnsi="宋体" w:cs="宋体"/>
                <w:b/>
                <w:bCs/>
                <w:color w:val="auto"/>
                <w:spacing w:val="-6"/>
                <w:sz w:val="24"/>
                <w:szCs w:val="24"/>
                <w:highlight w:val="none"/>
              </w:rPr>
            </w:pPr>
            <w:r>
              <w:rPr>
                <w:rFonts w:hint="eastAsia" w:ascii="宋体" w:hAnsi="宋体" w:cs="宋体"/>
                <w:b/>
                <w:bCs/>
                <w:color w:val="auto"/>
                <w:spacing w:val="-6"/>
                <w:sz w:val="24"/>
                <w:szCs w:val="24"/>
                <w:highlight w:val="none"/>
              </w:rPr>
              <w:t>（2）系统的软件或数据库出现错误，不能进行正常操作；</w:t>
            </w:r>
          </w:p>
          <w:p>
            <w:pPr>
              <w:keepNext w:val="0"/>
              <w:keepLines w:val="0"/>
              <w:suppressLineNumbers w:val="0"/>
              <w:spacing w:before="0" w:beforeAutospacing="0" w:after="0" w:afterAutospacing="0" w:line="360" w:lineRule="auto"/>
              <w:ind w:left="0" w:right="0"/>
              <w:jc w:val="left"/>
              <w:rPr>
                <w:rFonts w:hint="eastAsia" w:ascii="宋体" w:hAnsi="宋体" w:cs="宋体"/>
                <w:b/>
                <w:bCs/>
                <w:color w:val="auto"/>
                <w:spacing w:val="-6"/>
                <w:sz w:val="24"/>
                <w:szCs w:val="24"/>
                <w:highlight w:val="none"/>
              </w:rPr>
            </w:pPr>
            <w:r>
              <w:rPr>
                <w:rFonts w:hint="eastAsia" w:ascii="宋体" w:hAnsi="宋体" w:cs="宋体"/>
                <w:b/>
                <w:bCs/>
                <w:color w:val="auto"/>
                <w:spacing w:val="-6"/>
                <w:sz w:val="24"/>
                <w:szCs w:val="24"/>
                <w:highlight w:val="none"/>
              </w:rPr>
              <w:t>（3）系统发现有安全漏洞，有潜在的泄密危险；</w:t>
            </w:r>
          </w:p>
          <w:p>
            <w:pPr>
              <w:keepNext w:val="0"/>
              <w:keepLines w:val="0"/>
              <w:suppressLineNumbers w:val="0"/>
              <w:spacing w:before="0" w:beforeAutospacing="0" w:after="0" w:afterAutospacing="0" w:line="360" w:lineRule="auto"/>
              <w:ind w:left="0" w:right="0"/>
              <w:jc w:val="left"/>
              <w:rPr>
                <w:rFonts w:hint="eastAsia" w:ascii="宋体" w:hAnsi="宋体" w:cs="宋体"/>
                <w:b/>
                <w:bCs/>
                <w:color w:val="auto"/>
                <w:spacing w:val="-6"/>
                <w:sz w:val="24"/>
                <w:szCs w:val="24"/>
                <w:highlight w:val="none"/>
              </w:rPr>
            </w:pPr>
            <w:r>
              <w:rPr>
                <w:rFonts w:hint="eastAsia" w:ascii="宋体" w:hAnsi="宋体" w:cs="宋体"/>
                <w:b/>
                <w:bCs/>
                <w:color w:val="auto"/>
                <w:spacing w:val="-6"/>
                <w:sz w:val="24"/>
                <w:szCs w:val="24"/>
                <w:highlight w:val="none"/>
              </w:rPr>
              <w:t>（4）病毒发作或受到外来病毒的攻击；</w:t>
            </w:r>
          </w:p>
          <w:p>
            <w:pPr>
              <w:keepNext w:val="0"/>
              <w:keepLines w:val="0"/>
              <w:suppressLineNumbers w:val="0"/>
              <w:spacing w:before="0" w:beforeAutospacing="0" w:after="0" w:afterAutospacing="0" w:line="360" w:lineRule="auto"/>
              <w:ind w:left="0" w:right="0"/>
              <w:jc w:val="left"/>
              <w:rPr>
                <w:rFonts w:hint="eastAsia" w:ascii="宋体" w:hAnsi="宋体" w:cs="宋体"/>
                <w:b/>
                <w:bCs/>
                <w:color w:val="auto"/>
                <w:spacing w:val="-6"/>
                <w:sz w:val="24"/>
                <w:szCs w:val="24"/>
                <w:highlight w:val="none"/>
              </w:rPr>
            </w:pPr>
            <w:r>
              <w:rPr>
                <w:rFonts w:hint="eastAsia" w:ascii="宋体" w:hAnsi="宋体" w:cs="宋体"/>
                <w:b/>
                <w:bCs/>
                <w:color w:val="auto"/>
                <w:spacing w:val="-6"/>
                <w:sz w:val="24"/>
                <w:szCs w:val="24"/>
                <w:highlight w:val="none"/>
              </w:rPr>
              <w:t>（5）出现其他不可抗拒的客观原因造成开评标系统无法正常使用。</w:t>
            </w:r>
          </w:p>
          <w:p>
            <w:pPr>
              <w:keepNext w:val="0"/>
              <w:keepLines w:val="0"/>
              <w:suppressLineNumbers w:val="0"/>
              <w:spacing w:before="0" w:beforeAutospacing="0" w:after="0" w:afterAutospacing="0" w:line="360" w:lineRule="auto"/>
              <w:ind w:left="0" w:right="0"/>
              <w:jc w:val="left"/>
              <w:rPr>
                <w:rFonts w:hint="eastAsia" w:ascii="宋体" w:hAnsi="宋体" w:cs="宋体"/>
                <w:b/>
                <w:bCs/>
                <w:color w:val="auto"/>
                <w:spacing w:val="-6"/>
                <w:sz w:val="24"/>
                <w:szCs w:val="24"/>
                <w:highlight w:val="none"/>
              </w:rPr>
            </w:pPr>
            <w:r>
              <w:rPr>
                <w:rFonts w:hint="eastAsia" w:ascii="宋体" w:hAnsi="宋体" w:cs="宋体"/>
                <w:b/>
                <w:bCs/>
                <w:color w:val="auto"/>
                <w:spacing w:val="-6"/>
                <w:sz w:val="24"/>
                <w:szCs w:val="24"/>
                <w:highlight w:val="none"/>
              </w:rPr>
              <w:t>出现上述情况时，应对未开标的企业暂停电子唱标，改用人工方式唱标。已在系统内开标、评标的，立即停止，经江苏国泰新点公司和交易中心工作人员确认后，经评审委员会决定，可将系统内评审改为电子版文件评审。采取应急措施时，必须对原有资料及信息作出妥善保密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30</w:t>
            </w:r>
          </w:p>
        </w:tc>
        <w:tc>
          <w:tcPr>
            <w:tcW w:w="216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cs="宋体"/>
                <w:b/>
                <w:bCs/>
                <w:color w:val="auto"/>
                <w:spacing w:val="-6"/>
                <w:sz w:val="24"/>
                <w:szCs w:val="24"/>
                <w:highlight w:val="none"/>
              </w:rPr>
            </w:pPr>
            <w:r>
              <w:rPr>
                <w:rFonts w:hint="eastAsia" w:ascii="宋体" w:hAnsi="宋体" w:cs="宋体"/>
                <w:color w:val="auto"/>
                <w:sz w:val="24"/>
                <w:szCs w:val="24"/>
                <w:highlight w:val="none"/>
              </w:rPr>
              <w:t>信用管理</w:t>
            </w:r>
          </w:p>
        </w:tc>
        <w:tc>
          <w:tcPr>
            <w:tcW w:w="7021" w:type="dxa"/>
            <w:noWrap w:val="0"/>
            <w:vAlign w:val="center"/>
          </w:tcPr>
          <w:p>
            <w:pPr>
              <w:keepNext w:val="0"/>
              <w:keepLines w:val="0"/>
              <w:widowControl/>
              <w:suppressLineNumbers w:val="0"/>
              <w:shd w:val="clear" w:color="auto" w:fill="FFFFFF"/>
              <w:adjustRightInd w:val="0"/>
              <w:snapToGrid w:val="0"/>
              <w:spacing w:before="0" w:beforeAutospacing="0" w:after="0" w:afterAutospacing="0" w:line="360" w:lineRule="auto"/>
              <w:ind w:left="0" w:right="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招标代理机构应当通过山东省政府采购信息公开平台，如实记录参与政府采购活动</w:t>
            </w:r>
            <w:r>
              <w:rPr>
                <w:rFonts w:hint="eastAsia" w:ascii="宋体" w:hAnsi="宋体" w:cs="宋体"/>
                <w:color w:val="auto"/>
                <w:sz w:val="24"/>
                <w:szCs w:val="24"/>
                <w:highlight w:val="none"/>
              </w:rPr>
              <w:t>投标</w:t>
            </w:r>
            <w:r>
              <w:rPr>
                <w:rFonts w:hint="eastAsia" w:ascii="宋体" w:hAnsi="宋体" w:cs="宋体"/>
                <w:color w:val="auto"/>
                <w:sz w:val="24"/>
                <w:szCs w:val="24"/>
                <w:highlight w:val="none"/>
                <w:lang w:val="zh-CN"/>
              </w:rPr>
              <w:t>是否存在以下行为：</w:t>
            </w:r>
          </w:p>
          <w:p>
            <w:pPr>
              <w:keepNext w:val="0"/>
              <w:keepLines w:val="0"/>
              <w:widowControl/>
              <w:numPr>
                <w:ilvl w:val="0"/>
                <w:numId w:val="27"/>
              </w:numPr>
              <w:suppressLineNumbers w:val="0"/>
              <w:shd w:val="clear" w:color="auto" w:fill="FFFFFF"/>
              <w:adjustRightInd w:val="0"/>
              <w:snapToGrid w:val="0"/>
              <w:spacing w:before="0" w:beforeAutospacing="0" w:after="0" w:afterAutospacing="0" w:line="360" w:lineRule="auto"/>
              <w:ind w:left="0" w:right="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报名后，无正当理由不参加投标且不通知招标人或招标代理机构的</w:t>
            </w:r>
          </w:p>
          <w:p>
            <w:pPr>
              <w:keepNext w:val="0"/>
              <w:keepLines w:val="0"/>
              <w:widowControl/>
              <w:suppressLineNumbers w:val="0"/>
              <w:shd w:val="clear" w:color="auto" w:fill="FFFFFF"/>
              <w:adjustRightInd w:val="0"/>
              <w:snapToGrid w:val="0"/>
              <w:spacing w:before="0" w:beforeAutospacing="0" w:after="0" w:afterAutospacing="0" w:line="360" w:lineRule="auto"/>
              <w:ind w:left="0" w:right="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按时交纳中标服务费</w:t>
            </w:r>
          </w:p>
          <w:p>
            <w:pPr>
              <w:keepNext w:val="0"/>
              <w:keepLines w:val="0"/>
              <w:widowControl/>
              <w:suppressLineNumbers w:val="0"/>
              <w:shd w:val="clear" w:color="auto" w:fill="FFFFFF"/>
              <w:adjustRightInd w:val="0"/>
              <w:snapToGrid w:val="0"/>
              <w:spacing w:before="0" w:beforeAutospacing="0" w:after="0" w:afterAutospacing="0" w:line="360" w:lineRule="auto"/>
              <w:ind w:left="0" w:right="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在投标有效期内撇回投标的</w:t>
            </w:r>
          </w:p>
          <w:p>
            <w:pPr>
              <w:keepNext w:val="0"/>
              <w:keepLines w:val="0"/>
              <w:widowControl/>
              <w:suppressLineNumbers w:val="0"/>
              <w:shd w:val="clear" w:color="auto" w:fill="FFFFFF"/>
              <w:adjustRightInd w:val="0"/>
              <w:snapToGrid w:val="0"/>
              <w:spacing w:before="0" w:beforeAutospacing="0" w:after="0" w:afterAutospacing="0" w:line="360" w:lineRule="auto"/>
              <w:ind w:left="0" w:right="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非招标采购方式时，无故退出磋商或者谈判的;</w:t>
            </w:r>
          </w:p>
          <w:p>
            <w:pPr>
              <w:keepNext w:val="0"/>
              <w:keepLines w:val="0"/>
              <w:widowControl/>
              <w:suppressLineNumbers w:val="0"/>
              <w:shd w:val="clear" w:color="auto" w:fill="FFFFFF"/>
              <w:adjustRightInd w:val="0"/>
              <w:snapToGrid w:val="0"/>
              <w:spacing w:before="0" w:beforeAutospacing="0" w:after="0" w:afterAutospacing="0" w:line="360" w:lineRule="auto"/>
              <w:ind w:left="0" w:right="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val="zh-CN"/>
              </w:rPr>
              <w:t>其他不诚信行为</w:t>
            </w:r>
          </w:p>
          <w:p>
            <w:pPr>
              <w:keepNext w:val="0"/>
              <w:keepLines w:val="0"/>
              <w:suppressLineNumbers w:val="0"/>
              <w:spacing w:before="0" w:beforeAutospacing="0" w:after="0" w:afterAutospacing="0" w:line="360" w:lineRule="auto"/>
              <w:ind w:left="0" w:right="0"/>
              <w:rPr>
                <w:rFonts w:hint="eastAsia" w:ascii="宋体" w:hAnsi="宋体" w:cs="宋体"/>
                <w:b/>
                <w:bCs/>
                <w:color w:val="auto"/>
                <w:spacing w:val="-6"/>
                <w:sz w:val="24"/>
                <w:szCs w:val="24"/>
                <w:highlight w:val="none"/>
              </w:rPr>
            </w:pPr>
            <w:r>
              <w:rPr>
                <w:rFonts w:hint="eastAsia" w:ascii="宋体" w:hAnsi="宋体" w:cs="宋体"/>
                <w:color w:val="auto"/>
                <w:sz w:val="24"/>
                <w:szCs w:val="24"/>
                <w:highlight w:val="none"/>
                <w:lang w:val="zh-CN"/>
              </w:rPr>
              <w:t>同一</w:t>
            </w:r>
            <w:r>
              <w:rPr>
                <w:rFonts w:hint="eastAsia" w:ascii="宋体" w:hAnsi="宋体" w:cs="宋体"/>
                <w:color w:val="auto"/>
                <w:sz w:val="24"/>
                <w:szCs w:val="24"/>
                <w:highlight w:val="none"/>
              </w:rPr>
              <w:t>供应商</w:t>
            </w:r>
            <w:r>
              <w:rPr>
                <w:rFonts w:hint="eastAsia" w:ascii="宋体" w:hAnsi="宋体" w:cs="宋体"/>
                <w:color w:val="auto"/>
                <w:sz w:val="24"/>
                <w:szCs w:val="24"/>
                <w:highlight w:val="none"/>
                <w:lang w:val="zh-CN"/>
              </w:rPr>
              <w:t>在全省范围内存在以上行为第1、第2种行为情形三次及以上的，以及第3、第4种行为情形一次及以上的，政府采购信息公开平合自动将其列入“存在一般失信行为的</w:t>
            </w:r>
            <w:r>
              <w:rPr>
                <w:rFonts w:hint="eastAsia" w:ascii="宋体" w:hAnsi="宋体" w:cs="宋体"/>
                <w:color w:val="auto"/>
                <w:sz w:val="24"/>
                <w:szCs w:val="24"/>
                <w:highlight w:val="none"/>
              </w:rPr>
              <w:t>供应商</w:t>
            </w:r>
            <w:r>
              <w:rPr>
                <w:rFonts w:hint="eastAsia" w:ascii="宋体" w:hAnsi="宋体" w:cs="宋体"/>
                <w:color w:val="auto"/>
                <w:sz w:val="24"/>
                <w:szCs w:val="24"/>
                <w:highlight w:val="none"/>
                <w:lang w:val="zh-CN"/>
              </w:rPr>
              <w:t>”，其在参与政府采购活动时，招标人、招标代理机构可以按规定向其收取投标保证金。存在其他严重不诚信行为的，按有关法律法规处理。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31</w:t>
            </w:r>
          </w:p>
        </w:tc>
        <w:tc>
          <w:tcPr>
            <w:tcW w:w="216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cs="宋体"/>
                <w:b/>
                <w:bCs/>
                <w:color w:val="auto"/>
                <w:spacing w:val="-6"/>
                <w:sz w:val="24"/>
                <w:szCs w:val="24"/>
                <w:highlight w:val="none"/>
              </w:rPr>
            </w:pPr>
            <w:r>
              <w:rPr>
                <w:rFonts w:hint="eastAsia" w:ascii="宋体" w:hAnsi="宋体" w:cs="宋体"/>
                <w:b/>
                <w:color w:val="auto"/>
                <w:spacing w:val="-6"/>
                <w:sz w:val="24"/>
                <w:szCs w:val="24"/>
                <w:highlight w:val="none"/>
              </w:rPr>
              <w:t>特殊说明</w:t>
            </w:r>
          </w:p>
        </w:tc>
        <w:tc>
          <w:tcPr>
            <w:tcW w:w="7021" w:type="dxa"/>
            <w:noWrap w:val="0"/>
            <w:vAlign w:val="center"/>
          </w:tcPr>
          <w:p>
            <w:pPr>
              <w:keepNext w:val="0"/>
              <w:keepLines w:val="0"/>
              <w:numPr>
                <w:ilvl w:val="0"/>
                <w:numId w:val="28"/>
              </w:numPr>
              <w:suppressLineNumbers w:val="0"/>
              <w:spacing w:before="0" w:beforeAutospacing="0" w:after="0" w:afterAutospacing="0" w:line="360" w:lineRule="auto"/>
              <w:ind w:left="0" w:right="0"/>
              <w:rPr>
                <w:rFonts w:hint="eastAsia" w:ascii="宋体" w:hAnsi="宋体" w:cs="宋体"/>
                <w:color w:val="auto"/>
                <w:sz w:val="24"/>
                <w:szCs w:val="24"/>
                <w:highlight w:val="none"/>
              </w:rPr>
            </w:pPr>
            <w:r>
              <w:rPr>
                <w:rStyle w:val="713"/>
                <w:rFonts w:hint="eastAsia" w:ascii="宋体" w:hAnsi="宋体" w:cs="宋体"/>
                <w:b/>
                <w:color w:val="auto"/>
                <w:sz w:val="24"/>
                <w:szCs w:val="24"/>
                <w:highlight w:val="none"/>
              </w:rPr>
              <w:t>将电子响应文件在响应文件递交截止时间前上传到聊城市公共资源招投标会员网上交易系统。</w:t>
            </w:r>
          </w:p>
          <w:p>
            <w:pPr>
              <w:keepNext w:val="0"/>
              <w:keepLines w:val="0"/>
              <w:numPr>
                <w:ilvl w:val="0"/>
                <w:numId w:val="28"/>
              </w:numPr>
              <w:suppressLineNumbers w:val="0"/>
              <w:spacing w:before="0" w:beforeAutospacing="0" w:after="0" w:afterAutospacing="0" w:line="360" w:lineRule="auto"/>
              <w:ind w:left="0" w:right="0"/>
              <w:rPr>
                <w:rFonts w:hint="eastAsia" w:ascii="宋体" w:hAnsi="宋体" w:cs="宋体"/>
                <w:color w:val="auto"/>
                <w:sz w:val="24"/>
                <w:szCs w:val="24"/>
                <w:highlight w:val="none"/>
              </w:rPr>
            </w:pPr>
            <w:r>
              <w:rPr>
                <w:rFonts w:hint="eastAsia" w:ascii="宋体" w:hAnsi="宋体" w:cs="宋体"/>
                <w:b/>
                <w:bCs/>
                <w:color w:val="auto"/>
                <w:sz w:val="24"/>
                <w:szCs w:val="24"/>
                <w:highlight w:val="none"/>
              </w:rPr>
              <w:t>签到时间</w:t>
            </w:r>
            <w:r>
              <w:rPr>
                <w:rFonts w:hint="eastAsia" w:ascii="宋体" w:hAnsi="宋体" w:cs="宋体"/>
                <w:color w:val="auto"/>
                <w:sz w:val="24"/>
                <w:szCs w:val="24"/>
                <w:highlight w:val="none"/>
              </w:rPr>
              <w:t>：投标人需在开标前登录不见面开标大厅，并完成签到工作。</w:t>
            </w:r>
            <w:r>
              <w:rPr>
                <w:rStyle w:val="713"/>
                <w:rFonts w:hint="eastAsia" w:ascii="宋体" w:hAnsi="宋体" w:cs="宋体"/>
                <w:b/>
                <w:color w:val="auto"/>
                <w:sz w:val="24"/>
                <w:szCs w:val="24"/>
                <w:highlight w:val="none"/>
              </w:rPr>
              <w:t>请各供应商认真仔细阅读聊城市公共资源交易中心虚拟开标大厅-投标人操作手册。（如可进场开标将另行通知）</w:t>
            </w:r>
          </w:p>
          <w:p>
            <w:pPr>
              <w:keepNext w:val="0"/>
              <w:keepLines w:val="0"/>
              <w:numPr>
                <w:ilvl w:val="0"/>
                <w:numId w:val="28"/>
              </w:numPr>
              <w:suppressLineNumbers w:val="0"/>
              <w:spacing w:before="0" w:beforeAutospacing="0" w:after="0" w:afterAutospacing="0" w:line="360" w:lineRule="auto"/>
              <w:ind w:left="0" w:right="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解密时间</w:t>
            </w:r>
            <w:r>
              <w:rPr>
                <w:rFonts w:hint="eastAsia" w:ascii="宋体" w:hAnsi="宋体" w:cs="宋体"/>
                <w:color w:val="auto"/>
                <w:sz w:val="24"/>
                <w:szCs w:val="24"/>
                <w:highlight w:val="none"/>
              </w:rPr>
              <w:t>：投标人需提前60钟登录不见面开标大厅，因投标人自身原因导致在规定的解密时间（从投标人解密环节开始计时，每个投标人限30分钟）内解密失败的，其投标被拒绝且投标文件被退回。</w:t>
            </w:r>
          </w:p>
          <w:p>
            <w:pPr>
              <w:keepNext w:val="0"/>
              <w:keepLines w:val="0"/>
              <w:numPr>
                <w:ilvl w:val="0"/>
                <w:numId w:val="28"/>
              </w:numPr>
              <w:suppressLineNumbers w:val="0"/>
              <w:spacing w:before="0" w:beforeAutospacing="0" w:after="0" w:afterAutospacing="0" w:line="360" w:lineRule="auto"/>
              <w:ind w:left="0" w:right="0"/>
              <w:rPr>
                <w:rFonts w:hint="eastAsia" w:ascii="宋体" w:hAnsi="宋体" w:cs="宋体"/>
                <w:b/>
                <w:bCs/>
                <w:color w:val="auto"/>
                <w:sz w:val="24"/>
                <w:szCs w:val="24"/>
                <w:highlight w:val="none"/>
                <w:lang w:val="zh-CN"/>
              </w:rPr>
            </w:pPr>
            <w:r>
              <w:rPr>
                <w:rFonts w:hint="eastAsia" w:ascii="宋体" w:hAnsi="宋体" w:cs="宋体"/>
                <w:color w:val="auto"/>
                <w:sz w:val="24"/>
                <w:szCs w:val="24"/>
                <w:highlight w:val="none"/>
              </w:rPr>
              <w:t>投标人对线上投标文件开启过程和开标记录有异议的，可在不见面开标大厅互动交流板块提出并询问，如未提出异议视为认同开标结果。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32</w:t>
            </w:r>
          </w:p>
        </w:tc>
        <w:tc>
          <w:tcPr>
            <w:tcW w:w="2160"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cs="宋体"/>
                <w:b/>
                <w:color w:val="auto"/>
                <w:kern w:val="0"/>
                <w:sz w:val="24"/>
                <w:szCs w:val="24"/>
                <w:highlight w:val="none"/>
                <w:lang w:bidi="zh-CN"/>
              </w:rPr>
            </w:pPr>
            <w:r>
              <w:rPr>
                <w:rFonts w:hint="eastAsia" w:ascii="宋体" w:hAnsi="宋体" w:cs="宋体"/>
                <w:b/>
                <w:color w:val="auto"/>
                <w:kern w:val="0"/>
                <w:sz w:val="24"/>
                <w:szCs w:val="24"/>
                <w:highlight w:val="none"/>
                <w:lang w:val="zh-CN" w:bidi="zh-CN"/>
              </w:rPr>
              <w:t>其他</w:t>
            </w:r>
          </w:p>
        </w:tc>
        <w:tc>
          <w:tcPr>
            <w:tcW w:w="7021" w:type="dxa"/>
            <w:noWrap w:val="0"/>
            <w:vAlign w:val="center"/>
          </w:tcPr>
          <w:p>
            <w:pPr>
              <w:keepNext w:val="0"/>
              <w:keepLines w:val="0"/>
              <w:suppressLineNumbers w:val="0"/>
              <w:spacing w:before="0" w:beforeAutospacing="0" w:after="0" w:afterAutospacing="0" w:line="360" w:lineRule="auto"/>
              <w:ind w:left="0" w:right="0"/>
              <w:jc w:val="left"/>
              <w:rPr>
                <w:rFonts w:hint="eastAsia" w:ascii="宋体" w:hAnsi="宋体" w:cs="宋体"/>
                <w:b/>
                <w:color w:val="auto"/>
                <w:kern w:val="0"/>
                <w:sz w:val="24"/>
                <w:szCs w:val="24"/>
                <w:highlight w:val="none"/>
                <w:lang w:val="zh-CN" w:bidi="zh-CN"/>
              </w:rPr>
            </w:pPr>
            <w:r>
              <w:rPr>
                <w:rFonts w:hint="eastAsia" w:ascii="宋体" w:hAnsi="宋体" w:cs="宋体"/>
                <w:b/>
                <w:color w:val="auto"/>
                <w:kern w:val="0"/>
                <w:sz w:val="24"/>
                <w:szCs w:val="24"/>
                <w:highlight w:val="none"/>
                <w:lang w:val="zh-CN" w:bidi="zh-CN"/>
              </w:rPr>
              <w:t>一、网上报名的成功不代表资格审查的最终通过或合格，供应商最终资格的确认以评标委员会组织的最后资格后审为准。</w:t>
            </w:r>
          </w:p>
          <w:p>
            <w:pPr>
              <w:keepNext w:val="0"/>
              <w:keepLines w:val="0"/>
              <w:suppressLineNumbers w:val="0"/>
              <w:spacing w:before="0" w:beforeAutospacing="0" w:after="0" w:afterAutospacing="0" w:line="360" w:lineRule="auto"/>
              <w:ind w:left="0" w:right="0"/>
              <w:jc w:val="left"/>
              <w:rPr>
                <w:rFonts w:hint="eastAsia" w:ascii="宋体" w:hAnsi="宋体" w:cs="宋体"/>
                <w:b/>
                <w:color w:val="auto"/>
                <w:kern w:val="0"/>
                <w:sz w:val="24"/>
                <w:szCs w:val="24"/>
                <w:highlight w:val="none"/>
                <w:lang w:val="zh-CN" w:bidi="zh-CN"/>
              </w:rPr>
            </w:pPr>
            <w:r>
              <w:rPr>
                <w:rFonts w:hint="eastAsia" w:ascii="宋体" w:hAnsi="宋体" w:cs="宋体"/>
                <w:b/>
                <w:color w:val="auto"/>
                <w:kern w:val="0"/>
                <w:sz w:val="24"/>
                <w:szCs w:val="24"/>
                <w:highlight w:val="none"/>
                <w:lang w:val="zh-CN" w:bidi="zh-CN"/>
              </w:rPr>
              <w:t>二、本次</w:t>
            </w:r>
            <w:r>
              <w:rPr>
                <w:rFonts w:hint="eastAsia" w:ascii="宋体" w:hAnsi="宋体" w:cs="宋体"/>
                <w:b/>
                <w:color w:val="auto"/>
                <w:kern w:val="0"/>
                <w:sz w:val="24"/>
                <w:szCs w:val="24"/>
                <w:highlight w:val="none"/>
                <w:lang w:val="en-US" w:bidi="zh-CN"/>
              </w:rPr>
              <w:t>招标</w:t>
            </w:r>
            <w:r>
              <w:rPr>
                <w:rFonts w:hint="eastAsia" w:ascii="宋体" w:hAnsi="宋体" w:cs="宋体"/>
                <w:b/>
                <w:color w:val="auto"/>
                <w:kern w:val="0"/>
                <w:sz w:val="24"/>
                <w:szCs w:val="24"/>
                <w:highlight w:val="none"/>
                <w:lang w:val="zh-CN" w:bidi="zh-CN"/>
              </w:rPr>
              <w:t>文件以聊城市公共资源交易平台系统内发售下载的为准，各投标企业需及时查看系统内澄清答疑情况，澄清答疑后的文件为最终文件。电子评标答疑文件的格式为.lccf，请供应商务必把最新的澄清文件导入到投标文件制作工具中，否则无法生成最新投标文件。</w:t>
            </w:r>
          </w:p>
          <w:p>
            <w:pPr>
              <w:keepNext w:val="0"/>
              <w:keepLines w:val="0"/>
              <w:suppressLineNumbers w:val="0"/>
              <w:spacing w:before="0" w:beforeAutospacing="0" w:after="0" w:afterAutospacing="0" w:line="360" w:lineRule="auto"/>
              <w:ind w:left="0" w:right="0"/>
              <w:jc w:val="left"/>
              <w:rPr>
                <w:rFonts w:hint="eastAsia" w:ascii="宋体" w:hAnsi="宋体" w:cs="宋体"/>
                <w:b/>
                <w:color w:val="auto"/>
                <w:kern w:val="0"/>
                <w:sz w:val="24"/>
                <w:szCs w:val="24"/>
                <w:highlight w:val="none"/>
                <w:lang w:val="zh-CN" w:bidi="zh-CN"/>
              </w:rPr>
            </w:pPr>
            <w:r>
              <w:rPr>
                <w:rFonts w:hint="eastAsia" w:ascii="宋体" w:hAnsi="宋体" w:cs="宋体"/>
                <w:b/>
                <w:color w:val="auto"/>
                <w:kern w:val="0"/>
                <w:sz w:val="24"/>
                <w:szCs w:val="24"/>
                <w:highlight w:val="none"/>
                <w:lang w:val="zh-CN" w:bidi="zh-CN"/>
              </w:rPr>
              <w:t>三、</w:t>
            </w:r>
            <w:r>
              <w:rPr>
                <w:rFonts w:hint="eastAsia" w:ascii="宋体" w:hAnsi="宋体" w:cs="宋体"/>
                <w:b/>
                <w:color w:val="auto"/>
                <w:kern w:val="0"/>
                <w:sz w:val="24"/>
                <w:szCs w:val="24"/>
                <w:highlight w:val="none"/>
                <w:lang w:val="en-US" w:bidi="zh-CN"/>
              </w:rPr>
              <w:t>招标</w:t>
            </w:r>
            <w:r>
              <w:rPr>
                <w:rFonts w:hint="eastAsia" w:ascii="宋体" w:hAnsi="宋体" w:cs="宋体"/>
                <w:b/>
                <w:color w:val="auto"/>
                <w:kern w:val="0"/>
                <w:sz w:val="24"/>
                <w:szCs w:val="24"/>
                <w:highlight w:val="none"/>
                <w:lang w:val="zh-CN" w:bidi="zh-CN"/>
              </w:rPr>
              <w:t>文件“附件资格证明审查表、附件有关证件加分表”按规定填写完整，签字、盖章后上传至【投标所需其他材料】</w:t>
            </w:r>
          </w:p>
          <w:p>
            <w:pPr>
              <w:pStyle w:val="67"/>
              <w:keepNext w:val="0"/>
              <w:keepLines w:val="0"/>
              <w:suppressLineNumbers w:val="0"/>
              <w:spacing w:before="0" w:beforeAutospacing="0" w:after="0" w:afterAutospacing="0" w:line="360" w:lineRule="auto"/>
              <w:ind w:left="0" w:right="0"/>
              <w:rPr>
                <w:rFonts w:hint="eastAsia" w:cs="宋体"/>
                <w:b/>
                <w:color w:val="auto"/>
                <w:highlight w:val="none"/>
                <w:lang w:bidi="zh-CN"/>
              </w:rPr>
            </w:pPr>
            <w:r>
              <w:rPr>
                <w:rFonts w:hint="eastAsia" w:cs="宋体"/>
                <w:b/>
                <w:color w:val="auto"/>
                <w:highlight w:val="none"/>
                <w:lang w:val="zh-CN" w:bidi="zh-CN"/>
              </w:rPr>
              <w:t>四、电子标书中从诚信库内的获取的所有扫描件均为原件扫描件，否则不予认可。涉及打分的，不予计算，资格审查的，不予通过。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33</w:t>
            </w:r>
          </w:p>
        </w:tc>
        <w:tc>
          <w:tcPr>
            <w:tcW w:w="2160" w:type="dxa"/>
            <w:noWrap w:val="0"/>
            <w:vAlign w:val="center"/>
          </w:tcPr>
          <w:p>
            <w:pPr>
              <w:pStyle w:val="39"/>
              <w:keepNext w:val="0"/>
              <w:keepLines w:val="0"/>
              <w:suppressLineNumbers w:val="0"/>
              <w:spacing w:before="0" w:beforeAutospacing="0" w:after="0" w:afterAutospacing="0" w:line="360" w:lineRule="auto"/>
              <w:ind w:left="0" w:right="0"/>
              <w:jc w:val="center"/>
              <w:rPr>
                <w:rFonts w:hint="eastAsia" w:hAnsi="宋体" w:cs="宋体"/>
                <w:color w:val="auto"/>
                <w:sz w:val="24"/>
                <w:szCs w:val="24"/>
                <w:highlight w:val="none"/>
                <w:lang w:val="zh-CN"/>
              </w:rPr>
            </w:pPr>
            <w:r>
              <w:rPr>
                <w:rFonts w:hint="eastAsia" w:hAnsi="宋体" w:cs="宋体"/>
                <w:b/>
                <w:color w:val="auto"/>
                <w:sz w:val="24"/>
                <w:szCs w:val="24"/>
                <w:highlight w:val="none"/>
              </w:rPr>
              <w:t>政府采购政策</w:t>
            </w:r>
          </w:p>
        </w:tc>
        <w:tc>
          <w:tcPr>
            <w:tcW w:w="7021" w:type="dxa"/>
            <w:noWrap w:val="0"/>
            <w:vAlign w:val="center"/>
          </w:tcPr>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1、除本采购文件中明确规定使用进口产品外，响应文件中不允许含有产自境外的进口产品，否则其响应文件按无效处理。</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进口产品是省级以上人民政府公布的政府集中采购目录以内或者采购限额标准以上的产自关境外的产品。</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2、政府采购节能产品、环境标志产品实施品目清单管理，强制采购《节能产品政府采购品目清单》内规定的强制节能产品， 具体见品目清单中“★”标注的产品；优先采购列入《节能产品政府采购品目清单》内的不加“★”标注的节能产品和列入《环境标志产品政府采购品目清单》内的环境标志产品。</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2.1</w:t>
            </w:r>
            <w:r>
              <w:rPr>
                <w:rFonts w:hint="eastAsia" w:eastAsia="宋体"/>
                <w:highlight w:val="none"/>
                <w:lang w:eastAsia="zh-CN"/>
              </w:rPr>
              <w:tab/>
            </w:r>
            <w:r>
              <w:rPr>
                <w:rFonts w:hint="eastAsia" w:eastAsia="宋体"/>
                <w:highlight w:val="none"/>
                <w:lang w:eastAsia="zh-CN"/>
              </w:rPr>
              <w:t>.本次采购若涉及《节能产品政府采购品目清单》内强制采购的节能产品，无论项目说明中是否明确为强制节能产品，供应商都必须投报强制节能产品并提供有效的认证证书，供应商必须填写《节能产品报价说明表一》，格式见附件，填表要求按附件表下附注，否则按无效响应文件处理。</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如果在《节能产品政府采购品目清单》中无对应细化分类或该清单中的产品确实无法满足工作需要的，允许在节能清单之外选择。</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本次采购的产品如是列入《节能产品政府采购品目清单》中优先采购的节能产品，需要享受价格扣除或加分的政策的，须填写《节能产品报价说明表二》，格式见附件，填写要求按附件中表下附注。</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要求提供的节能产品认证证书，是指由市场监管总局《关于发布参与实施政府采购节能产品、环境标志产品认证机构名录的公告》 2019 年第 16 号文件公布的机构出具的有效期内的节能认证证书原件的扫描件。</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2.2本次采购的产品如是列入《环境标志产品政府采购品目清单》内的环境标志产品，需要享受价格扣除或加分的政策的，须填写《环境标志产品报价说明表》，格式见附件，填写要求按附件中表下附注。</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要求提供的环境标志产品认证证书，是指由市场监管总局《关于发布参与实施政府采购节能产品、环境标志产品认证机构名录的公告》 2019 年第 16 号文件公布的机构出具的有效期内的环境标志产品认证证书原件的扫描件。</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3、对农副产品的采购项目，政府优先采购贫困地区的农副产品，供应商在响应文件中声明原产地，招标代理机构在评标时通过国务院相关网站提供相关证据。</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对注册地在 832 个国家级贫困县域内，且聘用建档立卡贫困人员达到公司员工（含服务外包用工）30%以上的物业公司在物业政府采购时优先采购，物业公司出具贫困县物业公司声明，格式自拟，并附贫困人员卡。</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4、政府采购项目，支持监狱企业、中小企业发展，支持残疾人就业。</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4.1</w:t>
            </w:r>
            <w:r>
              <w:rPr>
                <w:rFonts w:hint="eastAsia" w:eastAsia="宋体"/>
                <w:highlight w:val="none"/>
                <w:lang w:eastAsia="zh-CN"/>
              </w:rPr>
              <w:tab/>
            </w:r>
            <w:r>
              <w:rPr>
                <w:rFonts w:hint="eastAsia" w:eastAsia="宋体"/>
                <w:highlight w:val="none"/>
                <w:lang w:eastAsia="zh-CN"/>
              </w:rPr>
              <w:t>供应商为监狱企业或所报产品为监狱企业产品并需要价格扣除的，应当提供省级以上监狱管理局、戒毒管理局（含新疆生产建设兵团）出具的属于监狱企业的证明文件原件的扫描件加盖公章，并且填写《监狱企业、小型和微型企业、残疾人福利性单位产品报价说明表》（格式见响应文件附件，填写要求按附件中表下附注）。</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4.2</w:t>
            </w:r>
            <w:r>
              <w:rPr>
                <w:rFonts w:hint="eastAsia" w:eastAsia="宋体"/>
                <w:highlight w:val="none"/>
                <w:lang w:eastAsia="zh-CN"/>
              </w:rPr>
              <w:tab/>
            </w:r>
            <w:r>
              <w:rPr>
                <w:rFonts w:hint="eastAsia" w:eastAsia="宋体"/>
                <w:highlight w:val="none"/>
                <w:lang w:eastAsia="zh-CN"/>
              </w:rPr>
              <w:t>政府采购活动中，供应商提供的货物、工程或者服务符合下列情形的，享受中小企业扶持政策：</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4.2.1货物采购项目中，货物由中小企业制造，即货物由中小企业生产且使用该中小企业商号或者注册商标。</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4.2.2在工程采购项目中，工程由中小企业承建，即工程施工单位为中小企业。</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4.2.3在服务采购项目中，服务由中小企业承接，即提供服务的人员为中小企业依照《</w:t>
            </w:r>
            <w:r>
              <w:rPr>
                <w:rFonts w:hint="eastAsia"/>
                <w:highlight w:val="none"/>
                <w:lang w:eastAsia="zh-CN"/>
              </w:rPr>
              <w:t>中华人民共和国劳动合同法</w:t>
            </w:r>
            <w:r>
              <w:rPr>
                <w:rFonts w:hint="eastAsia" w:eastAsia="宋体"/>
                <w:highlight w:val="none"/>
                <w:lang w:eastAsia="zh-CN"/>
              </w:rPr>
              <w:t>》订立劳动合同的从业人员。</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4.2.4在货物采购项目中，供应商提供的货物既有中小企业制造货物，也有大型企业制造货物的，不享受《政府采购促进中小企业发展管理办法》（财库﹝2020﹞46 号）规定的中小企业扶持政策。</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4.2.5以联合体形式参加政府采购活动，联合体各方均为中小企业的，联合体视同中小企业。其中，联合体各方均为小微企业，联合体视同小微企业。</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4.2.6组成联合体或者接受分包的小微企业与联合体内其他企业、分包企业之间存在直接控股、管理关系的，不享受价格扣除优惠政策。</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4.2.7对于经主管预算单位统筹后未预留份额专门面向中小企业采购的采购项目，以及预留份额项目中的非预留部分采购包采购人、采购代理机构应当对符合《政府采购促进中小企业发展管理办法》（财库﹝2020﹞46 号）规定的小微企业报价给予 10%（工程项目为5%）的扣除，用扣除后的价格参加评审。适用招标投标法的政府采购工程建设项目，采用综合评估法但未采用低价优先法计算价格分的，评标时应当在采用原报价进行评分的基础上增加其价格得分的 3%作为其价格分。中小企业参加政府采购活动， 应当出具《中小企业声明函》，并且填写《监狱企业、小型和微型企业、残疾人福利性单位产品报价说明表》（格式见响应文件附件，填写要求按附件中表下附注），否则不得享受相关中小企业扶持政策。</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4.2.8接受大中型企业与小微企业组成联合体或者允许大中型企业向一家或者多家小微企业分包的采购项目，对于联合协议或者分包意向协议约定小微企业的合同份额占到合同总金额30% 以上的，采购人、采购代理机构应当对联合体或者大中型企业的报价给予2%（工程项目为1%）的扣除，用扣除后的价格参加评审适用招标投标法的政府采购工程建设项目，采用综合评估法但未采用低价优先法计算价格分的，评标时应当在采用原报价进行评分的基础上增加其价格得分的 1%作为其价格分。</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4.2.9价格扣除比例对小型企业和微型企业同等对待，不作区分。</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4.3 按照《财政部 民政部 中国残疾人联合会关于促进残疾人就业政府采购政策的通知》（财库〔2017〕141 号）的规定，在政府采购活动中，残疾人福利性单位视同小型、微型企业，享受评审中价格扣除的政府采购政策。如供应商为残疾人福利性单位，</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应当提供《残疾人福利性单位声明函》（格式见响应文件附件）</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5、 政策优惠说明：</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5.1对监狱企业生产的制服、消防设备和特种车辆产品评审价格折扣 8%，监狱企业其他产品、小型企业、微型企业、残疾人福利性单位的产品评审价格折扣均为 6%；</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联合协议中约定，小型、微型企业的协议合同金额占到联合体协议合同总金额 30%以上的，可给予联合体 2%的价格扣除。</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联合体各方均为小型、微型企业的，联合体视同为小型、 微型企业评审价格折扣为6%。</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生产商既是监狱企业， 又属小型企业或微型企业或残疾人福利性单位的不重复折扣。</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5.2 对环境标志产品和节能产品评审加分：</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①在价格评标项中，对节能、环境标志产品分别给予价格评标总分值的 4%的加分；</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②在技术评标项中，对节能、环境标志产品分别给予技术评标总分值的 4%的加分。</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产品既是环境标志产品，又是节能产品的均予加分， 其中节能产品加分时不含强制节能产品。</w:t>
            </w:r>
          </w:p>
          <w:p>
            <w:pPr>
              <w:pStyle w:val="67"/>
              <w:keepNext w:val="0"/>
              <w:keepLines w:val="0"/>
              <w:widowControl/>
              <w:suppressLineNumbers w:val="0"/>
              <w:spacing w:before="0" w:beforeAutospacing="0" w:after="0" w:afterAutospacing="0" w:line="360" w:lineRule="auto"/>
              <w:ind w:left="0" w:right="0"/>
              <w:rPr>
                <w:rFonts w:hint="eastAsia" w:eastAsia="宋体"/>
                <w:highlight w:val="none"/>
                <w:lang w:eastAsia="zh-CN"/>
              </w:rPr>
            </w:pPr>
            <w:r>
              <w:rPr>
                <w:rFonts w:hint="eastAsia" w:eastAsia="宋体"/>
                <w:highlight w:val="none"/>
                <w:lang w:eastAsia="zh-CN"/>
              </w:rPr>
              <w:t>最终得分=综合得分+对环境标志产品和节能产品加分。</w:t>
            </w:r>
          </w:p>
          <w:p>
            <w:pPr>
              <w:pStyle w:val="67"/>
              <w:keepNext w:val="0"/>
              <w:keepLines w:val="0"/>
              <w:widowControl/>
              <w:suppressLineNumbers w:val="0"/>
              <w:spacing w:before="0" w:beforeAutospacing="0" w:after="0" w:afterAutospacing="0" w:line="360" w:lineRule="auto"/>
              <w:ind w:left="0" w:right="0"/>
              <w:rPr>
                <w:rFonts w:hint="eastAsia" w:eastAsia="宋体"/>
                <w:color w:val="auto"/>
                <w:highlight w:val="none"/>
                <w:lang w:eastAsia="zh-CN"/>
              </w:rPr>
            </w:pPr>
            <w:r>
              <w:rPr>
                <w:rFonts w:hint="eastAsia" w:eastAsia="宋体"/>
                <w:highlight w:val="none"/>
                <w:lang w:eastAsia="zh-CN"/>
              </w:rPr>
              <w:t>5.3在农副产品采购时，等条件下优先采购来自全国贫困县的产品。在物</w:t>
            </w:r>
            <w:r>
              <w:rPr>
                <w:rFonts w:hint="eastAsia" w:eastAsia="宋体"/>
                <w:color w:val="auto"/>
                <w:highlight w:val="none"/>
                <w:lang w:eastAsia="zh-CN"/>
              </w:rPr>
              <w:t>业服务采购时，同等条件下来自全国贫困县的供应商优先成交。</w:t>
            </w:r>
          </w:p>
          <w:p>
            <w:pPr>
              <w:keepNext w:val="0"/>
              <w:keepLines w:val="0"/>
              <w:suppressLineNumbers w:val="0"/>
              <w:spacing w:before="0" w:beforeAutospacing="0" w:after="0" w:afterAutospacing="0" w:line="360" w:lineRule="auto"/>
              <w:ind w:left="0" w:right="0" w:firstLine="480" w:firstLineChars="200"/>
              <w:rPr>
                <w:rFonts w:hint="eastAsia" w:ascii="宋体" w:hAnsi="宋体" w:cs="Times New Roman"/>
                <w:bCs/>
                <w:color w:val="auto"/>
                <w:sz w:val="24"/>
                <w:szCs w:val="24"/>
                <w:highlight w:val="none"/>
                <w:lang w:val="zh-CN"/>
              </w:rPr>
            </w:pPr>
            <w:r>
              <w:rPr>
                <w:rFonts w:hint="eastAsia" w:ascii="宋体" w:hAnsi="宋体" w:eastAsia="宋体" w:cs="Times New Roman"/>
                <w:kern w:val="0"/>
                <w:sz w:val="24"/>
                <w:szCs w:val="24"/>
                <w:highlight w:val="none"/>
                <w:lang w:val="en-US" w:eastAsia="zh-CN" w:bidi="ar-SA"/>
              </w:rPr>
              <w:t>本项目标的所需行业：其他未列明行业。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34</w:t>
            </w:r>
          </w:p>
        </w:tc>
        <w:tc>
          <w:tcPr>
            <w:tcW w:w="2160" w:type="dxa"/>
            <w:noWrap w:val="0"/>
            <w:vAlign w:val="center"/>
          </w:tcPr>
          <w:p>
            <w:pPr>
              <w:pStyle w:val="39"/>
              <w:keepNext w:val="0"/>
              <w:keepLines w:val="0"/>
              <w:suppressLineNumbers w:val="0"/>
              <w:spacing w:before="0" w:beforeAutospacing="0" w:after="0" w:afterAutospacing="0" w:line="360" w:lineRule="auto"/>
              <w:ind w:left="0" w:right="0"/>
              <w:jc w:val="center"/>
              <w:rPr>
                <w:rFonts w:hint="eastAsia" w:hAnsi="宋体" w:cs="宋体"/>
                <w:b/>
                <w:color w:val="auto"/>
                <w:sz w:val="24"/>
                <w:szCs w:val="24"/>
                <w:highlight w:val="none"/>
              </w:rPr>
            </w:pPr>
            <w:r>
              <w:rPr>
                <w:rFonts w:hint="eastAsia" w:hAnsi="宋体" w:cs="宋体"/>
                <w:b/>
                <w:szCs w:val="24"/>
                <w:highlight w:val="none"/>
              </w:rPr>
              <w:t>山东省政府采购合同融资与履约保函服务平台</w:t>
            </w:r>
          </w:p>
        </w:tc>
        <w:tc>
          <w:tcPr>
            <w:tcW w:w="7021" w:type="dxa"/>
            <w:noWrap w:val="0"/>
            <w:vAlign w:val="center"/>
          </w:tcPr>
          <w:p>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jc w:val="left"/>
              <w:rPr>
                <w:rFonts w:hint="eastAsia"/>
                <w:sz w:val="24"/>
                <w:szCs w:val="24"/>
                <w:highlight w:val="none"/>
              </w:rPr>
            </w:pPr>
            <w:r>
              <w:rPr>
                <w:rFonts w:hint="eastAsia"/>
                <w:sz w:val="24"/>
                <w:szCs w:val="24"/>
                <w:highlight w:val="none"/>
              </w:rPr>
              <w:t>为进一步优化政府采购营商环境，充分利用政府采购合同的信用价值以及在政府采购活动中形成的数据价值，有效破解中小企业融资难融资贵问题，省财政厅牵头开发了“山东省政府采购合同融资与履约保函服务平台”。如下图：</w:t>
            </w:r>
          </w:p>
          <w:p>
            <w:pPr>
              <w:keepNext w:val="0"/>
              <w:keepLines w:val="0"/>
              <w:pageBreakBefore w:val="0"/>
              <w:suppressLineNumbers w:val="0"/>
              <w:kinsoku/>
              <w:wordWrap/>
              <w:overflowPunct/>
              <w:topLinePunct w:val="0"/>
              <w:bidi w:val="0"/>
              <w:spacing w:before="0" w:beforeAutospacing="0" w:after="0" w:afterAutospacing="0" w:line="360" w:lineRule="auto"/>
              <w:ind w:left="0" w:right="0" w:firstLine="420" w:firstLineChars="200"/>
              <w:jc w:val="left"/>
              <w:rPr>
                <w:rFonts w:hint="default"/>
                <w:sz w:val="24"/>
                <w:szCs w:val="24"/>
                <w:highlight w:val="none"/>
              </w:rPr>
            </w:pPr>
            <w:r>
              <w:rPr>
                <w:rFonts w:hint="default"/>
                <w:szCs w:val="20"/>
                <w:highlight w:val="none"/>
              </w:rPr>
              <w:drawing>
                <wp:inline distT="0" distB="0" distL="114300" distR="114300">
                  <wp:extent cx="2371725" cy="2381250"/>
                  <wp:effectExtent l="0" t="0" r="952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4"/>
                          <a:stretch>
                            <a:fillRect/>
                          </a:stretch>
                        </pic:blipFill>
                        <pic:spPr>
                          <a:xfrm>
                            <a:off x="0" y="0"/>
                            <a:ext cx="2371725" cy="2381250"/>
                          </a:xfrm>
                          <a:prstGeom prst="rect">
                            <a:avLst/>
                          </a:prstGeom>
                          <a:noFill/>
                          <a:ln>
                            <a:noFill/>
                          </a:ln>
                        </pic:spPr>
                      </pic:pic>
                    </a:graphicData>
                  </a:graphic>
                </wp:inline>
              </w:drawing>
            </w:r>
          </w:p>
          <w:p>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jc w:val="left"/>
              <w:rPr>
                <w:rFonts w:hint="eastAsia"/>
                <w:sz w:val="24"/>
                <w:szCs w:val="24"/>
                <w:highlight w:val="none"/>
              </w:rPr>
            </w:pPr>
            <w:r>
              <w:rPr>
                <w:rFonts w:hint="eastAsia"/>
                <w:sz w:val="24"/>
                <w:szCs w:val="24"/>
                <w:highlight w:val="none"/>
              </w:rPr>
              <w:t>供应商通过手机扫描二维码或关注微信公众号“山东政采贷”，进入融资平台手机端。</w:t>
            </w:r>
          </w:p>
          <w:p>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jc w:val="left"/>
              <w:rPr>
                <w:rFonts w:hint="eastAsia"/>
                <w:sz w:val="24"/>
                <w:szCs w:val="24"/>
                <w:highlight w:val="none"/>
              </w:rPr>
            </w:pPr>
            <w:r>
              <w:rPr>
                <w:rFonts w:hint="eastAsia"/>
                <w:sz w:val="24"/>
                <w:szCs w:val="24"/>
                <w:highlight w:val="none"/>
              </w:rPr>
              <w:t>供应商申请融资，分三步走：</w:t>
            </w:r>
          </w:p>
          <w:p>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jc w:val="left"/>
              <w:rPr>
                <w:rFonts w:hint="eastAsia"/>
                <w:sz w:val="24"/>
                <w:szCs w:val="24"/>
                <w:highlight w:val="none"/>
              </w:rPr>
            </w:pPr>
            <w:r>
              <w:rPr>
                <w:rFonts w:hint="eastAsia"/>
                <w:sz w:val="24"/>
                <w:szCs w:val="24"/>
                <w:highlight w:val="none"/>
              </w:rPr>
              <w:t>第一步：登录平台。</w:t>
            </w:r>
          </w:p>
          <w:p>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jc w:val="left"/>
              <w:rPr>
                <w:rFonts w:hint="eastAsia"/>
                <w:sz w:val="24"/>
                <w:szCs w:val="24"/>
                <w:highlight w:val="none"/>
              </w:rPr>
            </w:pPr>
            <w:r>
              <w:rPr>
                <w:rFonts w:hint="eastAsia"/>
                <w:sz w:val="24"/>
                <w:szCs w:val="24"/>
                <w:highlight w:val="none"/>
              </w:rPr>
              <w:t>第二步：填写基本资料，包括公司名称、代码、法人、开户银行等，尽量填全。</w:t>
            </w:r>
          </w:p>
          <w:p>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jc w:val="left"/>
              <w:rPr>
                <w:rFonts w:hint="eastAsia"/>
                <w:sz w:val="24"/>
                <w:szCs w:val="24"/>
                <w:highlight w:val="none"/>
              </w:rPr>
            </w:pPr>
            <w:r>
              <w:rPr>
                <w:rFonts w:hint="eastAsia"/>
                <w:sz w:val="24"/>
                <w:szCs w:val="24"/>
                <w:highlight w:val="none"/>
              </w:rPr>
              <w:t>第三步：发起融资申请，包括本次融资金额等，提交。系统会提示您申请成功。</w:t>
            </w:r>
          </w:p>
          <w:p>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jc w:val="left"/>
              <w:rPr>
                <w:rFonts w:hint="eastAsia"/>
                <w:sz w:val="24"/>
                <w:szCs w:val="24"/>
                <w:highlight w:val="none"/>
              </w:rPr>
            </w:pPr>
            <w:r>
              <w:rPr>
                <w:rFonts w:hint="eastAsia"/>
                <w:sz w:val="24"/>
                <w:szCs w:val="24"/>
                <w:highlight w:val="none"/>
              </w:rPr>
              <w:t>友情提示：左侧菜单完善信用信息条目，供应商查看自身公开信用画像信息，检查信息准确性，若发现存在可能影响融资的信息可以申请进行修复。</w:t>
            </w:r>
          </w:p>
          <w:p>
            <w:pPr>
              <w:keepNext w:val="0"/>
              <w:keepLines w:val="0"/>
              <w:suppressLineNumbers w:val="0"/>
              <w:spacing w:before="0" w:beforeAutospacing="0" w:after="0" w:afterAutospacing="0" w:line="360" w:lineRule="auto"/>
              <w:ind w:left="0" w:right="0" w:firstLine="480" w:firstLineChars="200"/>
              <w:rPr>
                <w:rFonts w:hint="eastAsia" w:ascii="宋体" w:hAnsi="宋体" w:eastAsia="宋体" w:cs="Times New Roman"/>
                <w:kern w:val="0"/>
                <w:sz w:val="24"/>
                <w:szCs w:val="24"/>
                <w:highlight w:val="none"/>
                <w:lang w:val="en-US" w:eastAsia="zh-CN" w:bidi="ar-SA"/>
              </w:rPr>
            </w:pPr>
            <w:r>
              <w:rPr>
                <w:rFonts w:hint="eastAsia"/>
                <w:sz w:val="24"/>
                <w:szCs w:val="24"/>
                <w:highlight w:val="none"/>
              </w:rPr>
              <w:t>融资平台的服务对象，是在“山东省政府采购信息公开平台”注册登记或参与我省政府采购活动的供应商。借助山东省信用金桥中小企业发展服务有限公司专业优势，利用互联网大数据等现代信息技术，充分发挥全省政府性融资担保机构的“增信”、“分险”作用，广开融资渠道，创新融资模式，为服务对象提供政府采购合同融资、担保和保函等各类融资服务。</w:t>
            </w:r>
          </w:p>
        </w:tc>
      </w:tr>
    </w:tbl>
    <w:p>
      <w:pPr>
        <w:spacing w:line="500" w:lineRule="exact"/>
        <w:rPr>
          <w:b/>
          <w:sz w:val="24"/>
          <w:szCs w:val="24"/>
        </w:rPr>
      </w:pPr>
      <w:r>
        <w:rPr>
          <w:b/>
          <w:sz w:val="24"/>
          <w:szCs w:val="24"/>
        </w:rPr>
        <w:t>一、适用范围</w:t>
      </w:r>
    </w:p>
    <w:p>
      <w:pPr>
        <w:spacing w:line="500" w:lineRule="exact"/>
        <w:ind w:firstLine="480" w:firstLineChars="200"/>
        <w:rPr>
          <w:sz w:val="24"/>
          <w:szCs w:val="24"/>
        </w:rPr>
      </w:pPr>
      <w:r>
        <w:rPr>
          <w:sz w:val="24"/>
          <w:szCs w:val="24"/>
        </w:rPr>
        <w:t>本招标文件仅适用于本次招标公告中所叙述的项目。投标人应当按照本招标文件的要求进行投标。</w:t>
      </w:r>
    </w:p>
    <w:p>
      <w:pPr>
        <w:tabs>
          <w:tab w:val="center" w:pos="4156"/>
        </w:tabs>
        <w:spacing w:line="500" w:lineRule="exact"/>
        <w:rPr>
          <w:b/>
          <w:sz w:val="24"/>
          <w:szCs w:val="24"/>
        </w:rPr>
      </w:pPr>
      <w:r>
        <w:rPr>
          <w:b/>
          <w:sz w:val="24"/>
          <w:szCs w:val="24"/>
        </w:rPr>
        <w:t>二、总则</w:t>
      </w:r>
    </w:p>
    <w:p>
      <w:pPr>
        <w:spacing w:line="500" w:lineRule="exact"/>
        <w:rPr>
          <w:sz w:val="24"/>
          <w:szCs w:val="24"/>
        </w:rPr>
      </w:pPr>
      <w:r>
        <w:rPr>
          <w:sz w:val="24"/>
          <w:szCs w:val="24"/>
        </w:rPr>
        <w:t>（一）定义</w:t>
      </w:r>
    </w:p>
    <w:p>
      <w:pPr>
        <w:spacing w:line="500" w:lineRule="exact"/>
        <w:ind w:firstLine="480" w:firstLineChars="200"/>
        <w:rPr>
          <w:sz w:val="24"/>
          <w:szCs w:val="24"/>
          <w:u w:val="single"/>
          <w:shd w:val="clear" w:color="auto" w:fill="FFFF00"/>
        </w:rPr>
      </w:pPr>
      <w:r>
        <w:rPr>
          <w:sz w:val="24"/>
          <w:szCs w:val="24"/>
        </w:rPr>
        <w:t>1、“</w:t>
      </w:r>
      <w:r>
        <w:rPr>
          <w:rFonts w:hint="eastAsia"/>
          <w:sz w:val="24"/>
          <w:szCs w:val="24"/>
          <w:lang w:eastAsia="zh-CN"/>
        </w:rPr>
        <w:t>招标</w:t>
      </w:r>
      <w:r>
        <w:rPr>
          <w:sz w:val="24"/>
          <w:szCs w:val="24"/>
        </w:rPr>
        <w:t>人”系指</w:t>
      </w:r>
      <w:r>
        <w:rPr>
          <w:rFonts w:hint="eastAsia"/>
          <w:sz w:val="24"/>
          <w:szCs w:val="24"/>
          <w:lang w:eastAsia="zh-CN"/>
        </w:rPr>
        <w:t>聊城市教育和体育局</w:t>
      </w:r>
      <w:r>
        <w:rPr>
          <w:sz w:val="24"/>
          <w:szCs w:val="24"/>
        </w:rPr>
        <w:t>。</w:t>
      </w:r>
    </w:p>
    <w:p>
      <w:pPr>
        <w:spacing w:line="500" w:lineRule="exact"/>
        <w:ind w:firstLine="480" w:firstLineChars="200"/>
        <w:rPr>
          <w:sz w:val="24"/>
          <w:szCs w:val="24"/>
        </w:rPr>
      </w:pPr>
      <w:r>
        <w:rPr>
          <w:sz w:val="24"/>
          <w:szCs w:val="24"/>
        </w:rPr>
        <w:t>2、“</w:t>
      </w:r>
      <w:r>
        <w:rPr>
          <w:rFonts w:hint="eastAsia"/>
          <w:sz w:val="24"/>
          <w:szCs w:val="24"/>
          <w:lang w:eastAsia="zh-CN"/>
        </w:rPr>
        <w:t>招标</w:t>
      </w:r>
      <w:r>
        <w:rPr>
          <w:sz w:val="24"/>
          <w:szCs w:val="24"/>
        </w:rPr>
        <w:t>代理机构”系指</w:t>
      </w:r>
      <w:r>
        <w:rPr>
          <w:rFonts w:hint="eastAsia"/>
          <w:kern w:val="0"/>
          <w:sz w:val="24"/>
          <w:szCs w:val="24"/>
          <w:lang w:eastAsia="zh-CN"/>
        </w:rPr>
        <w:t>山东众合项目咨询有限公司</w:t>
      </w:r>
      <w:r>
        <w:rPr>
          <w:kern w:val="0"/>
          <w:sz w:val="24"/>
          <w:szCs w:val="24"/>
        </w:rPr>
        <w:t>。</w:t>
      </w:r>
    </w:p>
    <w:p>
      <w:pPr>
        <w:spacing w:line="500" w:lineRule="exact"/>
        <w:ind w:firstLine="480" w:firstLineChars="200"/>
        <w:rPr>
          <w:sz w:val="24"/>
          <w:szCs w:val="24"/>
        </w:rPr>
      </w:pPr>
      <w:r>
        <w:rPr>
          <w:sz w:val="24"/>
          <w:szCs w:val="24"/>
        </w:rPr>
        <w:t>3、“投标人”系指向</w:t>
      </w:r>
      <w:r>
        <w:rPr>
          <w:rFonts w:hint="eastAsia"/>
          <w:sz w:val="24"/>
          <w:szCs w:val="24"/>
          <w:lang w:eastAsia="zh-CN"/>
        </w:rPr>
        <w:t>招标</w:t>
      </w:r>
      <w:r>
        <w:rPr>
          <w:sz w:val="24"/>
          <w:szCs w:val="24"/>
        </w:rPr>
        <w:t>代理机构索取招标文件并提交投标文件的法人或其他组织。</w:t>
      </w:r>
    </w:p>
    <w:p>
      <w:pPr>
        <w:spacing w:line="500" w:lineRule="exact"/>
        <w:ind w:left="2" w:leftChars="1" w:firstLine="480" w:firstLineChars="200"/>
        <w:rPr>
          <w:sz w:val="24"/>
          <w:szCs w:val="24"/>
        </w:rPr>
      </w:pPr>
      <w:r>
        <w:rPr>
          <w:sz w:val="24"/>
          <w:szCs w:val="24"/>
        </w:rPr>
        <w:t>4、“入围投标人”系指经评标委员会初步评审，投标人的各项指标均符合招标文件要求，进入综合评审阶段的投标人。</w:t>
      </w:r>
    </w:p>
    <w:p>
      <w:pPr>
        <w:spacing w:line="500" w:lineRule="exact"/>
        <w:ind w:firstLine="480" w:firstLineChars="200"/>
        <w:rPr>
          <w:sz w:val="24"/>
          <w:szCs w:val="24"/>
        </w:rPr>
      </w:pPr>
      <w:r>
        <w:rPr>
          <w:sz w:val="24"/>
          <w:szCs w:val="24"/>
        </w:rPr>
        <w:t>5、“中标候选人”系指由评标委员会对入围投标人综合评审后，评选出的对招标文件做出实质性响应、综合竞争实力强、报价合理且有能力为</w:t>
      </w:r>
      <w:r>
        <w:rPr>
          <w:rFonts w:hint="eastAsia"/>
          <w:sz w:val="24"/>
          <w:szCs w:val="24"/>
          <w:lang w:eastAsia="zh-CN"/>
        </w:rPr>
        <w:t>招标</w:t>
      </w:r>
      <w:r>
        <w:rPr>
          <w:sz w:val="24"/>
          <w:szCs w:val="24"/>
        </w:rPr>
        <w:t>人提供货物和服务，遵守投标文件和询标时的承诺，赢得或潜在赢得供货合同的投标人。</w:t>
      </w:r>
    </w:p>
    <w:p>
      <w:pPr>
        <w:spacing w:line="500" w:lineRule="exact"/>
        <w:ind w:firstLine="480" w:firstLineChars="200"/>
        <w:rPr>
          <w:b/>
          <w:bCs/>
          <w:sz w:val="24"/>
          <w:szCs w:val="24"/>
        </w:rPr>
      </w:pPr>
      <w:r>
        <w:rPr>
          <w:sz w:val="24"/>
          <w:szCs w:val="24"/>
        </w:rPr>
        <w:t>6、“</w:t>
      </w:r>
      <w:r>
        <w:rPr>
          <w:rFonts w:hint="eastAsia"/>
          <w:sz w:val="24"/>
          <w:szCs w:val="24"/>
          <w:lang w:eastAsia="zh-CN"/>
        </w:rPr>
        <w:t>聊城市县级体育公园智能体育器材配备项目</w:t>
      </w:r>
      <w:r>
        <w:rPr>
          <w:sz w:val="24"/>
          <w:szCs w:val="24"/>
        </w:rPr>
        <w:t>”系指中标人按招标文件和政府采购合同的要求，向</w:t>
      </w:r>
      <w:r>
        <w:rPr>
          <w:rFonts w:hint="eastAsia"/>
          <w:sz w:val="24"/>
          <w:szCs w:val="24"/>
          <w:lang w:eastAsia="zh-CN"/>
        </w:rPr>
        <w:t>招标</w:t>
      </w:r>
      <w:r>
        <w:rPr>
          <w:sz w:val="24"/>
          <w:szCs w:val="24"/>
        </w:rPr>
        <w:t>人提供所需的货物、服务及有关技术资料。</w:t>
      </w:r>
    </w:p>
    <w:p>
      <w:pPr>
        <w:spacing w:line="500" w:lineRule="exact"/>
        <w:ind w:firstLine="480" w:firstLineChars="200"/>
        <w:rPr>
          <w:sz w:val="24"/>
          <w:szCs w:val="24"/>
        </w:rPr>
      </w:pPr>
      <w:r>
        <w:rPr>
          <w:sz w:val="24"/>
          <w:szCs w:val="24"/>
        </w:rPr>
        <w:t>7、“服务”系指招标文件规定投标人须承担的检验、售后服务以及其它相关的义务。</w:t>
      </w:r>
    </w:p>
    <w:p>
      <w:pPr>
        <w:spacing w:line="500" w:lineRule="exact"/>
        <w:rPr>
          <w:sz w:val="24"/>
          <w:szCs w:val="24"/>
        </w:rPr>
      </w:pPr>
      <w:r>
        <w:rPr>
          <w:sz w:val="24"/>
          <w:szCs w:val="24"/>
        </w:rPr>
        <w:t>（二）投标保证金：详见投标须知表中要求。</w:t>
      </w:r>
    </w:p>
    <w:p>
      <w:pPr>
        <w:spacing w:line="500" w:lineRule="exact"/>
        <w:ind w:firstLine="480" w:firstLineChars="200"/>
        <w:rPr>
          <w:sz w:val="24"/>
          <w:szCs w:val="24"/>
        </w:rPr>
      </w:pPr>
      <w:r>
        <w:rPr>
          <w:rFonts w:hint="eastAsia"/>
          <w:sz w:val="24"/>
          <w:szCs w:val="24"/>
        </w:rPr>
        <w:t>投标人因恶意串标、串标、视同串标或使用虚假材料投标、投标截止后撤回投标文件、放弃中标等违反法律法规规章行为，经</w:t>
      </w:r>
      <w:r>
        <w:rPr>
          <w:rFonts w:hint="eastAsia"/>
          <w:sz w:val="24"/>
          <w:szCs w:val="24"/>
          <w:lang w:eastAsia="zh-CN"/>
        </w:rPr>
        <w:t>招标</w:t>
      </w:r>
      <w:r>
        <w:rPr>
          <w:rFonts w:hint="eastAsia"/>
          <w:sz w:val="24"/>
          <w:szCs w:val="24"/>
        </w:rPr>
        <w:t>人决定不予退还的。</w:t>
      </w:r>
    </w:p>
    <w:p>
      <w:pPr>
        <w:spacing w:line="500" w:lineRule="exact"/>
        <w:rPr>
          <w:sz w:val="24"/>
          <w:szCs w:val="24"/>
        </w:rPr>
      </w:pPr>
      <w:r>
        <w:rPr>
          <w:sz w:val="24"/>
          <w:szCs w:val="24"/>
        </w:rPr>
        <w:t>（三）其它</w:t>
      </w:r>
    </w:p>
    <w:p>
      <w:pPr>
        <w:spacing w:line="500" w:lineRule="exact"/>
        <w:ind w:firstLine="480" w:firstLineChars="200"/>
        <w:rPr>
          <w:sz w:val="24"/>
          <w:szCs w:val="24"/>
        </w:rPr>
      </w:pPr>
      <w:r>
        <w:rPr>
          <w:sz w:val="24"/>
          <w:szCs w:val="24"/>
        </w:rPr>
        <w:t>1、无论投标过程中的做法和结果如何，投标人均应自行承担所有与参加投标有关的全部费用。</w:t>
      </w:r>
    </w:p>
    <w:p>
      <w:pPr>
        <w:spacing w:line="500" w:lineRule="exact"/>
        <w:ind w:firstLine="480" w:firstLineChars="200"/>
        <w:rPr>
          <w:sz w:val="24"/>
          <w:szCs w:val="24"/>
        </w:rPr>
      </w:pPr>
      <w:r>
        <w:rPr>
          <w:sz w:val="24"/>
          <w:szCs w:val="24"/>
        </w:rPr>
        <w:t>2、无论投标结果如何，</w:t>
      </w:r>
      <w:r>
        <w:rPr>
          <w:rFonts w:hint="eastAsia"/>
          <w:sz w:val="24"/>
          <w:szCs w:val="24"/>
          <w:lang w:eastAsia="zh-CN"/>
        </w:rPr>
        <w:t>招标</w:t>
      </w:r>
      <w:r>
        <w:rPr>
          <w:sz w:val="24"/>
          <w:szCs w:val="24"/>
        </w:rPr>
        <w:t>人或</w:t>
      </w:r>
      <w:r>
        <w:rPr>
          <w:rFonts w:hint="eastAsia"/>
          <w:sz w:val="24"/>
          <w:szCs w:val="24"/>
          <w:lang w:eastAsia="zh-CN"/>
        </w:rPr>
        <w:t>招标</w:t>
      </w:r>
      <w:r>
        <w:rPr>
          <w:sz w:val="24"/>
          <w:szCs w:val="24"/>
        </w:rPr>
        <w:t>代理机构均无向投标人解释其中标/未中标原因的义务。</w:t>
      </w:r>
    </w:p>
    <w:p>
      <w:pPr>
        <w:spacing w:line="500" w:lineRule="exact"/>
        <w:ind w:firstLine="480" w:firstLineChars="200"/>
        <w:rPr>
          <w:rFonts w:hint="eastAsia" w:eastAsia="宋体"/>
          <w:sz w:val="24"/>
          <w:szCs w:val="24"/>
          <w:lang w:eastAsia="zh-CN"/>
        </w:rPr>
      </w:pPr>
      <w:r>
        <w:rPr>
          <w:sz w:val="24"/>
          <w:szCs w:val="24"/>
        </w:rPr>
        <w:t>3、无论投标结果如何，投标人的投标文件不予退还</w:t>
      </w:r>
      <w:r>
        <w:rPr>
          <w:rFonts w:hint="eastAsia"/>
          <w:sz w:val="24"/>
          <w:szCs w:val="24"/>
          <w:lang w:eastAsia="zh-CN"/>
        </w:rPr>
        <w:t>。</w:t>
      </w:r>
    </w:p>
    <w:p>
      <w:pPr>
        <w:spacing w:line="500" w:lineRule="exact"/>
        <w:ind w:firstLine="480" w:firstLineChars="200"/>
        <w:rPr>
          <w:sz w:val="24"/>
          <w:szCs w:val="24"/>
        </w:rPr>
      </w:pPr>
      <w:r>
        <w:rPr>
          <w:sz w:val="24"/>
          <w:szCs w:val="24"/>
        </w:rPr>
        <w:t>4、无论中标与否，已购买标书的投标人对招标文件负保密责任。</w:t>
      </w:r>
    </w:p>
    <w:p>
      <w:pPr>
        <w:spacing w:line="500" w:lineRule="exact"/>
        <w:ind w:firstLine="480" w:firstLineChars="200"/>
        <w:rPr>
          <w:sz w:val="24"/>
          <w:szCs w:val="24"/>
        </w:rPr>
      </w:pPr>
      <w:r>
        <w:rPr>
          <w:sz w:val="24"/>
          <w:szCs w:val="24"/>
        </w:rPr>
        <w:t>5、投标人对开标有异议的，应当在开标现场提出，</w:t>
      </w:r>
      <w:r>
        <w:rPr>
          <w:rFonts w:hint="eastAsia"/>
          <w:sz w:val="24"/>
          <w:szCs w:val="24"/>
          <w:lang w:eastAsia="zh-CN"/>
        </w:rPr>
        <w:t>招标</w:t>
      </w:r>
      <w:r>
        <w:rPr>
          <w:sz w:val="24"/>
          <w:szCs w:val="24"/>
        </w:rPr>
        <w:t>人应当当场答复，并制作记录。</w:t>
      </w:r>
    </w:p>
    <w:p>
      <w:pPr>
        <w:spacing w:line="500" w:lineRule="exact"/>
        <w:rPr>
          <w:sz w:val="24"/>
          <w:szCs w:val="24"/>
        </w:rPr>
      </w:pPr>
      <w:r>
        <w:rPr>
          <w:bCs/>
          <w:sz w:val="24"/>
          <w:szCs w:val="24"/>
        </w:rPr>
        <w:t>（四）履约保证金：</w:t>
      </w:r>
      <w:r>
        <w:rPr>
          <w:sz w:val="24"/>
          <w:szCs w:val="24"/>
        </w:rPr>
        <w:t>详见投标须知表中要求。</w:t>
      </w:r>
    </w:p>
    <w:p>
      <w:pPr>
        <w:spacing w:line="500" w:lineRule="exact"/>
        <w:rPr>
          <w:b/>
          <w:sz w:val="24"/>
          <w:szCs w:val="24"/>
        </w:rPr>
      </w:pPr>
      <w:r>
        <w:rPr>
          <w:b/>
          <w:sz w:val="24"/>
          <w:szCs w:val="24"/>
        </w:rPr>
        <w:t>三、招标文件说明</w:t>
      </w:r>
    </w:p>
    <w:p>
      <w:pPr>
        <w:spacing w:line="500" w:lineRule="exact"/>
        <w:rPr>
          <w:sz w:val="24"/>
          <w:szCs w:val="24"/>
        </w:rPr>
      </w:pPr>
      <w:r>
        <w:rPr>
          <w:sz w:val="24"/>
          <w:szCs w:val="24"/>
        </w:rPr>
        <w:t>（一）招标文件的组成</w:t>
      </w:r>
    </w:p>
    <w:p>
      <w:pPr>
        <w:pStyle w:val="12"/>
        <w:spacing w:line="500" w:lineRule="exact"/>
        <w:ind w:firstLine="480"/>
        <w:rPr>
          <w:szCs w:val="24"/>
        </w:rPr>
      </w:pPr>
      <w:r>
        <w:rPr>
          <w:szCs w:val="24"/>
        </w:rPr>
        <w:t>1、招标公告；</w:t>
      </w:r>
    </w:p>
    <w:p>
      <w:pPr>
        <w:pStyle w:val="12"/>
        <w:tabs>
          <w:tab w:val="left" w:pos="180"/>
          <w:tab w:val="left" w:pos="360"/>
          <w:tab w:val="left" w:pos="540"/>
        </w:tabs>
        <w:spacing w:line="500" w:lineRule="exact"/>
        <w:ind w:firstLine="480"/>
        <w:rPr>
          <w:szCs w:val="24"/>
        </w:rPr>
      </w:pPr>
      <w:r>
        <w:rPr>
          <w:szCs w:val="24"/>
        </w:rPr>
        <w:t>2、投标人须知；</w:t>
      </w:r>
    </w:p>
    <w:p>
      <w:pPr>
        <w:pStyle w:val="12"/>
        <w:spacing w:line="500" w:lineRule="exact"/>
        <w:ind w:firstLine="480"/>
        <w:rPr>
          <w:szCs w:val="24"/>
        </w:rPr>
      </w:pPr>
      <w:r>
        <w:rPr>
          <w:szCs w:val="24"/>
        </w:rPr>
        <w:t>3、项目说明；</w:t>
      </w:r>
    </w:p>
    <w:p>
      <w:pPr>
        <w:pStyle w:val="12"/>
        <w:spacing w:line="500" w:lineRule="exact"/>
        <w:ind w:firstLine="480"/>
        <w:rPr>
          <w:szCs w:val="24"/>
        </w:rPr>
      </w:pPr>
      <w:r>
        <w:rPr>
          <w:szCs w:val="24"/>
        </w:rPr>
        <w:t>4、开标、评标、定标；</w:t>
      </w:r>
    </w:p>
    <w:p>
      <w:pPr>
        <w:pStyle w:val="12"/>
        <w:spacing w:line="500" w:lineRule="exact"/>
        <w:ind w:firstLine="480"/>
        <w:rPr>
          <w:szCs w:val="24"/>
        </w:rPr>
      </w:pPr>
      <w:r>
        <w:rPr>
          <w:szCs w:val="24"/>
        </w:rPr>
        <w:t>5、合同格式；</w:t>
      </w:r>
    </w:p>
    <w:p>
      <w:pPr>
        <w:pStyle w:val="12"/>
        <w:spacing w:line="500" w:lineRule="exact"/>
        <w:ind w:firstLine="480"/>
        <w:rPr>
          <w:szCs w:val="24"/>
        </w:rPr>
      </w:pPr>
      <w:r>
        <w:rPr>
          <w:szCs w:val="24"/>
        </w:rPr>
        <w:t>6、投标书格式。</w:t>
      </w:r>
    </w:p>
    <w:p>
      <w:pPr>
        <w:spacing w:before="60" w:after="60" w:line="500" w:lineRule="exact"/>
        <w:rPr>
          <w:sz w:val="24"/>
          <w:szCs w:val="24"/>
        </w:rPr>
      </w:pPr>
      <w:r>
        <w:rPr>
          <w:sz w:val="24"/>
          <w:szCs w:val="24"/>
        </w:rPr>
        <w:t>（二）招标文件的修改</w:t>
      </w:r>
    </w:p>
    <w:p>
      <w:pPr>
        <w:spacing w:line="500" w:lineRule="exact"/>
        <w:ind w:left="2" w:leftChars="1" w:firstLine="480" w:firstLineChars="200"/>
        <w:rPr>
          <w:sz w:val="24"/>
          <w:szCs w:val="24"/>
        </w:rPr>
      </w:pPr>
      <w:r>
        <w:rPr>
          <w:sz w:val="24"/>
          <w:szCs w:val="24"/>
        </w:rPr>
        <w:t>1、</w:t>
      </w:r>
      <w:r>
        <w:rPr>
          <w:rFonts w:hint="eastAsia"/>
          <w:sz w:val="24"/>
          <w:szCs w:val="24"/>
          <w:lang w:eastAsia="zh-CN"/>
        </w:rPr>
        <w:t>招标</w:t>
      </w:r>
      <w:r>
        <w:rPr>
          <w:sz w:val="24"/>
          <w:szCs w:val="24"/>
        </w:rPr>
        <w:t>代理机构对招标文件必要的澄清或修改：详见投标人须知；</w:t>
      </w:r>
    </w:p>
    <w:p>
      <w:pPr>
        <w:spacing w:line="500" w:lineRule="exact"/>
        <w:ind w:left="2" w:leftChars="1" w:firstLine="480" w:firstLineChars="200"/>
        <w:rPr>
          <w:sz w:val="24"/>
          <w:szCs w:val="24"/>
        </w:rPr>
      </w:pPr>
      <w:r>
        <w:rPr>
          <w:sz w:val="24"/>
          <w:szCs w:val="24"/>
        </w:rPr>
        <w:t>2、为使投标人有足够的时间按照招标文件的修改要求考虑修正投标文件，</w:t>
      </w:r>
      <w:r>
        <w:rPr>
          <w:rFonts w:hint="eastAsia"/>
          <w:sz w:val="24"/>
          <w:szCs w:val="24"/>
          <w:lang w:eastAsia="zh-CN"/>
        </w:rPr>
        <w:t>招标</w:t>
      </w:r>
      <w:r>
        <w:rPr>
          <w:sz w:val="24"/>
          <w:szCs w:val="24"/>
        </w:rPr>
        <w:t>代理机构可酌情推迟投标的截止日期和开标日期，并将此变更通知上述每一潜在投标人。</w:t>
      </w:r>
    </w:p>
    <w:p>
      <w:pPr>
        <w:spacing w:line="500" w:lineRule="exact"/>
        <w:rPr>
          <w:sz w:val="24"/>
          <w:szCs w:val="24"/>
        </w:rPr>
      </w:pPr>
      <w:r>
        <w:rPr>
          <w:sz w:val="24"/>
          <w:szCs w:val="24"/>
        </w:rPr>
        <w:t>（三）招标文件的澄清</w:t>
      </w:r>
    </w:p>
    <w:p>
      <w:pPr>
        <w:spacing w:line="500" w:lineRule="exact"/>
        <w:ind w:firstLine="480" w:firstLineChars="200"/>
        <w:rPr>
          <w:sz w:val="24"/>
          <w:szCs w:val="24"/>
        </w:rPr>
      </w:pPr>
      <w:r>
        <w:rPr>
          <w:sz w:val="24"/>
          <w:szCs w:val="24"/>
        </w:rPr>
        <w:t>各潜在投标人对招标文件如有疑问可要求澄清，要求澄清的潜在投标人应按照投标须知表规定的时间和方式通知</w:t>
      </w:r>
      <w:r>
        <w:rPr>
          <w:rFonts w:hint="eastAsia"/>
          <w:sz w:val="24"/>
          <w:szCs w:val="24"/>
          <w:lang w:eastAsia="zh-CN"/>
        </w:rPr>
        <w:t>招标</w:t>
      </w:r>
      <w:r>
        <w:rPr>
          <w:sz w:val="24"/>
          <w:szCs w:val="24"/>
        </w:rPr>
        <w:t>代理机构。</w:t>
      </w:r>
      <w:r>
        <w:rPr>
          <w:rFonts w:hint="eastAsia"/>
          <w:sz w:val="24"/>
          <w:szCs w:val="24"/>
          <w:lang w:eastAsia="zh-CN"/>
        </w:rPr>
        <w:t>招标</w:t>
      </w:r>
      <w:r>
        <w:rPr>
          <w:sz w:val="24"/>
          <w:szCs w:val="24"/>
        </w:rPr>
        <w:t>代理机构将视情况确定采用适当的方式予以澄清或以书面形式予以答复，并在其认为必要时，将不标明查询来源的书面答复发给所有购买招标文件的潜在投标人。</w:t>
      </w:r>
    </w:p>
    <w:p>
      <w:pPr>
        <w:spacing w:line="500" w:lineRule="exact"/>
        <w:rPr>
          <w:b/>
          <w:sz w:val="24"/>
          <w:szCs w:val="24"/>
        </w:rPr>
      </w:pPr>
      <w:r>
        <w:rPr>
          <w:b/>
          <w:sz w:val="24"/>
          <w:szCs w:val="24"/>
        </w:rPr>
        <w:t>四、投标文件的编制</w:t>
      </w:r>
    </w:p>
    <w:p>
      <w:pPr>
        <w:spacing w:line="500" w:lineRule="exact"/>
        <w:ind w:firstLine="480" w:firstLineChars="200"/>
        <w:rPr>
          <w:sz w:val="24"/>
          <w:szCs w:val="24"/>
        </w:rPr>
      </w:pPr>
      <w:r>
        <w:rPr>
          <w:sz w:val="24"/>
          <w:szCs w:val="24"/>
        </w:rPr>
        <w:t>投标人应认真阅读招标文件中所有内容，并按照招标文件的要求提供投标文件，保证所提供的全部资料的真实性、准确性，以使其投标对招标文件做出实质性响应。否则，其投标将被视为无效投标。</w:t>
      </w:r>
    </w:p>
    <w:p>
      <w:pPr>
        <w:spacing w:line="500" w:lineRule="exact"/>
        <w:rPr>
          <w:sz w:val="24"/>
          <w:szCs w:val="24"/>
        </w:rPr>
      </w:pPr>
      <w:r>
        <w:rPr>
          <w:sz w:val="24"/>
          <w:szCs w:val="24"/>
        </w:rPr>
        <w:t>（一）投标文件的组成</w:t>
      </w:r>
    </w:p>
    <w:p>
      <w:pPr>
        <w:spacing w:line="500" w:lineRule="exact"/>
        <w:ind w:firstLine="480" w:firstLineChars="200"/>
        <w:rPr>
          <w:sz w:val="24"/>
          <w:szCs w:val="24"/>
        </w:rPr>
      </w:pPr>
      <w:r>
        <w:rPr>
          <w:sz w:val="24"/>
          <w:szCs w:val="24"/>
        </w:rPr>
        <w:t>投标人应按照招标文件的要求编制投标文件，提交包括证明其有资格进行投标和有能力履行合同的文件，内容如下：</w:t>
      </w:r>
    </w:p>
    <w:p>
      <w:pPr>
        <w:spacing w:line="520" w:lineRule="exact"/>
        <w:ind w:firstLine="638" w:firstLineChars="266"/>
        <w:rPr>
          <w:rFonts w:ascii="宋体" w:hAnsi="宋体" w:cs="宋体"/>
          <w:sz w:val="24"/>
          <w:szCs w:val="24"/>
        </w:rPr>
      </w:pPr>
      <w:r>
        <w:rPr>
          <w:rFonts w:hint="eastAsia" w:ascii="宋体" w:hAnsi="宋体" w:cs="宋体"/>
          <w:sz w:val="24"/>
          <w:szCs w:val="24"/>
        </w:rPr>
        <w:t>一、报价一览表</w:t>
      </w:r>
    </w:p>
    <w:p>
      <w:pPr>
        <w:spacing w:line="520" w:lineRule="exact"/>
        <w:ind w:firstLine="638" w:firstLineChars="266"/>
        <w:rPr>
          <w:rFonts w:ascii="宋体" w:hAnsi="宋体" w:cs="宋体"/>
          <w:sz w:val="24"/>
          <w:szCs w:val="24"/>
        </w:rPr>
      </w:pPr>
      <w:r>
        <w:rPr>
          <w:rFonts w:hint="eastAsia" w:ascii="宋体" w:hAnsi="宋体" w:cs="宋体"/>
          <w:sz w:val="24"/>
          <w:szCs w:val="24"/>
        </w:rPr>
        <w:t>二、投标函</w:t>
      </w:r>
    </w:p>
    <w:p>
      <w:pPr>
        <w:spacing w:line="520" w:lineRule="exact"/>
        <w:ind w:firstLine="638" w:firstLineChars="266"/>
        <w:rPr>
          <w:rFonts w:ascii="宋体" w:hAnsi="宋体" w:cs="宋体"/>
          <w:sz w:val="24"/>
          <w:szCs w:val="24"/>
        </w:rPr>
      </w:pPr>
      <w:r>
        <w:rPr>
          <w:rFonts w:hint="eastAsia" w:ascii="宋体" w:hAnsi="宋体" w:cs="宋体"/>
          <w:sz w:val="24"/>
          <w:szCs w:val="24"/>
        </w:rPr>
        <w:t>三、资信标</w:t>
      </w:r>
    </w:p>
    <w:p>
      <w:pPr>
        <w:spacing w:line="520" w:lineRule="exact"/>
        <w:ind w:firstLine="638" w:firstLineChars="266"/>
        <w:rPr>
          <w:rFonts w:ascii="宋体" w:hAnsi="宋体" w:cs="宋体"/>
          <w:sz w:val="24"/>
          <w:szCs w:val="24"/>
        </w:rPr>
      </w:pPr>
      <w:r>
        <w:rPr>
          <w:rFonts w:hint="eastAsia" w:ascii="宋体" w:hAnsi="宋体" w:cs="宋体"/>
          <w:sz w:val="24"/>
          <w:szCs w:val="24"/>
        </w:rPr>
        <w:t>1、法定代表人身份证明</w:t>
      </w:r>
      <w:r>
        <w:rPr>
          <w:rFonts w:hint="eastAsia" w:ascii="宋体" w:hAnsi="宋体" w:cs="宋体"/>
          <w:sz w:val="24"/>
          <w:szCs w:val="24"/>
        </w:rPr>
        <w:tab/>
      </w:r>
    </w:p>
    <w:p>
      <w:pPr>
        <w:spacing w:line="520" w:lineRule="exact"/>
        <w:ind w:firstLine="638" w:firstLineChars="266"/>
        <w:rPr>
          <w:rFonts w:ascii="宋体" w:hAnsi="宋体" w:cs="宋体"/>
          <w:sz w:val="24"/>
          <w:szCs w:val="24"/>
        </w:rPr>
      </w:pPr>
      <w:r>
        <w:rPr>
          <w:rFonts w:hint="eastAsia" w:ascii="宋体" w:hAnsi="宋体" w:cs="宋体"/>
          <w:sz w:val="24"/>
          <w:szCs w:val="24"/>
        </w:rPr>
        <w:t>2、授权委托书</w:t>
      </w:r>
    </w:p>
    <w:p>
      <w:pPr>
        <w:spacing w:line="520" w:lineRule="exact"/>
        <w:ind w:firstLine="638" w:firstLineChars="266"/>
        <w:rPr>
          <w:rFonts w:ascii="宋体" w:hAnsi="宋体" w:cs="宋体"/>
          <w:sz w:val="24"/>
          <w:szCs w:val="24"/>
        </w:rPr>
      </w:pPr>
      <w:r>
        <w:rPr>
          <w:rFonts w:hint="eastAsia" w:ascii="宋体" w:hAnsi="宋体" w:cs="宋体"/>
          <w:sz w:val="24"/>
          <w:szCs w:val="24"/>
        </w:rPr>
        <w:t>3、联合体协议书（本项目不适用）</w:t>
      </w:r>
    </w:p>
    <w:p>
      <w:pPr>
        <w:spacing w:line="520" w:lineRule="exact"/>
        <w:ind w:firstLine="638" w:firstLineChars="266"/>
        <w:rPr>
          <w:rFonts w:ascii="宋体" w:hAnsi="宋体" w:cs="宋体"/>
          <w:sz w:val="24"/>
          <w:szCs w:val="24"/>
        </w:rPr>
      </w:pPr>
      <w:r>
        <w:rPr>
          <w:rFonts w:hint="eastAsia" w:ascii="宋体" w:hAnsi="宋体" w:cs="宋体"/>
          <w:sz w:val="24"/>
          <w:szCs w:val="24"/>
        </w:rPr>
        <w:t>4、资格审查资料</w:t>
      </w:r>
    </w:p>
    <w:p>
      <w:pPr>
        <w:spacing w:line="520" w:lineRule="exact"/>
        <w:ind w:firstLine="638" w:firstLineChars="266"/>
        <w:rPr>
          <w:rFonts w:ascii="宋体" w:hAnsi="宋体" w:cs="宋体"/>
          <w:sz w:val="24"/>
          <w:szCs w:val="24"/>
        </w:rPr>
      </w:pPr>
      <w:r>
        <w:rPr>
          <w:rFonts w:hint="eastAsia" w:ascii="宋体" w:hAnsi="宋体" w:cs="宋体"/>
          <w:sz w:val="24"/>
          <w:szCs w:val="24"/>
        </w:rPr>
        <w:t>4.1投标人基本情况表</w:t>
      </w:r>
    </w:p>
    <w:p>
      <w:pPr>
        <w:spacing w:line="520" w:lineRule="exact"/>
        <w:ind w:firstLine="638" w:firstLineChars="266"/>
        <w:rPr>
          <w:rFonts w:ascii="宋体" w:hAnsi="宋体" w:cs="宋体"/>
          <w:sz w:val="24"/>
          <w:szCs w:val="24"/>
        </w:rPr>
      </w:pPr>
      <w:r>
        <w:rPr>
          <w:rFonts w:hint="eastAsia" w:ascii="宋体" w:hAnsi="宋体" w:cs="宋体"/>
          <w:sz w:val="24"/>
          <w:szCs w:val="24"/>
        </w:rPr>
        <w:t>4.2需要说明的其它材料</w:t>
      </w:r>
    </w:p>
    <w:p>
      <w:pPr>
        <w:spacing w:line="520" w:lineRule="exact"/>
        <w:ind w:firstLine="638" w:firstLineChars="266"/>
        <w:rPr>
          <w:rFonts w:ascii="宋体" w:hAnsi="宋体" w:cs="宋体"/>
          <w:sz w:val="24"/>
          <w:szCs w:val="24"/>
        </w:rPr>
      </w:pPr>
      <w:r>
        <w:rPr>
          <w:rFonts w:hint="eastAsia" w:ascii="宋体" w:hAnsi="宋体" w:cs="宋体"/>
          <w:sz w:val="24"/>
          <w:szCs w:val="24"/>
        </w:rPr>
        <w:t>5、近年来完成业绩</w:t>
      </w:r>
    </w:p>
    <w:p>
      <w:pPr>
        <w:spacing w:line="520" w:lineRule="exact"/>
        <w:ind w:firstLine="638" w:firstLineChars="266"/>
        <w:rPr>
          <w:rFonts w:ascii="宋体" w:hAnsi="宋体" w:cs="宋体"/>
          <w:sz w:val="24"/>
          <w:szCs w:val="24"/>
        </w:rPr>
      </w:pPr>
      <w:r>
        <w:rPr>
          <w:rFonts w:hint="eastAsia" w:ascii="宋体" w:hAnsi="宋体" w:cs="宋体"/>
          <w:sz w:val="24"/>
          <w:szCs w:val="24"/>
        </w:rPr>
        <w:t>6、商务和技术偏差表</w:t>
      </w:r>
    </w:p>
    <w:p>
      <w:pPr>
        <w:spacing w:line="520" w:lineRule="exact"/>
        <w:ind w:firstLine="638" w:firstLineChars="266"/>
        <w:rPr>
          <w:rFonts w:ascii="宋体" w:hAnsi="宋体" w:cs="宋体"/>
          <w:sz w:val="24"/>
          <w:szCs w:val="24"/>
        </w:rPr>
      </w:pPr>
      <w:r>
        <w:rPr>
          <w:rFonts w:hint="eastAsia" w:ascii="宋体" w:hAnsi="宋体" w:cs="宋体"/>
          <w:sz w:val="24"/>
          <w:szCs w:val="24"/>
        </w:rPr>
        <w:t>四、商务标</w:t>
      </w:r>
    </w:p>
    <w:p>
      <w:pPr>
        <w:spacing w:line="520" w:lineRule="exact"/>
        <w:ind w:firstLine="638" w:firstLineChars="266"/>
        <w:rPr>
          <w:rFonts w:ascii="宋体" w:hAnsi="宋体" w:cs="宋体"/>
          <w:sz w:val="24"/>
          <w:szCs w:val="24"/>
        </w:rPr>
      </w:pPr>
      <w:r>
        <w:rPr>
          <w:rFonts w:hint="eastAsia" w:ascii="宋体" w:hAnsi="宋体" w:cs="宋体"/>
          <w:sz w:val="24"/>
          <w:szCs w:val="24"/>
        </w:rPr>
        <w:t>分项报价表</w:t>
      </w:r>
    </w:p>
    <w:p>
      <w:pPr>
        <w:spacing w:line="520" w:lineRule="exact"/>
        <w:ind w:firstLine="638" w:firstLineChars="266"/>
        <w:rPr>
          <w:rFonts w:ascii="宋体" w:hAnsi="宋体" w:cs="宋体"/>
          <w:sz w:val="24"/>
          <w:szCs w:val="24"/>
        </w:rPr>
      </w:pPr>
      <w:r>
        <w:rPr>
          <w:rFonts w:hint="eastAsia" w:ascii="宋体" w:hAnsi="宋体" w:cs="宋体"/>
          <w:sz w:val="24"/>
          <w:szCs w:val="24"/>
        </w:rPr>
        <w:t>五、技术标</w:t>
      </w:r>
    </w:p>
    <w:p>
      <w:pPr>
        <w:spacing w:line="520" w:lineRule="exact"/>
        <w:ind w:firstLine="638" w:firstLineChars="266"/>
        <w:rPr>
          <w:rFonts w:ascii="宋体" w:hAnsi="宋体" w:cs="宋体"/>
          <w:sz w:val="24"/>
          <w:szCs w:val="24"/>
        </w:rPr>
      </w:pPr>
      <w:r>
        <w:rPr>
          <w:rFonts w:hint="eastAsia" w:ascii="宋体" w:hAnsi="宋体" w:cs="宋体"/>
          <w:sz w:val="24"/>
          <w:szCs w:val="24"/>
        </w:rPr>
        <w:t>六、报价所需其他材料</w:t>
      </w:r>
    </w:p>
    <w:p>
      <w:pPr>
        <w:spacing w:line="500" w:lineRule="exact"/>
        <w:rPr>
          <w:sz w:val="24"/>
          <w:szCs w:val="24"/>
        </w:rPr>
      </w:pPr>
      <w:r>
        <w:rPr>
          <w:sz w:val="24"/>
          <w:szCs w:val="24"/>
        </w:rPr>
        <w:t>（二）投标文件的语言要求及计量单位</w:t>
      </w:r>
    </w:p>
    <w:p>
      <w:pPr>
        <w:spacing w:line="500" w:lineRule="exact"/>
        <w:ind w:firstLine="480" w:firstLineChars="200"/>
        <w:rPr>
          <w:sz w:val="24"/>
          <w:szCs w:val="24"/>
        </w:rPr>
      </w:pPr>
      <w:r>
        <w:rPr>
          <w:sz w:val="24"/>
          <w:szCs w:val="24"/>
        </w:rPr>
        <w:t>1、投标人提交的投标文件及投标人就有关投标的所有来往函电均应使用标准简体中文。投标人可以提交用其他语言印制的资料，但必须译成中文，在有差异和矛盾时以中文材料为准；</w:t>
      </w:r>
    </w:p>
    <w:p>
      <w:pPr>
        <w:spacing w:line="500" w:lineRule="exact"/>
        <w:ind w:firstLine="480" w:firstLineChars="200"/>
        <w:rPr>
          <w:sz w:val="24"/>
          <w:szCs w:val="24"/>
        </w:rPr>
      </w:pPr>
      <w:r>
        <w:rPr>
          <w:sz w:val="24"/>
          <w:szCs w:val="24"/>
        </w:rPr>
        <w:t>2、 除招标文件的技术规格中另有规定外，投标文件中所使用的计量单位须使用中华人民共和国法定计量单位。</w:t>
      </w:r>
    </w:p>
    <w:p>
      <w:pPr>
        <w:spacing w:line="500" w:lineRule="exact"/>
        <w:rPr>
          <w:sz w:val="24"/>
          <w:szCs w:val="24"/>
        </w:rPr>
      </w:pPr>
      <w:r>
        <w:rPr>
          <w:sz w:val="24"/>
          <w:szCs w:val="24"/>
        </w:rPr>
        <w:t>（三）投标文件的格式要求</w:t>
      </w:r>
    </w:p>
    <w:p>
      <w:pPr>
        <w:spacing w:line="500" w:lineRule="exact"/>
        <w:ind w:firstLine="480" w:firstLineChars="200"/>
        <w:rPr>
          <w:sz w:val="24"/>
          <w:szCs w:val="24"/>
        </w:rPr>
      </w:pPr>
      <w:r>
        <w:rPr>
          <w:rFonts w:hint="eastAsia"/>
          <w:sz w:val="24"/>
          <w:szCs w:val="24"/>
        </w:rPr>
        <w:t xml:space="preserve">1、投标文件的份数和签署 </w:t>
      </w:r>
    </w:p>
    <w:p>
      <w:pPr>
        <w:spacing w:line="500" w:lineRule="exact"/>
        <w:ind w:firstLine="480" w:firstLineChars="200"/>
        <w:rPr>
          <w:sz w:val="24"/>
          <w:szCs w:val="24"/>
        </w:rPr>
      </w:pPr>
      <w:r>
        <w:rPr>
          <w:rFonts w:hint="eastAsia"/>
          <w:sz w:val="24"/>
          <w:szCs w:val="24"/>
        </w:rPr>
        <w:t>电子投标文件：加密文件1份，为.lctf文件，在会员系统中上传。</w:t>
      </w:r>
    </w:p>
    <w:p>
      <w:pPr>
        <w:spacing w:line="500" w:lineRule="exact"/>
        <w:ind w:firstLine="480" w:firstLineChars="200"/>
        <w:rPr>
          <w:rFonts w:ascii="宋体" w:hAnsi="宋体" w:cs="宋体"/>
          <w:sz w:val="24"/>
          <w:szCs w:val="24"/>
        </w:rPr>
      </w:pPr>
      <w:r>
        <w:rPr>
          <w:rFonts w:hint="eastAsia" w:ascii="宋体" w:hAnsi="宋体" w:cs="宋体"/>
          <w:sz w:val="24"/>
          <w:szCs w:val="24"/>
          <w:lang w:bidi="ar"/>
        </w:rPr>
        <w:t>电子投标文件签章要求：投标文件封面、投标函及电子招标文件规定的其它应签章处。未按要求进行签章的投标文件，作无效标处理。</w:t>
      </w:r>
    </w:p>
    <w:p>
      <w:pPr>
        <w:spacing w:line="500" w:lineRule="exact"/>
        <w:ind w:firstLine="480" w:firstLineChars="200"/>
        <w:rPr>
          <w:rFonts w:ascii="宋体" w:hAnsi="宋体" w:cs="宋体"/>
          <w:sz w:val="24"/>
          <w:szCs w:val="24"/>
        </w:rPr>
      </w:pPr>
      <w:r>
        <w:rPr>
          <w:rFonts w:hint="eastAsia" w:ascii="宋体" w:hAnsi="宋体" w:cs="宋体"/>
          <w:sz w:val="24"/>
          <w:szCs w:val="24"/>
          <w:lang w:bidi="ar"/>
        </w:rPr>
        <w:t>上述签章处均需使用CA印章进行签章，未按要求进行签章的投标文件，作无效标处理。</w:t>
      </w:r>
    </w:p>
    <w:p>
      <w:pPr>
        <w:spacing w:line="500" w:lineRule="exact"/>
        <w:ind w:firstLine="480" w:firstLineChars="200"/>
        <w:rPr>
          <w:rFonts w:ascii="宋体" w:hAnsi="宋体" w:cs="宋体"/>
          <w:sz w:val="24"/>
          <w:szCs w:val="24"/>
        </w:rPr>
      </w:pPr>
      <w:r>
        <w:rPr>
          <w:rFonts w:hint="eastAsia" w:ascii="宋体" w:hAnsi="宋体" w:cs="宋体"/>
          <w:sz w:val="24"/>
          <w:szCs w:val="24"/>
          <w:lang w:bidi="ar"/>
        </w:rPr>
        <w:t>2、电子投标文件的制作：</w:t>
      </w:r>
    </w:p>
    <w:p>
      <w:pPr>
        <w:spacing w:line="500" w:lineRule="exact"/>
        <w:ind w:firstLine="480" w:firstLineChars="200"/>
        <w:rPr>
          <w:rFonts w:ascii="宋体" w:hAnsi="宋体" w:cs="宋体"/>
          <w:sz w:val="24"/>
          <w:szCs w:val="24"/>
        </w:rPr>
      </w:pPr>
      <w:r>
        <w:rPr>
          <w:rFonts w:hint="eastAsia" w:ascii="宋体" w:hAnsi="宋体" w:cs="宋体"/>
          <w:sz w:val="24"/>
          <w:szCs w:val="24"/>
          <w:lang w:bidi="ar"/>
        </w:rPr>
        <w:t>（1）投标文件制作时，不同内容按标签提示制作导入，按照招标文件中明确的投标文件目录和技术标格式进行编制，保证目录清晰、内容完整。</w:t>
      </w:r>
    </w:p>
    <w:p>
      <w:pPr>
        <w:spacing w:line="500" w:lineRule="exact"/>
        <w:ind w:firstLine="480" w:firstLineChars="200"/>
        <w:rPr>
          <w:rFonts w:ascii="宋体" w:hAnsi="宋体" w:cs="宋体"/>
          <w:sz w:val="24"/>
          <w:szCs w:val="24"/>
        </w:rPr>
      </w:pPr>
      <w:r>
        <w:rPr>
          <w:rFonts w:hint="eastAsia" w:ascii="宋体" w:hAnsi="宋体" w:cs="宋体"/>
          <w:sz w:val="24"/>
          <w:szCs w:val="24"/>
          <w:lang w:bidi="ar"/>
        </w:rPr>
        <w:t>（2）投标人递交的电子投标文件因投标人自身原因而导致无法导入电子辅助评标系统，该投标文件视为无效投标文件。</w:t>
      </w:r>
    </w:p>
    <w:p>
      <w:pPr>
        <w:spacing w:line="500" w:lineRule="exact"/>
        <w:ind w:firstLine="480" w:firstLineChars="200"/>
        <w:rPr>
          <w:rFonts w:ascii="宋体" w:hAnsi="宋体" w:cs="宋体"/>
          <w:sz w:val="24"/>
          <w:szCs w:val="24"/>
        </w:rPr>
      </w:pPr>
      <w:r>
        <w:rPr>
          <w:rFonts w:hint="eastAsia" w:ascii="宋体" w:hAnsi="宋体" w:cs="宋体"/>
          <w:sz w:val="24"/>
          <w:szCs w:val="24"/>
          <w:lang w:bidi="ar"/>
        </w:rPr>
        <w:t>（3）电子招投标文件具有法律效力,与其他形式的招投标文件在内容和格式上等同，若投标文件与招标文件要求不一致，其内容影响中标结果时，责任由投标人自行承担。</w:t>
      </w:r>
    </w:p>
    <w:p>
      <w:pPr>
        <w:spacing w:line="500" w:lineRule="exact"/>
        <w:ind w:firstLine="480" w:firstLineChars="200"/>
        <w:rPr>
          <w:rFonts w:ascii="宋体" w:hAnsi="宋体" w:cs="宋体"/>
          <w:sz w:val="24"/>
          <w:szCs w:val="24"/>
        </w:rPr>
      </w:pPr>
      <w:r>
        <w:rPr>
          <w:rFonts w:hint="eastAsia" w:ascii="宋体" w:hAnsi="宋体" w:cs="宋体"/>
          <w:sz w:val="24"/>
          <w:szCs w:val="24"/>
          <w:lang w:bidi="ar"/>
        </w:rPr>
        <w:t>（4）为了保证电子标书的合法性、安全性和完整性，电子标书转换完成后，应在规定部位加盖投标人单位电子签章和法定代表人CA印章。</w:t>
      </w:r>
    </w:p>
    <w:p>
      <w:pPr>
        <w:spacing w:line="500" w:lineRule="exact"/>
        <w:ind w:firstLine="480" w:firstLineChars="200"/>
        <w:rPr>
          <w:rFonts w:ascii="宋体" w:hAnsi="宋体" w:cs="宋体"/>
          <w:sz w:val="24"/>
          <w:szCs w:val="24"/>
        </w:rPr>
      </w:pPr>
      <w:r>
        <w:rPr>
          <w:rFonts w:hint="eastAsia" w:ascii="宋体" w:hAnsi="宋体" w:cs="宋体"/>
          <w:sz w:val="24"/>
          <w:szCs w:val="24"/>
          <w:lang w:bidi="ar"/>
        </w:rPr>
        <w:t>3、电子盘的制作：</w:t>
      </w:r>
    </w:p>
    <w:p>
      <w:pPr>
        <w:spacing w:line="500" w:lineRule="exact"/>
        <w:ind w:firstLine="480" w:firstLineChars="200"/>
        <w:rPr>
          <w:rFonts w:ascii="宋体" w:hAnsi="宋体" w:cs="宋体"/>
          <w:sz w:val="24"/>
        </w:rPr>
      </w:pPr>
      <w:r>
        <w:rPr>
          <w:rFonts w:hint="eastAsia" w:ascii="宋体" w:hAnsi="宋体" w:cs="宋体"/>
          <w:sz w:val="24"/>
          <w:szCs w:val="24"/>
          <w:lang w:bidi="ar"/>
        </w:rPr>
        <w:t>在递交投标文件的同时，应按投标须知表规定份数，</w:t>
      </w:r>
      <w:r>
        <w:rPr>
          <w:rFonts w:hint="eastAsia" w:ascii="宋体" w:hAnsi="宋体" w:cs="宋体"/>
          <w:sz w:val="24"/>
        </w:rPr>
        <w:t>递交与电子投标文件完全一致的U盘。</w:t>
      </w:r>
    </w:p>
    <w:p>
      <w:pPr>
        <w:spacing w:line="500" w:lineRule="exact"/>
        <w:rPr>
          <w:sz w:val="24"/>
          <w:szCs w:val="24"/>
        </w:rPr>
      </w:pPr>
      <w:r>
        <w:rPr>
          <w:sz w:val="24"/>
          <w:szCs w:val="24"/>
        </w:rPr>
        <w:t>（四）投标报价要求</w:t>
      </w:r>
    </w:p>
    <w:p>
      <w:pPr>
        <w:spacing w:line="500" w:lineRule="exact"/>
        <w:ind w:firstLine="480" w:firstLineChars="200"/>
        <w:rPr>
          <w:rFonts w:hint="eastAsia" w:eastAsia="宋体"/>
          <w:sz w:val="24"/>
          <w:szCs w:val="24"/>
          <w:lang w:eastAsia="zh-CN"/>
        </w:rPr>
      </w:pPr>
      <w:r>
        <w:rPr>
          <w:sz w:val="24"/>
          <w:szCs w:val="24"/>
        </w:rPr>
        <w:t>1、</w:t>
      </w:r>
      <w:r>
        <w:rPr>
          <w:b/>
          <w:sz w:val="24"/>
          <w:szCs w:val="24"/>
        </w:rPr>
        <w:t>报价为一次性报价</w:t>
      </w:r>
      <w:r>
        <w:rPr>
          <w:rFonts w:hint="eastAsia"/>
          <w:b/>
          <w:sz w:val="24"/>
          <w:szCs w:val="24"/>
          <w:lang w:eastAsia="zh-CN"/>
        </w:rPr>
        <w:t>；</w:t>
      </w:r>
    </w:p>
    <w:p>
      <w:pPr>
        <w:spacing w:line="500" w:lineRule="exact"/>
        <w:ind w:firstLine="480" w:firstLineChars="200"/>
        <w:rPr>
          <w:sz w:val="24"/>
          <w:szCs w:val="24"/>
        </w:rPr>
      </w:pPr>
      <w:r>
        <w:rPr>
          <w:sz w:val="24"/>
          <w:szCs w:val="24"/>
        </w:rPr>
        <w:t>2、“开标一览表”不允许涂抹、修改，表中相应内容的报价必须计算正确；如果大写金额与小写金额不一致，以大写为准；</w:t>
      </w:r>
    </w:p>
    <w:p>
      <w:pPr>
        <w:spacing w:line="500" w:lineRule="exact"/>
        <w:ind w:firstLine="480" w:firstLineChars="200"/>
        <w:rPr>
          <w:sz w:val="24"/>
          <w:szCs w:val="24"/>
        </w:rPr>
      </w:pPr>
      <w:r>
        <w:rPr>
          <w:sz w:val="24"/>
          <w:szCs w:val="24"/>
        </w:rPr>
        <w:t>3、投标人必须报出所投货物的单项报价和总价；</w:t>
      </w:r>
    </w:p>
    <w:p>
      <w:pPr>
        <w:spacing w:line="500" w:lineRule="exact"/>
        <w:ind w:firstLine="480" w:firstLineChars="200"/>
        <w:rPr>
          <w:sz w:val="24"/>
          <w:szCs w:val="24"/>
        </w:rPr>
      </w:pPr>
      <w:r>
        <w:rPr>
          <w:sz w:val="24"/>
          <w:szCs w:val="24"/>
        </w:rPr>
        <w:t>4、投标人免费提供的项目，应先写明该项目的实际价格，并注明免费，此项不计入总价或合计价。</w:t>
      </w:r>
    </w:p>
    <w:p>
      <w:pPr>
        <w:spacing w:line="500" w:lineRule="exact"/>
        <w:rPr>
          <w:b/>
          <w:sz w:val="24"/>
          <w:szCs w:val="24"/>
        </w:rPr>
      </w:pPr>
      <w:r>
        <w:rPr>
          <w:b/>
          <w:sz w:val="24"/>
          <w:szCs w:val="24"/>
        </w:rPr>
        <w:t>五、投标文件的递交</w:t>
      </w:r>
    </w:p>
    <w:p>
      <w:pPr>
        <w:spacing w:before="60" w:after="60" w:line="500" w:lineRule="exact"/>
        <w:rPr>
          <w:sz w:val="24"/>
          <w:szCs w:val="24"/>
        </w:rPr>
      </w:pPr>
      <w:r>
        <w:rPr>
          <w:sz w:val="24"/>
          <w:szCs w:val="24"/>
        </w:rPr>
        <w:t>（</w:t>
      </w:r>
      <w:r>
        <w:rPr>
          <w:rFonts w:hint="eastAsia"/>
          <w:sz w:val="24"/>
          <w:szCs w:val="24"/>
          <w:lang w:val="en-US" w:eastAsia="zh-CN"/>
        </w:rPr>
        <w:t>一</w:t>
      </w:r>
      <w:r>
        <w:rPr>
          <w:sz w:val="24"/>
          <w:szCs w:val="24"/>
        </w:rPr>
        <w:t>）投标截止日期</w:t>
      </w:r>
    </w:p>
    <w:p>
      <w:pPr>
        <w:spacing w:line="500" w:lineRule="exact"/>
        <w:ind w:firstLine="480" w:firstLineChars="200"/>
        <w:rPr>
          <w:sz w:val="24"/>
          <w:szCs w:val="24"/>
        </w:rPr>
      </w:pPr>
      <w:r>
        <w:rPr>
          <w:rFonts w:hint="eastAsia"/>
          <w:sz w:val="24"/>
          <w:szCs w:val="24"/>
        </w:rPr>
        <w:t>1、投标文件递交截止时间：详见投标须知表中要求。</w:t>
      </w:r>
    </w:p>
    <w:p>
      <w:pPr>
        <w:spacing w:line="500" w:lineRule="exact"/>
        <w:ind w:firstLine="480" w:firstLineChars="200"/>
        <w:rPr>
          <w:sz w:val="24"/>
          <w:szCs w:val="24"/>
        </w:rPr>
      </w:pPr>
      <w:r>
        <w:rPr>
          <w:rFonts w:hint="eastAsia"/>
          <w:sz w:val="24"/>
          <w:szCs w:val="24"/>
        </w:rPr>
        <w:t>2、投标人代表必须在投标截止时间前将投标文件送达指定地点。如因招标文件的修改，提前或推迟截止时间的，则按</w:t>
      </w:r>
      <w:r>
        <w:rPr>
          <w:rFonts w:hint="eastAsia"/>
          <w:sz w:val="24"/>
          <w:szCs w:val="24"/>
          <w:lang w:eastAsia="zh-CN"/>
        </w:rPr>
        <w:t>招标</w:t>
      </w:r>
      <w:r>
        <w:rPr>
          <w:rFonts w:hint="eastAsia"/>
          <w:sz w:val="24"/>
          <w:szCs w:val="24"/>
        </w:rPr>
        <w:t>代理机构通知的时间递交；</w:t>
      </w:r>
    </w:p>
    <w:p>
      <w:pPr>
        <w:spacing w:line="500" w:lineRule="exact"/>
        <w:ind w:firstLine="480" w:firstLineChars="200"/>
        <w:rPr>
          <w:sz w:val="24"/>
          <w:szCs w:val="24"/>
        </w:rPr>
      </w:pPr>
      <w:r>
        <w:rPr>
          <w:rFonts w:hint="eastAsia"/>
          <w:sz w:val="24"/>
          <w:szCs w:val="24"/>
        </w:rPr>
        <w:t>3、对投标人递交的投标文件不予以退还。</w:t>
      </w:r>
    </w:p>
    <w:p>
      <w:pPr>
        <w:spacing w:before="60" w:after="60" w:line="500" w:lineRule="exact"/>
        <w:rPr>
          <w:sz w:val="24"/>
          <w:szCs w:val="24"/>
        </w:rPr>
      </w:pPr>
      <w:r>
        <w:rPr>
          <w:sz w:val="24"/>
          <w:szCs w:val="24"/>
        </w:rPr>
        <w:t>（</w:t>
      </w:r>
      <w:r>
        <w:rPr>
          <w:rFonts w:hint="eastAsia"/>
          <w:sz w:val="24"/>
          <w:szCs w:val="24"/>
          <w:lang w:val="en-US" w:eastAsia="zh-CN"/>
        </w:rPr>
        <w:t>二</w:t>
      </w:r>
      <w:r>
        <w:rPr>
          <w:sz w:val="24"/>
          <w:szCs w:val="24"/>
        </w:rPr>
        <w:t>）投标文件的处理</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sz w:val="24"/>
          <w:szCs w:val="24"/>
        </w:rPr>
      </w:pPr>
      <w:r>
        <w:rPr>
          <w:sz w:val="24"/>
          <w:szCs w:val="24"/>
        </w:rPr>
        <w:t>逾期送达的投标文件，</w:t>
      </w:r>
      <w:r>
        <w:rPr>
          <w:rFonts w:hint="eastAsia"/>
          <w:sz w:val="24"/>
          <w:szCs w:val="24"/>
          <w:lang w:eastAsia="zh-CN"/>
        </w:rPr>
        <w:t>招标</w:t>
      </w:r>
      <w:r>
        <w:rPr>
          <w:sz w:val="24"/>
          <w:szCs w:val="24"/>
        </w:rPr>
        <w:t>人、</w:t>
      </w:r>
      <w:r>
        <w:rPr>
          <w:rFonts w:hint="eastAsia"/>
          <w:sz w:val="24"/>
          <w:szCs w:val="24"/>
          <w:lang w:eastAsia="zh-CN"/>
        </w:rPr>
        <w:t>招标</w:t>
      </w:r>
      <w:r>
        <w:rPr>
          <w:sz w:val="24"/>
          <w:szCs w:val="24"/>
        </w:rPr>
        <w:t>代理机构应当拒收。</w:t>
      </w:r>
    </w:p>
    <w:p>
      <w:pPr>
        <w:spacing w:before="60" w:after="60" w:line="500" w:lineRule="exact"/>
        <w:rPr>
          <w:sz w:val="24"/>
          <w:szCs w:val="24"/>
        </w:rPr>
      </w:pPr>
      <w:r>
        <w:rPr>
          <w:sz w:val="24"/>
          <w:szCs w:val="24"/>
        </w:rPr>
        <w:t>（</w:t>
      </w:r>
      <w:r>
        <w:rPr>
          <w:rFonts w:hint="eastAsia"/>
          <w:sz w:val="24"/>
          <w:szCs w:val="24"/>
          <w:lang w:val="en-US" w:eastAsia="zh-CN"/>
        </w:rPr>
        <w:t>三</w:t>
      </w:r>
      <w:r>
        <w:rPr>
          <w:sz w:val="24"/>
          <w:szCs w:val="24"/>
        </w:rPr>
        <w:t>）投标文件的修改和撤回</w:t>
      </w:r>
    </w:p>
    <w:p>
      <w:pPr>
        <w:spacing w:line="500" w:lineRule="exact"/>
        <w:ind w:left="2" w:leftChars="1" w:firstLine="480" w:firstLineChars="200"/>
        <w:rPr>
          <w:rFonts w:hint="eastAsia" w:eastAsia="宋体"/>
          <w:sz w:val="24"/>
          <w:szCs w:val="24"/>
          <w:lang w:eastAsia="zh-CN"/>
        </w:rPr>
      </w:pPr>
      <w:r>
        <w:rPr>
          <w:sz w:val="24"/>
          <w:szCs w:val="24"/>
        </w:rPr>
        <w:t>1、投标人在投标截止时间前，可以对所递交的投标文件进行补充、修改或者撤回，并书面通知</w:t>
      </w:r>
      <w:r>
        <w:rPr>
          <w:rFonts w:hint="eastAsia"/>
          <w:sz w:val="24"/>
          <w:szCs w:val="24"/>
          <w:lang w:eastAsia="zh-CN"/>
        </w:rPr>
        <w:t>招标</w:t>
      </w:r>
      <w:r>
        <w:rPr>
          <w:sz w:val="24"/>
          <w:szCs w:val="24"/>
        </w:rPr>
        <w:t>人或者</w:t>
      </w:r>
      <w:r>
        <w:rPr>
          <w:rFonts w:hint="eastAsia"/>
          <w:sz w:val="24"/>
          <w:szCs w:val="24"/>
          <w:lang w:eastAsia="zh-CN"/>
        </w:rPr>
        <w:t>招标</w:t>
      </w:r>
      <w:r>
        <w:rPr>
          <w:sz w:val="24"/>
          <w:szCs w:val="24"/>
        </w:rPr>
        <w:t>代理机构。补充、修改的内容应当按照招标文件要求签署、盖章、密封后，作为投标文件的组成部分</w:t>
      </w:r>
      <w:r>
        <w:rPr>
          <w:rFonts w:hint="eastAsia"/>
          <w:sz w:val="24"/>
          <w:szCs w:val="24"/>
          <w:lang w:eastAsia="zh-CN"/>
        </w:rPr>
        <w:t>；</w:t>
      </w:r>
    </w:p>
    <w:p>
      <w:pPr>
        <w:spacing w:line="500" w:lineRule="exact"/>
        <w:ind w:firstLine="480" w:firstLineChars="200"/>
        <w:rPr>
          <w:rFonts w:hint="eastAsia" w:eastAsia="宋体"/>
          <w:sz w:val="24"/>
          <w:szCs w:val="24"/>
          <w:lang w:eastAsia="zh-CN"/>
        </w:rPr>
      </w:pPr>
      <w:r>
        <w:rPr>
          <w:sz w:val="24"/>
          <w:szCs w:val="24"/>
        </w:rPr>
        <w:t>2、开标后不允许对投标文件做实质性修改或补充</w:t>
      </w:r>
      <w:r>
        <w:rPr>
          <w:rFonts w:hint="eastAsia"/>
          <w:sz w:val="24"/>
          <w:szCs w:val="24"/>
          <w:lang w:eastAsia="zh-CN"/>
        </w:rPr>
        <w:t>；</w:t>
      </w:r>
    </w:p>
    <w:p>
      <w:pPr>
        <w:spacing w:line="520" w:lineRule="exact"/>
        <w:ind w:firstLine="480" w:firstLineChars="200"/>
        <w:rPr>
          <w:rFonts w:hint="eastAsia" w:ascii="宋体" w:hAnsi="宋体" w:cs="宋体"/>
          <w:bCs/>
          <w:color w:val="auto"/>
          <w:sz w:val="24"/>
          <w:szCs w:val="24"/>
          <w:highlight w:val="none"/>
        </w:rPr>
      </w:pPr>
      <w:r>
        <w:rPr>
          <w:sz w:val="24"/>
          <w:szCs w:val="24"/>
        </w:rPr>
        <w:t>3、开标后投标人在投标有效期内不得撤回投标。</w:t>
      </w:r>
    </w:p>
    <w:p>
      <w:pPr>
        <w:rPr>
          <w:color w:val="auto"/>
          <w:highlight w:val="none"/>
        </w:rPr>
      </w:pPr>
      <w:bookmarkStart w:id="7" w:name="_Toc499564659"/>
      <w:r>
        <w:rPr>
          <w:color w:val="auto"/>
          <w:highlight w:val="none"/>
        </w:rPr>
        <w:br w:type="page"/>
      </w:r>
    </w:p>
    <w:p>
      <w:pPr>
        <w:pStyle w:val="726"/>
      </w:pPr>
    </w:p>
    <w:p>
      <w:pPr>
        <w:numPr>
          <w:ilvl w:val="0"/>
          <w:numId w:val="29"/>
        </w:numPr>
        <w:spacing w:line="500" w:lineRule="exact"/>
        <w:jc w:val="center"/>
        <w:outlineLvl w:val="0"/>
        <w:rPr>
          <w:b/>
          <w:color w:val="auto"/>
          <w:sz w:val="36"/>
          <w:highlight w:val="none"/>
        </w:rPr>
      </w:pPr>
      <w:r>
        <w:rPr>
          <w:b/>
          <w:color w:val="auto"/>
          <w:sz w:val="36"/>
          <w:highlight w:val="none"/>
        </w:rPr>
        <w:t xml:space="preserve"> 项目说明</w:t>
      </w:r>
      <w:bookmarkEnd w:id="7"/>
      <w:bookmarkStart w:id="8" w:name="_Toc437856505"/>
      <w:bookmarkStart w:id="9" w:name="_Toc499564660"/>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本</w:t>
      </w:r>
      <w:r>
        <w:rPr>
          <w:rFonts w:hint="eastAsia" w:ascii="宋体" w:hAnsi="宋体" w:eastAsia="宋体" w:cs="宋体"/>
          <w:color w:val="auto"/>
          <w:sz w:val="24"/>
          <w:szCs w:val="24"/>
          <w:highlight w:val="none"/>
        </w:rPr>
        <w:t>项目采购总控制价为</w:t>
      </w:r>
      <w:r>
        <w:rPr>
          <w:rFonts w:hint="eastAsia" w:ascii="宋体" w:hAnsi="宋体" w:cs="宋体"/>
          <w:color w:val="auto"/>
          <w:sz w:val="24"/>
          <w:szCs w:val="24"/>
          <w:highlight w:val="none"/>
          <w:lang w:val="en-US" w:eastAsia="zh-CN"/>
        </w:rPr>
        <w:t>100</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zh-CN"/>
        </w:rPr>
        <w:t>；投标人报价不得超出采购</w:t>
      </w:r>
      <w:r>
        <w:rPr>
          <w:rFonts w:hint="eastAsia" w:ascii="宋体" w:hAnsi="宋体" w:eastAsia="宋体" w:cs="宋体"/>
          <w:color w:val="auto"/>
          <w:sz w:val="24"/>
          <w:szCs w:val="24"/>
          <w:highlight w:val="none"/>
        </w:rPr>
        <w:t>预算控制价</w:t>
      </w:r>
      <w:r>
        <w:rPr>
          <w:rFonts w:hint="eastAsia" w:ascii="宋体" w:hAnsi="宋体" w:eastAsia="宋体" w:cs="宋体"/>
          <w:color w:val="auto"/>
          <w:sz w:val="24"/>
          <w:szCs w:val="24"/>
          <w:highlight w:val="none"/>
          <w:lang w:val="zh-CN"/>
        </w:rPr>
        <w:t>，否则按无效投标处理。</w:t>
      </w:r>
    </w:p>
    <w:p>
      <w:pPr>
        <w:rPr>
          <w:rFonts w:hint="eastAsia"/>
          <w:color w:val="auto"/>
          <w:sz w:val="24"/>
          <w:szCs w:val="24"/>
          <w:highlight w:val="none"/>
          <w:lang w:val="en-US" w:eastAsia="zh-CN"/>
        </w:rPr>
      </w:pPr>
      <w:r>
        <w:rPr>
          <w:rFonts w:hint="eastAsia"/>
          <w:color w:val="auto"/>
          <w:sz w:val="24"/>
          <w:szCs w:val="24"/>
          <w:highlight w:val="none"/>
          <w:lang w:val="en-US" w:eastAsia="zh-CN"/>
        </w:rPr>
        <w:t>二、产品明细</w:t>
      </w:r>
    </w:p>
    <w:tbl>
      <w:tblPr>
        <w:tblStyle w:val="74"/>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1297"/>
        <w:gridCol w:w="762"/>
        <w:gridCol w:w="795"/>
        <w:gridCol w:w="5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i w:val="0"/>
                <w:color w:val="000000"/>
                <w:kern w:val="0"/>
                <w:sz w:val="24"/>
                <w:szCs w:val="24"/>
                <w:u w:val="none"/>
                <w:lang w:val="en-US" w:eastAsia="zh-CN" w:bidi="ar"/>
              </w:rPr>
              <w:t>序号</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color w:val="auto"/>
                <w:kern w:val="2"/>
                <w:sz w:val="24"/>
                <w:szCs w:val="24"/>
                <w:vertAlign w:val="baseline"/>
                <w:lang w:val="en-US" w:eastAsia="zh-CN" w:bidi="ar-SA"/>
              </w:rPr>
            </w:pPr>
            <w:r>
              <w:rPr>
                <w:rFonts w:hint="eastAsia" w:asciiTheme="minorEastAsia" w:hAnsiTheme="minorEastAsia" w:eastAsiaTheme="minorEastAsia" w:cstheme="minorEastAsia"/>
                <w:b/>
                <w:bCs/>
                <w:i w:val="0"/>
                <w:color w:val="auto"/>
                <w:kern w:val="0"/>
                <w:sz w:val="24"/>
                <w:szCs w:val="24"/>
                <w:u w:val="none"/>
                <w:lang w:val="en-US" w:eastAsia="zh-CN" w:bidi="ar"/>
              </w:rPr>
              <w:t>产品名称</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color w:val="auto"/>
                <w:kern w:val="0"/>
                <w:sz w:val="24"/>
                <w:szCs w:val="24"/>
                <w:u w:val="none"/>
                <w:lang w:val="en-US" w:eastAsia="zh-CN" w:bidi="ar"/>
              </w:rPr>
            </w:pPr>
            <w:r>
              <w:rPr>
                <w:rFonts w:hint="eastAsia" w:asciiTheme="minorEastAsia" w:hAnsiTheme="minorEastAsia" w:eastAsiaTheme="minorEastAsia" w:cstheme="minorEastAsia"/>
                <w:b/>
                <w:bCs/>
                <w:i w:val="0"/>
                <w:color w:val="auto"/>
                <w:kern w:val="0"/>
                <w:sz w:val="24"/>
                <w:szCs w:val="24"/>
                <w:u w:val="none"/>
                <w:lang w:val="en-US" w:eastAsia="zh-CN" w:bidi="ar"/>
              </w:rPr>
              <w:t>单位</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color w:val="auto"/>
                <w:kern w:val="0"/>
                <w:sz w:val="24"/>
                <w:szCs w:val="24"/>
                <w:u w:val="none"/>
                <w:lang w:val="en-US" w:eastAsia="zh-CN" w:bidi="ar"/>
              </w:rPr>
            </w:pPr>
            <w:r>
              <w:rPr>
                <w:rFonts w:hint="eastAsia" w:asciiTheme="minorEastAsia" w:hAnsiTheme="minorEastAsia" w:eastAsiaTheme="minorEastAsia" w:cstheme="minorEastAsia"/>
                <w:b/>
                <w:bCs/>
                <w:i w:val="0"/>
                <w:color w:val="auto"/>
                <w:kern w:val="0"/>
                <w:sz w:val="24"/>
                <w:szCs w:val="24"/>
                <w:u w:val="none"/>
                <w:lang w:val="en-US" w:eastAsia="zh-CN" w:bidi="ar"/>
              </w:rPr>
              <w:t>数量</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Theme="minorEastAsia" w:hAnsiTheme="minorEastAsia" w:eastAsiaTheme="minorEastAsia" w:cstheme="minorEastAsia"/>
                <w:b/>
                <w:bCs/>
                <w:sz w:val="24"/>
                <w:szCs w:val="24"/>
                <w:vertAlign w:val="baseline"/>
                <w:lang w:eastAsia="zh-CN"/>
              </w:rPr>
            </w:pPr>
            <w:r>
              <w:rPr>
                <w:rFonts w:hint="eastAsia" w:asciiTheme="minorEastAsia" w:hAnsiTheme="minorEastAsia" w:eastAsiaTheme="minorEastAsia" w:cstheme="minorEastAsia"/>
                <w:b/>
                <w:bCs/>
                <w:i w:val="0"/>
                <w:color w:val="000000"/>
                <w:kern w:val="0"/>
                <w:sz w:val="24"/>
                <w:szCs w:val="24"/>
                <w:u w:val="none"/>
                <w:lang w:val="en-US" w:eastAsia="zh-CN" w:bidi="ar"/>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0"/>
              </w:numPr>
              <w:suppressLineNumbers w:val="0"/>
              <w:spacing w:before="0" w:beforeLines="0" w:beforeAutospacing="0" w:after="0" w:afterLines="0" w:afterAutospacing="0"/>
              <w:ind w:left="0" w:leftChars="0"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right="0"/>
              <w:jc w:val="center"/>
              <w:textAlignment w:val="center"/>
              <w:rPr>
                <w:rFonts w:hint="eastAsia" w:asciiTheme="minorEastAsia" w:hAnsiTheme="minorEastAsia" w:eastAsiaTheme="minorEastAsia" w:cstheme="minorEastAsia"/>
                <w:i w:val="0"/>
                <w:color w:val="auto"/>
                <w:kern w:val="0"/>
                <w:sz w:val="24"/>
                <w:szCs w:val="24"/>
                <w:u w:val="none"/>
                <w:lang w:val="en-US" w:eastAsia="zh-CN" w:bidi="ar"/>
              </w:rPr>
            </w:pPr>
            <w:r>
              <w:rPr>
                <w:rFonts w:hint="eastAsia" w:asciiTheme="minorEastAsia" w:hAnsiTheme="minorEastAsia" w:eastAsiaTheme="minorEastAsia" w:cstheme="minorEastAsia"/>
                <w:b/>
                <w:bCs/>
                <w:color w:val="000000"/>
                <w:kern w:val="0"/>
                <w:sz w:val="24"/>
                <w:szCs w:val="24"/>
                <w:lang w:val="en-US" w:eastAsia="zh-CN"/>
              </w:rPr>
              <w:t>*</w:t>
            </w:r>
            <w:r>
              <w:rPr>
                <w:rFonts w:hint="eastAsia" w:asciiTheme="minorEastAsia" w:hAnsiTheme="minorEastAsia" w:eastAsiaTheme="minorEastAsia" w:cstheme="minorEastAsia"/>
                <w:b/>
                <w:bCs/>
                <w:color w:val="000000"/>
                <w:kern w:val="0"/>
                <w:sz w:val="24"/>
                <w:szCs w:val="24"/>
              </w:rPr>
              <w:t>智能告示牌</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right="0"/>
              <w:jc w:val="center"/>
              <w:textAlignment w:val="center"/>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color w:val="000000"/>
                <w:kern w:val="0"/>
                <w:sz w:val="24"/>
                <w:szCs w:val="24"/>
                <w:lang w:eastAsia="zh-CN"/>
              </w:rPr>
              <w:t>件</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right="0"/>
              <w:jc w:val="center"/>
              <w:textAlignment w:val="center"/>
              <w:rPr>
                <w:rFonts w:hint="eastAsia" w:asciiTheme="minorEastAsia" w:hAnsiTheme="minorEastAsia" w:eastAsiaTheme="minorEastAsia" w:cstheme="minorEastAsia"/>
                <w:color w:val="000000"/>
                <w:kern w:val="0"/>
                <w:sz w:val="24"/>
                <w:szCs w:val="24"/>
                <w:lang w:val="en-US" w:eastAsia="zh-CN"/>
              </w:rPr>
            </w:pPr>
            <w:r>
              <w:rPr>
                <w:rFonts w:hint="eastAsia" w:asciiTheme="minorEastAsia" w:hAnsiTheme="minorEastAsia" w:eastAsiaTheme="minorEastAsia" w:cstheme="minorEastAsia"/>
                <w:color w:val="000000"/>
                <w:kern w:val="0"/>
                <w:sz w:val="24"/>
                <w:szCs w:val="24"/>
                <w:lang w:val="en-US" w:eastAsia="zh-CN"/>
              </w:rPr>
              <w:t>4</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30"/>
              </w:numPr>
              <w:suppressLineNumbers w:val="0"/>
              <w:adjustRightInd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主要承载立柱尺寸：截面尺寸</w:t>
            </w:r>
            <w:r>
              <w:rPr>
                <w:rFonts w:hint="eastAsia" w:asciiTheme="minorEastAsia" w:hAnsiTheme="minorEastAsia" w:eastAsiaTheme="minorEastAsia" w:cstheme="minorEastAsia"/>
                <w:i w:val="0"/>
                <w:color w:val="000000"/>
                <w:kern w:val="0"/>
                <w:sz w:val="24"/>
                <w:szCs w:val="24"/>
                <w:u w:val="none"/>
                <w:lang w:val="en-US" w:eastAsia="zh-CN" w:bidi="ar"/>
              </w:rPr>
              <w:t>≥</w:t>
            </w:r>
            <w:r>
              <w:rPr>
                <w:rFonts w:hint="eastAsia" w:asciiTheme="minorEastAsia" w:hAnsiTheme="minorEastAsia" w:eastAsiaTheme="minorEastAsia" w:cstheme="minorEastAsia"/>
                <w:sz w:val="24"/>
                <w:szCs w:val="24"/>
                <w:lang w:eastAsia="zh-CN"/>
              </w:rPr>
              <w:t>172*140mm</w:t>
            </w:r>
            <w:r>
              <w:rPr>
                <w:rFonts w:hint="eastAsia" w:asciiTheme="minorEastAsia" w:hAnsiTheme="minorEastAsia" w:eastAsiaTheme="minorEastAsia" w:cstheme="minorEastAsia"/>
                <w:sz w:val="24"/>
                <w:szCs w:val="24"/>
              </w:rPr>
              <w:t>，钢、铝、塑木结构，</w:t>
            </w:r>
            <w:r>
              <w:rPr>
                <w:rFonts w:hint="eastAsia" w:asciiTheme="minorEastAsia" w:hAnsiTheme="minorEastAsia" w:eastAsiaTheme="minorEastAsia" w:cstheme="minorEastAsia"/>
                <w:sz w:val="24"/>
                <w:szCs w:val="24"/>
                <w:lang w:eastAsia="zh-CN"/>
              </w:rPr>
              <w:t>主承载钢管</w:t>
            </w:r>
            <w:r>
              <w:rPr>
                <w:rFonts w:hint="eastAsia" w:asciiTheme="minorEastAsia" w:hAnsiTheme="minorEastAsia" w:eastAsiaTheme="minorEastAsia" w:cstheme="minorEastAsia"/>
                <w:i w:val="0"/>
                <w:color w:val="000000"/>
                <w:kern w:val="0"/>
                <w:sz w:val="24"/>
                <w:szCs w:val="24"/>
                <w:u w:val="none"/>
                <w:lang w:val="en-US" w:eastAsia="zh-CN" w:bidi="ar"/>
              </w:rPr>
              <w:t>≥</w:t>
            </w:r>
            <w:r>
              <w:rPr>
                <w:rFonts w:hint="eastAsia" w:asciiTheme="minorEastAsia" w:hAnsiTheme="minorEastAsia" w:eastAsiaTheme="minorEastAsia" w:cstheme="minorEastAsia"/>
                <w:sz w:val="24"/>
                <w:szCs w:val="24"/>
                <w:lang w:eastAsia="zh-CN"/>
              </w:rPr>
              <w:t>140*140*3mm方形钢管；</w:t>
            </w:r>
          </w:p>
          <w:p>
            <w:pPr>
              <w:keepNext w:val="0"/>
              <w:keepLines w:val="0"/>
              <w:numPr>
                <w:ilvl w:val="0"/>
                <w:numId w:val="30"/>
              </w:numPr>
              <w:suppressLineNumbers w:val="0"/>
              <w:adjustRightInd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主要承载横梁尺寸：</w:t>
            </w:r>
            <w:r>
              <w:rPr>
                <w:rFonts w:hint="eastAsia" w:asciiTheme="minorEastAsia" w:hAnsiTheme="minorEastAsia" w:eastAsiaTheme="minorEastAsia" w:cstheme="minorEastAsia"/>
                <w:i w:val="0"/>
                <w:color w:val="000000"/>
                <w:kern w:val="0"/>
                <w:sz w:val="24"/>
                <w:szCs w:val="24"/>
                <w:u w:val="none"/>
                <w:lang w:val="en-US" w:eastAsia="zh-CN" w:bidi="ar"/>
              </w:rPr>
              <w:t>≥</w:t>
            </w:r>
            <w:r>
              <w:rPr>
                <w:rFonts w:hint="eastAsia" w:asciiTheme="minorEastAsia" w:hAnsiTheme="minorEastAsia" w:eastAsiaTheme="minorEastAsia" w:cstheme="minorEastAsia"/>
                <w:sz w:val="24"/>
                <w:szCs w:val="24"/>
                <w:lang w:eastAsia="zh-CN"/>
              </w:rPr>
              <w:t>50*100*3mm</w:t>
            </w:r>
            <w:r>
              <w:rPr>
                <w:rFonts w:hint="eastAsia" w:asciiTheme="minorEastAsia" w:hAnsiTheme="minorEastAsia" w:eastAsiaTheme="minorEastAsia" w:cstheme="minorEastAsia"/>
                <w:sz w:val="24"/>
                <w:szCs w:val="24"/>
              </w:rPr>
              <w:t>；</w:t>
            </w:r>
          </w:p>
          <w:p>
            <w:pPr>
              <w:keepNext w:val="0"/>
              <w:keepLines w:val="0"/>
              <w:numPr>
                <w:ilvl w:val="0"/>
                <w:numId w:val="30"/>
              </w:numPr>
              <w:suppressLineNumbers w:val="0"/>
              <w:adjustRightInd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不存在和使用功能无关的凸出物；</w:t>
            </w:r>
          </w:p>
          <w:p>
            <w:pPr>
              <w:keepNext w:val="0"/>
              <w:keepLines w:val="0"/>
              <w:numPr>
                <w:ilvl w:val="0"/>
                <w:numId w:val="30"/>
              </w:numPr>
              <w:suppressLineNumbers w:val="0"/>
              <w:adjustRightInd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安装方式：预埋式；</w:t>
            </w:r>
          </w:p>
          <w:p>
            <w:pPr>
              <w:keepNext w:val="0"/>
              <w:keepLines w:val="0"/>
              <w:numPr>
                <w:ilvl w:val="0"/>
                <w:numId w:val="30"/>
              </w:numPr>
              <w:suppressLineNumbers w:val="0"/>
              <w:adjustRightInd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产品顶棚上部装有太阳能板，具备太阳能光伏供电系统，夜间照明功能。</w:t>
            </w:r>
          </w:p>
          <w:p>
            <w:pPr>
              <w:keepNext w:val="0"/>
              <w:keepLines w:val="0"/>
              <w:numPr>
                <w:ilvl w:val="0"/>
                <w:numId w:val="30"/>
              </w:numPr>
              <w:suppressLineNumbers w:val="0"/>
              <w:adjustRightInd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i w:val="0"/>
                <w:color w:val="000000"/>
                <w:kern w:val="0"/>
                <w:sz w:val="24"/>
                <w:szCs w:val="24"/>
                <w:u w:val="none"/>
                <w:lang w:val="en-US" w:eastAsia="zh-CN" w:bidi="ar"/>
              </w:rPr>
            </w:pPr>
            <w:r>
              <w:rPr>
                <w:rFonts w:hint="eastAsia" w:asciiTheme="minorEastAsia" w:hAnsiTheme="minorEastAsia" w:eastAsiaTheme="minorEastAsia" w:cstheme="minorEastAsia"/>
                <w:sz w:val="24"/>
                <w:szCs w:val="24"/>
              </w:rPr>
              <w:t>器材符合GB19272-2011《室外健身器材的安全通用要求》并获得NSCC国体认证证书。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0"/>
              </w:numPr>
              <w:suppressLineNumbers w:val="0"/>
              <w:spacing w:before="0" w:beforeLines="0" w:beforeAutospacing="0" w:after="0" w:afterLines="0" w:afterAutospacing="0"/>
              <w:ind w:left="0" w:leftChars="0"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2</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right="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b/>
                <w:bCs/>
                <w:color w:val="000000"/>
                <w:kern w:val="0"/>
                <w:sz w:val="24"/>
                <w:szCs w:val="24"/>
                <w:lang w:val="en-US" w:eastAsia="zh-CN"/>
              </w:rPr>
              <w:t>*</w:t>
            </w:r>
            <w:r>
              <w:rPr>
                <w:rFonts w:hint="eastAsia" w:asciiTheme="minorEastAsia" w:hAnsiTheme="minorEastAsia" w:eastAsiaTheme="minorEastAsia" w:cstheme="minorEastAsia"/>
                <w:b/>
                <w:bCs/>
                <w:color w:val="000000"/>
                <w:kern w:val="0"/>
                <w:sz w:val="24"/>
                <w:szCs w:val="24"/>
              </w:rPr>
              <w:t>智能双位太空漫步机</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eastAsia="zh-CN"/>
              </w:rPr>
              <w:t>件</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4</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31"/>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lang w:eastAsia="zh-CN"/>
              </w:rPr>
              <w:t>主要承载立柱尺寸：截面尺寸</w:t>
            </w:r>
            <w:r>
              <w:rPr>
                <w:rFonts w:hint="eastAsia" w:asciiTheme="minorEastAsia" w:hAnsiTheme="minorEastAsia" w:eastAsiaTheme="minorEastAsia" w:cstheme="minorEastAsia"/>
                <w:i w:val="0"/>
                <w:color w:val="000000"/>
                <w:kern w:val="0"/>
                <w:sz w:val="24"/>
                <w:szCs w:val="24"/>
                <w:u w:val="none"/>
                <w:lang w:val="en-US" w:eastAsia="zh-CN" w:bidi="ar"/>
              </w:rPr>
              <w:t>≥</w:t>
            </w:r>
            <w:r>
              <w:rPr>
                <w:rFonts w:hint="eastAsia" w:asciiTheme="minorEastAsia" w:hAnsiTheme="minorEastAsia" w:eastAsiaTheme="minorEastAsia" w:cstheme="minorEastAsia"/>
                <w:position w:val="-1"/>
                <w:sz w:val="24"/>
                <w:szCs w:val="24"/>
                <w:lang w:eastAsia="zh-CN"/>
              </w:rPr>
              <w:t>172*140mm</w:t>
            </w:r>
            <w:r>
              <w:rPr>
                <w:rFonts w:hint="eastAsia" w:asciiTheme="minorEastAsia" w:hAnsiTheme="minorEastAsia" w:eastAsiaTheme="minorEastAsia" w:cstheme="minorEastAsia"/>
                <w:position w:val="-1"/>
                <w:sz w:val="24"/>
                <w:szCs w:val="24"/>
              </w:rPr>
              <w:t>，钢、铝、塑木结构，</w:t>
            </w:r>
            <w:r>
              <w:rPr>
                <w:rFonts w:hint="eastAsia" w:asciiTheme="minorEastAsia" w:hAnsiTheme="minorEastAsia" w:eastAsiaTheme="minorEastAsia" w:cstheme="minorEastAsia"/>
                <w:position w:val="-1"/>
                <w:sz w:val="24"/>
                <w:szCs w:val="24"/>
                <w:lang w:eastAsia="zh-CN"/>
              </w:rPr>
              <w:t>主承载钢管140*140*3mm方形钢管；</w:t>
            </w:r>
          </w:p>
          <w:p>
            <w:pPr>
              <w:keepNext w:val="0"/>
              <w:keepLines w:val="0"/>
              <w:numPr>
                <w:ilvl w:val="0"/>
                <w:numId w:val="31"/>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rPr>
              <w:t>主要承载横梁尺寸：</w:t>
            </w:r>
            <w:r>
              <w:rPr>
                <w:rFonts w:hint="eastAsia" w:asciiTheme="minorEastAsia" w:hAnsiTheme="minorEastAsia" w:eastAsiaTheme="minorEastAsia" w:cstheme="minorEastAsia"/>
                <w:i w:val="0"/>
                <w:color w:val="000000"/>
                <w:kern w:val="0"/>
                <w:sz w:val="24"/>
                <w:szCs w:val="24"/>
                <w:u w:val="none"/>
                <w:lang w:val="en-US" w:eastAsia="zh-CN" w:bidi="ar"/>
              </w:rPr>
              <w:t>≥</w:t>
            </w:r>
            <w:r>
              <w:rPr>
                <w:rFonts w:hint="eastAsia" w:asciiTheme="minorEastAsia" w:hAnsiTheme="minorEastAsia" w:eastAsiaTheme="minorEastAsia" w:cstheme="minorEastAsia"/>
                <w:position w:val="-1"/>
                <w:sz w:val="24"/>
                <w:szCs w:val="24"/>
                <w:lang w:eastAsia="zh-CN"/>
              </w:rPr>
              <w:t>40*80*3mm</w:t>
            </w:r>
            <w:r>
              <w:rPr>
                <w:rFonts w:hint="eastAsia" w:asciiTheme="minorEastAsia" w:hAnsiTheme="minorEastAsia" w:eastAsiaTheme="minorEastAsia" w:cstheme="minorEastAsia"/>
                <w:position w:val="-1"/>
                <w:sz w:val="24"/>
                <w:szCs w:val="24"/>
              </w:rPr>
              <w:t>，钢管Φ</w:t>
            </w:r>
            <w:r>
              <w:rPr>
                <w:rFonts w:hint="eastAsia" w:asciiTheme="minorEastAsia" w:hAnsiTheme="minorEastAsia" w:eastAsiaTheme="minorEastAsia" w:cstheme="minorEastAsia"/>
                <w:position w:val="-1"/>
                <w:sz w:val="24"/>
                <w:szCs w:val="24"/>
                <w:lang w:eastAsia="zh-CN"/>
              </w:rPr>
              <w:t>60*3mm</w:t>
            </w:r>
            <w:r>
              <w:rPr>
                <w:rFonts w:hint="eastAsia" w:asciiTheme="minorEastAsia" w:hAnsiTheme="minorEastAsia" w:eastAsiaTheme="minorEastAsia" w:cstheme="minorEastAsia"/>
                <w:position w:val="-1"/>
                <w:sz w:val="24"/>
                <w:szCs w:val="24"/>
              </w:rPr>
              <w:t>；</w:t>
            </w:r>
          </w:p>
          <w:p>
            <w:pPr>
              <w:keepNext w:val="0"/>
              <w:keepLines w:val="0"/>
              <w:numPr>
                <w:ilvl w:val="0"/>
                <w:numId w:val="31"/>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rPr>
              <w:t>安装方式：预埋+直埋式；</w:t>
            </w:r>
          </w:p>
          <w:p>
            <w:pPr>
              <w:keepNext w:val="0"/>
              <w:keepLines w:val="0"/>
              <w:numPr>
                <w:ilvl w:val="0"/>
                <w:numId w:val="31"/>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数据采集：运动时间，运动次数</w:t>
            </w:r>
          </w:p>
          <w:p>
            <w:pPr>
              <w:keepNext w:val="0"/>
              <w:keepLines w:val="0"/>
              <w:numPr>
                <w:ilvl w:val="0"/>
                <w:numId w:val="31"/>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数据传输方式：无线传输</w:t>
            </w:r>
          </w:p>
          <w:p>
            <w:pPr>
              <w:keepNext w:val="0"/>
              <w:keepLines w:val="0"/>
              <w:numPr>
                <w:ilvl w:val="0"/>
                <w:numId w:val="31"/>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数据呈现方式：语音播报，固定显示屏，智能终端；</w:t>
            </w:r>
          </w:p>
          <w:p>
            <w:pPr>
              <w:keepNext w:val="0"/>
              <w:keepLines w:val="0"/>
              <w:numPr>
                <w:ilvl w:val="0"/>
                <w:numId w:val="31"/>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lang w:val="en-US" w:eastAsia="zh-CN"/>
              </w:rPr>
              <w:t>产品顶棚上部装有太阳能板，具备太阳能光伏供电系统，夜间照明功能。</w:t>
            </w:r>
          </w:p>
          <w:p>
            <w:pPr>
              <w:keepNext w:val="0"/>
              <w:keepLines w:val="0"/>
              <w:numPr>
                <w:ilvl w:val="0"/>
                <w:numId w:val="31"/>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position w:val="-1"/>
                <w:sz w:val="24"/>
                <w:szCs w:val="24"/>
              </w:rPr>
              <w:t>器材符合GB19272-2011《室外健身器材的安全通用要求》并获得NSCC国体认证证书。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0"/>
              </w:numPr>
              <w:suppressLineNumbers w:val="0"/>
              <w:spacing w:before="0" w:beforeLines="0" w:beforeAutospacing="0" w:after="0" w:afterLines="0" w:afterAutospacing="0"/>
              <w:ind w:left="0" w:leftChars="0"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3</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right="0"/>
              <w:jc w:val="center"/>
              <w:textAlignment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lang w:val="en-US" w:eastAsia="zh-CN"/>
              </w:rPr>
              <w:t>*</w:t>
            </w:r>
            <w:r>
              <w:rPr>
                <w:rFonts w:hint="eastAsia" w:asciiTheme="minorEastAsia" w:hAnsiTheme="minorEastAsia" w:eastAsiaTheme="minorEastAsia" w:cstheme="minorEastAsia"/>
                <w:b/>
                <w:bCs/>
                <w:color w:val="000000"/>
                <w:kern w:val="0"/>
                <w:sz w:val="24"/>
                <w:szCs w:val="24"/>
              </w:rPr>
              <w:t>智能双位腹肌板</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eastAsia="zh-CN"/>
              </w:rPr>
              <w:t>件</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4</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32"/>
              </w:numPr>
              <w:suppressLineNumbers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主要承载立柱尺寸：截面尺寸≥172*140mm</w:t>
            </w:r>
            <w:r>
              <w:rPr>
                <w:rFonts w:hint="eastAsia" w:asciiTheme="minorEastAsia" w:hAnsiTheme="minorEastAsia" w:eastAsiaTheme="minorEastAsia" w:cstheme="minorEastAsia"/>
                <w:sz w:val="24"/>
                <w:szCs w:val="24"/>
              </w:rPr>
              <w:t>，钢、铝、塑木结构</w:t>
            </w:r>
            <w:r>
              <w:rPr>
                <w:rFonts w:hint="eastAsia" w:asciiTheme="minorEastAsia" w:hAnsiTheme="minorEastAsia" w:eastAsiaTheme="minorEastAsia" w:cstheme="minorEastAsia"/>
                <w:sz w:val="24"/>
                <w:szCs w:val="24"/>
                <w:lang w:eastAsia="zh-CN"/>
              </w:rPr>
              <w:t>，主承载钢管≥140*140*3mm方形钢管；</w:t>
            </w:r>
          </w:p>
          <w:p>
            <w:pPr>
              <w:keepNext w:val="0"/>
              <w:keepLines w:val="0"/>
              <w:numPr>
                <w:ilvl w:val="0"/>
                <w:numId w:val="32"/>
              </w:numPr>
              <w:suppressLineNumbers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主要承载横梁尺寸：≥Φ60*3mm；</w:t>
            </w:r>
          </w:p>
          <w:p>
            <w:pPr>
              <w:keepNext w:val="0"/>
              <w:keepLines w:val="0"/>
              <w:numPr>
                <w:ilvl w:val="0"/>
                <w:numId w:val="32"/>
              </w:numPr>
              <w:suppressLineNumbers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安装方式：预埋式；</w:t>
            </w:r>
          </w:p>
          <w:p>
            <w:pPr>
              <w:keepNext w:val="0"/>
              <w:keepLines w:val="0"/>
              <w:numPr>
                <w:ilvl w:val="0"/>
                <w:numId w:val="32"/>
              </w:numPr>
              <w:suppressLineNumbers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数据采集：运动时间，运动次数</w:t>
            </w:r>
          </w:p>
          <w:p>
            <w:pPr>
              <w:keepNext w:val="0"/>
              <w:keepLines w:val="0"/>
              <w:numPr>
                <w:ilvl w:val="0"/>
                <w:numId w:val="32"/>
              </w:numPr>
              <w:suppressLineNumbers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数据传输方式：无线传输</w:t>
            </w:r>
          </w:p>
          <w:p>
            <w:pPr>
              <w:keepNext w:val="0"/>
              <w:keepLines w:val="0"/>
              <w:numPr>
                <w:ilvl w:val="0"/>
                <w:numId w:val="32"/>
              </w:numPr>
              <w:suppressLineNumbers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数据呈现方式：语音播报，固定显示屏，智能终端；</w:t>
            </w:r>
          </w:p>
          <w:p>
            <w:pPr>
              <w:keepNext w:val="0"/>
              <w:keepLines w:val="0"/>
              <w:numPr>
                <w:ilvl w:val="0"/>
                <w:numId w:val="32"/>
              </w:numPr>
              <w:suppressLineNumbers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产品顶棚上部装有太阳能板，具备太阳能光伏供电系统，夜间照明功能。</w:t>
            </w:r>
          </w:p>
          <w:p>
            <w:pPr>
              <w:keepNext w:val="0"/>
              <w:keepLines w:val="0"/>
              <w:numPr>
                <w:ilvl w:val="0"/>
                <w:numId w:val="32"/>
              </w:numPr>
              <w:suppressLineNumbers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器材符合GB19272-2011《室外健身器材的安全通用要求》并获得NSCC国体认证证书。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0"/>
              </w:numPr>
              <w:suppressLineNumbers w:val="0"/>
              <w:spacing w:before="0" w:beforeLines="0" w:beforeAutospacing="0" w:after="0" w:afterLines="0" w:afterAutospacing="0"/>
              <w:ind w:left="0" w:leftChars="0"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4</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right="0"/>
              <w:jc w:val="center"/>
              <w:textAlignment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lang w:val="en-US" w:eastAsia="zh-CN"/>
              </w:rPr>
              <w:t>*</w:t>
            </w:r>
            <w:r>
              <w:rPr>
                <w:rFonts w:hint="eastAsia" w:asciiTheme="minorEastAsia" w:hAnsiTheme="minorEastAsia" w:eastAsiaTheme="minorEastAsia" w:cstheme="minorEastAsia"/>
                <w:b/>
                <w:bCs/>
                <w:color w:val="000000"/>
                <w:kern w:val="0"/>
                <w:sz w:val="24"/>
                <w:szCs w:val="24"/>
              </w:rPr>
              <w:t>智能双位蹬力器</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eastAsia="zh-CN"/>
              </w:rPr>
              <w:t>件</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4</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33"/>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position w:val="-2"/>
                <w:sz w:val="24"/>
                <w:szCs w:val="24"/>
                <w:lang w:eastAsia="zh-CN"/>
              </w:rPr>
              <w:t>主要承载立柱尺寸：截面尺寸</w:t>
            </w:r>
            <w:r>
              <w:rPr>
                <w:rFonts w:hint="eastAsia" w:asciiTheme="minorEastAsia" w:hAnsiTheme="minorEastAsia" w:eastAsiaTheme="minorEastAsia" w:cstheme="minorEastAsia"/>
                <w:color w:val="000000"/>
                <w:position w:val="-2"/>
                <w:sz w:val="24"/>
                <w:szCs w:val="24"/>
              </w:rPr>
              <w:t>≥</w:t>
            </w:r>
            <w:r>
              <w:rPr>
                <w:rFonts w:hint="eastAsia" w:asciiTheme="minorEastAsia" w:hAnsiTheme="minorEastAsia" w:eastAsiaTheme="minorEastAsia" w:cstheme="minorEastAsia"/>
                <w:position w:val="-2"/>
                <w:sz w:val="24"/>
                <w:szCs w:val="24"/>
                <w:lang w:eastAsia="zh-CN"/>
              </w:rPr>
              <w:t>172*140mm</w:t>
            </w:r>
            <w:r>
              <w:rPr>
                <w:rFonts w:hint="eastAsia" w:asciiTheme="minorEastAsia" w:hAnsiTheme="minorEastAsia" w:eastAsiaTheme="minorEastAsia" w:cstheme="minorEastAsia"/>
                <w:position w:val="-2"/>
                <w:sz w:val="24"/>
                <w:szCs w:val="24"/>
              </w:rPr>
              <w:t>，钢、铝、塑木结构</w:t>
            </w:r>
            <w:r>
              <w:rPr>
                <w:rFonts w:hint="eastAsia" w:asciiTheme="minorEastAsia" w:hAnsiTheme="minorEastAsia" w:eastAsiaTheme="minorEastAsia" w:cstheme="minorEastAsia"/>
                <w:position w:val="-2"/>
                <w:sz w:val="24"/>
                <w:szCs w:val="24"/>
                <w:lang w:eastAsia="zh-CN"/>
              </w:rPr>
              <w:t>，主承载钢管</w:t>
            </w:r>
            <w:r>
              <w:rPr>
                <w:rFonts w:hint="eastAsia" w:asciiTheme="minorEastAsia" w:hAnsiTheme="minorEastAsia" w:eastAsiaTheme="minorEastAsia" w:cstheme="minorEastAsia"/>
                <w:color w:val="000000"/>
                <w:position w:val="-2"/>
                <w:sz w:val="24"/>
                <w:szCs w:val="24"/>
              </w:rPr>
              <w:t>≥</w:t>
            </w:r>
            <w:r>
              <w:rPr>
                <w:rFonts w:hint="eastAsia" w:asciiTheme="minorEastAsia" w:hAnsiTheme="minorEastAsia" w:eastAsiaTheme="minorEastAsia" w:cstheme="minorEastAsia"/>
                <w:position w:val="-2"/>
                <w:sz w:val="24"/>
                <w:szCs w:val="24"/>
                <w:lang w:eastAsia="zh-CN"/>
              </w:rPr>
              <w:t>140*140*3mm方形钢管；</w:t>
            </w:r>
          </w:p>
          <w:p>
            <w:pPr>
              <w:keepNext w:val="0"/>
              <w:keepLines w:val="0"/>
              <w:numPr>
                <w:ilvl w:val="0"/>
                <w:numId w:val="33"/>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position w:val="-2"/>
                <w:sz w:val="24"/>
                <w:szCs w:val="24"/>
              </w:rPr>
              <w:t>主要承载横梁尺寸：</w:t>
            </w:r>
            <w:r>
              <w:rPr>
                <w:rFonts w:hint="eastAsia" w:asciiTheme="minorEastAsia" w:hAnsiTheme="minorEastAsia" w:eastAsiaTheme="minorEastAsia" w:cstheme="minorEastAsia"/>
                <w:color w:val="000000"/>
                <w:position w:val="-2"/>
                <w:sz w:val="24"/>
                <w:szCs w:val="24"/>
              </w:rPr>
              <w:t>≥</w:t>
            </w:r>
            <w:r>
              <w:rPr>
                <w:rFonts w:hint="eastAsia" w:asciiTheme="minorEastAsia" w:hAnsiTheme="minorEastAsia" w:eastAsiaTheme="minorEastAsia" w:cstheme="minorEastAsia"/>
                <w:position w:val="-2"/>
                <w:sz w:val="24"/>
                <w:szCs w:val="24"/>
              </w:rPr>
              <w:t>Φ89*3mm；</w:t>
            </w:r>
          </w:p>
          <w:p>
            <w:pPr>
              <w:keepNext w:val="0"/>
              <w:keepLines w:val="0"/>
              <w:numPr>
                <w:ilvl w:val="0"/>
                <w:numId w:val="33"/>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position w:val="-2"/>
                <w:sz w:val="24"/>
                <w:szCs w:val="24"/>
              </w:rPr>
              <w:t>安装方式：预埋式；</w:t>
            </w:r>
          </w:p>
          <w:p>
            <w:pPr>
              <w:keepNext w:val="0"/>
              <w:keepLines w:val="0"/>
              <w:numPr>
                <w:ilvl w:val="0"/>
                <w:numId w:val="33"/>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sz w:val="24"/>
                <w:szCs w:val="24"/>
              </w:rPr>
              <w:t>数据采集：运动时间，运动次数</w:t>
            </w:r>
          </w:p>
          <w:p>
            <w:pPr>
              <w:keepNext w:val="0"/>
              <w:keepLines w:val="0"/>
              <w:numPr>
                <w:ilvl w:val="0"/>
                <w:numId w:val="33"/>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sz w:val="24"/>
                <w:szCs w:val="24"/>
              </w:rPr>
              <w:t>数据传输方式：无线传输</w:t>
            </w:r>
          </w:p>
          <w:p>
            <w:pPr>
              <w:keepNext w:val="0"/>
              <w:keepLines w:val="0"/>
              <w:numPr>
                <w:ilvl w:val="0"/>
                <w:numId w:val="33"/>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sz w:val="24"/>
                <w:szCs w:val="24"/>
              </w:rPr>
              <w:t>数据呈现方式：语音播报，固定显示屏，智能终端；</w:t>
            </w:r>
          </w:p>
          <w:p>
            <w:pPr>
              <w:keepNext w:val="0"/>
              <w:keepLines w:val="0"/>
              <w:numPr>
                <w:ilvl w:val="0"/>
                <w:numId w:val="33"/>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sz w:val="24"/>
                <w:szCs w:val="24"/>
                <w:lang w:val="en-US" w:eastAsia="zh-CN"/>
              </w:rPr>
              <w:t>产品顶棚上部装有太阳能板，具备太阳能光伏供电系统，夜间照明功能。</w:t>
            </w:r>
          </w:p>
          <w:p>
            <w:pPr>
              <w:keepNext w:val="0"/>
              <w:keepLines w:val="0"/>
              <w:numPr>
                <w:ilvl w:val="0"/>
                <w:numId w:val="33"/>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position w:val="-2"/>
                <w:sz w:val="24"/>
                <w:szCs w:val="24"/>
              </w:rPr>
              <w:t>器材符合GB19272-2011《室外健身器材的安全通用要求》并获得NSCC国体认证证书。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0"/>
              </w:numPr>
              <w:suppressLineNumbers w:val="0"/>
              <w:spacing w:before="0" w:beforeLines="0" w:beforeAutospacing="0" w:after="0" w:afterLines="0" w:afterAutospacing="0"/>
              <w:ind w:left="0" w:leftChars="0"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5</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right="0"/>
              <w:jc w:val="center"/>
              <w:textAlignment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lang w:val="en-US" w:eastAsia="zh-CN"/>
              </w:rPr>
              <w:t>*</w:t>
            </w:r>
            <w:r>
              <w:rPr>
                <w:rFonts w:hint="eastAsia" w:asciiTheme="minorEastAsia" w:hAnsiTheme="minorEastAsia" w:eastAsiaTheme="minorEastAsia" w:cstheme="minorEastAsia"/>
                <w:b/>
                <w:bCs/>
                <w:color w:val="000000"/>
                <w:kern w:val="0"/>
                <w:sz w:val="24"/>
                <w:szCs w:val="24"/>
              </w:rPr>
              <w:t>智能双位划船器</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eastAsia="zh-CN"/>
              </w:rPr>
              <w:t>件</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4</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34"/>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lang w:eastAsia="zh-CN"/>
              </w:rPr>
              <w:t>主要承载立柱尺寸：截面尺寸</w:t>
            </w:r>
            <w:r>
              <w:rPr>
                <w:rFonts w:hint="eastAsia" w:asciiTheme="minorEastAsia" w:hAnsiTheme="minorEastAsia" w:eastAsiaTheme="minorEastAsia" w:cstheme="minorEastAsia"/>
                <w:color w:val="000000"/>
                <w:position w:val="-2"/>
                <w:sz w:val="24"/>
                <w:szCs w:val="24"/>
              </w:rPr>
              <w:t>≥</w:t>
            </w:r>
            <w:r>
              <w:rPr>
                <w:rFonts w:hint="eastAsia" w:asciiTheme="minorEastAsia" w:hAnsiTheme="minorEastAsia" w:eastAsiaTheme="minorEastAsia" w:cstheme="minorEastAsia"/>
                <w:position w:val="-1"/>
                <w:sz w:val="24"/>
                <w:szCs w:val="24"/>
                <w:lang w:eastAsia="zh-CN"/>
              </w:rPr>
              <w:t>172*140mm</w:t>
            </w:r>
            <w:r>
              <w:rPr>
                <w:rFonts w:hint="eastAsia" w:asciiTheme="minorEastAsia" w:hAnsiTheme="minorEastAsia" w:eastAsiaTheme="minorEastAsia" w:cstheme="minorEastAsia"/>
                <w:position w:val="-1"/>
                <w:sz w:val="24"/>
                <w:szCs w:val="24"/>
              </w:rPr>
              <w:t>，钢、铝、塑木结构</w:t>
            </w:r>
            <w:r>
              <w:rPr>
                <w:rFonts w:hint="eastAsia" w:asciiTheme="minorEastAsia" w:hAnsiTheme="minorEastAsia" w:eastAsiaTheme="minorEastAsia" w:cstheme="minorEastAsia"/>
                <w:position w:val="-1"/>
                <w:sz w:val="24"/>
                <w:szCs w:val="24"/>
                <w:lang w:eastAsia="zh-CN"/>
              </w:rPr>
              <w:t>，主承载钢管</w:t>
            </w:r>
            <w:r>
              <w:rPr>
                <w:rFonts w:hint="eastAsia" w:asciiTheme="minorEastAsia" w:hAnsiTheme="minorEastAsia" w:eastAsiaTheme="minorEastAsia" w:cstheme="minorEastAsia"/>
                <w:color w:val="000000"/>
                <w:position w:val="-2"/>
                <w:sz w:val="24"/>
                <w:szCs w:val="24"/>
              </w:rPr>
              <w:t>≥</w:t>
            </w:r>
            <w:r>
              <w:rPr>
                <w:rFonts w:hint="eastAsia" w:asciiTheme="minorEastAsia" w:hAnsiTheme="minorEastAsia" w:eastAsiaTheme="minorEastAsia" w:cstheme="minorEastAsia"/>
                <w:position w:val="-1"/>
                <w:sz w:val="24"/>
                <w:szCs w:val="24"/>
                <w:lang w:eastAsia="zh-CN"/>
              </w:rPr>
              <w:t>140*140*3mm方形钢管；</w:t>
            </w:r>
          </w:p>
          <w:p>
            <w:pPr>
              <w:keepNext w:val="0"/>
              <w:keepLines w:val="0"/>
              <w:numPr>
                <w:ilvl w:val="0"/>
                <w:numId w:val="34"/>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lang w:eastAsia="zh-CN"/>
              </w:rPr>
              <w:t>主要承载横梁尺寸：</w:t>
            </w:r>
            <w:r>
              <w:rPr>
                <w:rFonts w:hint="eastAsia" w:asciiTheme="minorEastAsia" w:hAnsiTheme="minorEastAsia" w:eastAsiaTheme="minorEastAsia" w:cstheme="minorEastAsia"/>
                <w:color w:val="000000"/>
                <w:position w:val="-2"/>
                <w:sz w:val="24"/>
                <w:szCs w:val="24"/>
              </w:rPr>
              <w:t>≥</w:t>
            </w:r>
            <w:r>
              <w:rPr>
                <w:rFonts w:hint="eastAsia" w:asciiTheme="minorEastAsia" w:hAnsiTheme="minorEastAsia" w:eastAsiaTheme="minorEastAsia" w:cstheme="minorEastAsia"/>
                <w:position w:val="-1"/>
                <w:sz w:val="24"/>
                <w:szCs w:val="24"/>
                <w:lang w:eastAsia="zh-CN"/>
              </w:rPr>
              <w:t>50*100*3mm</w:t>
            </w:r>
            <w:r>
              <w:rPr>
                <w:rFonts w:hint="eastAsia" w:asciiTheme="minorEastAsia" w:hAnsiTheme="minorEastAsia" w:eastAsiaTheme="minorEastAsia" w:cstheme="minorEastAsia"/>
                <w:position w:val="-1"/>
                <w:sz w:val="24"/>
                <w:szCs w:val="24"/>
              </w:rPr>
              <w:t>；</w:t>
            </w:r>
          </w:p>
          <w:p>
            <w:pPr>
              <w:keepNext w:val="0"/>
              <w:keepLines w:val="0"/>
              <w:numPr>
                <w:ilvl w:val="0"/>
                <w:numId w:val="34"/>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rPr>
              <w:t>安装方式：预埋式；</w:t>
            </w:r>
          </w:p>
          <w:p>
            <w:pPr>
              <w:keepNext w:val="0"/>
              <w:keepLines w:val="0"/>
              <w:numPr>
                <w:ilvl w:val="0"/>
                <w:numId w:val="34"/>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数据采集：运动时间，运动次数</w:t>
            </w:r>
          </w:p>
          <w:p>
            <w:pPr>
              <w:keepNext w:val="0"/>
              <w:keepLines w:val="0"/>
              <w:numPr>
                <w:ilvl w:val="0"/>
                <w:numId w:val="34"/>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数据传输方式：无线传输</w:t>
            </w:r>
          </w:p>
          <w:p>
            <w:pPr>
              <w:keepNext w:val="0"/>
              <w:keepLines w:val="0"/>
              <w:numPr>
                <w:ilvl w:val="0"/>
                <w:numId w:val="34"/>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数据呈现方式：语音播报，固定显示屏，智能终端；</w:t>
            </w:r>
          </w:p>
          <w:p>
            <w:pPr>
              <w:keepNext w:val="0"/>
              <w:keepLines w:val="0"/>
              <w:numPr>
                <w:ilvl w:val="0"/>
                <w:numId w:val="34"/>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lang w:val="en-US" w:eastAsia="zh-CN"/>
              </w:rPr>
              <w:t>产品顶棚上部装有太阳能板，具备太阳能光伏供电系统，夜间照明功能。</w:t>
            </w:r>
          </w:p>
          <w:p>
            <w:pPr>
              <w:keepNext w:val="0"/>
              <w:keepLines w:val="0"/>
              <w:numPr>
                <w:ilvl w:val="0"/>
                <w:numId w:val="34"/>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器材符合GB19272-2011《室外健身器材的安全通用要求》并获得NSCC国体认证证书。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0"/>
              </w:numPr>
              <w:suppressLineNumbers w:val="0"/>
              <w:spacing w:before="0" w:beforeLines="0" w:beforeAutospacing="0" w:after="0" w:afterLines="0" w:afterAutospacing="0"/>
              <w:ind w:left="0" w:leftChars="0"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6</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right="0"/>
              <w:jc w:val="center"/>
              <w:textAlignment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lang w:val="en-US" w:eastAsia="zh-CN"/>
              </w:rPr>
              <w:t>*</w:t>
            </w:r>
            <w:r>
              <w:rPr>
                <w:rFonts w:hint="eastAsia" w:asciiTheme="minorEastAsia" w:hAnsiTheme="minorEastAsia" w:eastAsiaTheme="minorEastAsia" w:cstheme="minorEastAsia"/>
                <w:b/>
                <w:bCs/>
                <w:color w:val="000000"/>
                <w:kern w:val="0"/>
                <w:sz w:val="24"/>
                <w:szCs w:val="24"/>
              </w:rPr>
              <w:t>智能双位推举训练器</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eastAsia="zh-CN"/>
              </w:rPr>
              <w:t>件</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4</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35"/>
              </w:numPr>
              <w:suppressLineNumbers w:val="0"/>
              <w:snapToGrid w:val="0"/>
              <w:spacing w:before="0" w:beforeLines="0" w:beforeAutospacing="0" w:after="0" w:afterLines="0" w:afterAutospacing="0"/>
              <w:ind w:right="0" w:firstLine="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lang w:eastAsia="zh-CN"/>
              </w:rPr>
              <w:t>主要承载立柱尺寸：截面尺寸</w:t>
            </w:r>
            <w:r>
              <w:rPr>
                <w:rFonts w:hint="eastAsia" w:asciiTheme="minorEastAsia" w:hAnsiTheme="minorEastAsia" w:eastAsiaTheme="minorEastAsia" w:cstheme="minorEastAsia"/>
                <w:color w:val="000000"/>
                <w:position w:val="-2"/>
                <w:sz w:val="24"/>
                <w:szCs w:val="24"/>
              </w:rPr>
              <w:t>≥</w:t>
            </w:r>
            <w:r>
              <w:rPr>
                <w:rFonts w:hint="eastAsia" w:asciiTheme="minorEastAsia" w:hAnsiTheme="minorEastAsia" w:eastAsiaTheme="minorEastAsia" w:cstheme="minorEastAsia"/>
                <w:position w:val="-1"/>
                <w:sz w:val="24"/>
                <w:szCs w:val="24"/>
                <w:lang w:eastAsia="zh-CN"/>
              </w:rPr>
              <w:t>172*140mm</w:t>
            </w:r>
            <w:r>
              <w:rPr>
                <w:rFonts w:hint="eastAsia" w:asciiTheme="minorEastAsia" w:hAnsiTheme="minorEastAsia" w:eastAsiaTheme="minorEastAsia" w:cstheme="minorEastAsia"/>
                <w:position w:val="-1"/>
                <w:sz w:val="24"/>
                <w:szCs w:val="24"/>
              </w:rPr>
              <w:t>，钢、铝、塑木结构</w:t>
            </w:r>
            <w:r>
              <w:rPr>
                <w:rFonts w:hint="eastAsia" w:asciiTheme="minorEastAsia" w:hAnsiTheme="minorEastAsia" w:eastAsiaTheme="minorEastAsia" w:cstheme="minorEastAsia"/>
                <w:position w:val="-1"/>
                <w:sz w:val="24"/>
                <w:szCs w:val="24"/>
                <w:lang w:eastAsia="zh-CN"/>
              </w:rPr>
              <w:t>，主承载钢管</w:t>
            </w:r>
            <w:r>
              <w:rPr>
                <w:rFonts w:hint="eastAsia" w:asciiTheme="minorEastAsia" w:hAnsiTheme="minorEastAsia" w:eastAsiaTheme="minorEastAsia" w:cstheme="minorEastAsia"/>
                <w:color w:val="000000"/>
                <w:position w:val="-2"/>
                <w:sz w:val="24"/>
                <w:szCs w:val="24"/>
              </w:rPr>
              <w:t>≥</w:t>
            </w:r>
            <w:r>
              <w:rPr>
                <w:rFonts w:hint="eastAsia" w:asciiTheme="minorEastAsia" w:hAnsiTheme="minorEastAsia" w:eastAsiaTheme="minorEastAsia" w:cstheme="minorEastAsia"/>
                <w:position w:val="-1"/>
                <w:sz w:val="24"/>
                <w:szCs w:val="24"/>
                <w:lang w:eastAsia="zh-CN"/>
              </w:rPr>
              <w:t>140*140*3mm方形钢管；</w:t>
            </w:r>
          </w:p>
          <w:p>
            <w:pPr>
              <w:keepNext w:val="0"/>
              <w:keepLines w:val="0"/>
              <w:numPr>
                <w:ilvl w:val="0"/>
                <w:numId w:val="35"/>
              </w:numPr>
              <w:suppressLineNumbers w:val="0"/>
              <w:snapToGrid w:val="0"/>
              <w:spacing w:before="0" w:beforeLines="0" w:beforeAutospacing="0" w:after="0" w:afterLines="0" w:afterAutospacing="0"/>
              <w:ind w:right="0" w:firstLine="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rPr>
              <w:t>主要承载横梁尺寸：</w:t>
            </w:r>
            <w:r>
              <w:rPr>
                <w:rFonts w:hint="eastAsia" w:asciiTheme="minorEastAsia" w:hAnsiTheme="minorEastAsia" w:eastAsiaTheme="minorEastAsia" w:cstheme="minorEastAsia"/>
                <w:color w:val="000000"/>
                <w:position w:val="-2"/>
                <w:sz w:val="24"/>
                <w:szCs w:val="24"/>
              </w:rPr>
              <w:t>≥</w:t>
            </w:r>
            <w:r>
              <w:rPr>
                <w:rFonts w:hint="eastAsia" w:asciiTheme="minorEastAsia" w:hAnsiTheme="minorEastAsia" w:eastAsiaTheme="minorEastAsia" w:cstheme="minorEastAsia"/>
                <w:position w:val="-1"/>
                <w:sz w:val="24"/>
                <w:szCs w:val="24"/>
              </w:rPr>
              <w:t>Φ76*3mm；</w:t>
            </w:r>
          </w:p>
          <w:p>
            <w:pPr>
              <w:keepNext w:val="0"/>
              <w:keepLines w:val="0"/>
              <w:numPr>
                <w:ilvl w:val="0"/>
                <w:numId w:val="35"/>
              </w:numPr>
              <w:suppressLineNumbers w:val="0"/>
              <w:snapToGrid w:val="0"/>
              <w:spacing w:before="0" w:beforeLines="0" w:beforeAutospacing="0" w:after="0" w:afterLines="0" w:afterAutospacing="0"/>
              <w:ind w:right="0" w:firstLine="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rPr>
              <w:t>安装方式：预埋式；</w:t>
            </w:r>
          </w:p>
          <w:p>
            <w:pPr>
              <w:keepNext w:val="0"/>
              <w:keepLines w:val="0"/>
              <w:numPr>
                <w:ilvl w:val="0"/>
                <w:numId w:val="35"/>
              </w:numPr>
              <w:suppressLineNumbers w:val="0"/>
              <w:snapToGrid w:val="0"/>
              <w:spacing w:before="0" w:beforeLines="0" w:beforeAutospacing="0" w:after="0" w:afterLines="0" w:afterAutospacing="0"/>
              <w:ind w:right="0" w:firstLine="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数据采集：运动时间，运动次数</w:t>
            </w:r>
          </w:p>
          <w:p>
            <w:pPr>
              <w:keepNext w:val="0"/>
              <w:keepLines w:val="0"/>
              <w:numPr>
                <w:ilvl w:val="0"/>
                <w:numId w:val="35"/>
              </w:numPr>
              <w:suppressLineNumbers w:val="0"/>
              <w:snapToGrid w:val="0"/>
              <w:spacing w:before="0" w:beforeLines="0" w:beforeAutospacing="0" w:after="0" w:afterLines="0" w:afterAutospacing="0"/>
              <w:ind w:right="0" w:firstLine="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数据传输方式：无线传输</w:t>
            </w:r>
          </w:p>
          <w:p>
            <w:pPr>
              <w:keepNext w:val="0"/>
              <w:keepLines w:val="0"/>
              <w:numPr>
                <w:ilvl w:val="0"/>
                <w:numId w:val="35"/>
              </w:numPr>
              <w:suppressLineNumbers w:val="0"/>
              <w:snapToGrid w:val="0"/>
              <w:spacing w:before="0" w:beforeLines="0" w:beforeAutospacing="0" w:after="0" w:afterLines="0" w:afterAutospacing="0"/>
              <w:ind w:right="0" w:firstLine="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数据呈现方式：语音播报，固定显示屏，智能终端；</w:t>
            </w:r>
          </w:p>
          <w:p>
            <w:pPr>
              <w:keepNext w:val="0"/>
              <w:keepLines w:val="0"/>
              <w:numPr>
                <w:ilvl w:val="0"/>
                <w:numId w:val="35"/>
              </w:numPr>
              <w:suppressLineNumbers w:val="0"/>
              <w:snapToGrid w:val="0"/>
              <w:spacing w:before="0" w:beforeLines="0" w:beforeAutospacing="0" w:after="0" w:afterLines="0" w:afterAutospacing="0"/>
              <w:ind w:right="0" w:firstLine="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lang w:val="en-US" w:eastAsia="zh-CN"/>
              </w:rPr>
              <w:t>产品顶棚上部装有太阳能板，具备太阳能光伏供电系统，夜间照明功能。</w:t>
            </w:r>
          </w:p>
          <w:p>
            <w:pPr>
              <w:keepNext w:val="0"/>
              <w:keepLines w:val="0"/>
              <w:numPr>
                <w:ilvl w:val="0"/>
                <w:numId w:val="35"/>
              </w:numPr>
              <w:suppressLineNumbers w:val="0"/>
              <w:snapToGrid w:val="0"/>
              <w:spacing w:before="0" w:beforeLines="0" w:beforeAutospacing="0" w:after="0" w:afterLines="0" w:afterAutospacing="0"/>
              <w:ind w:left="0" w:leftChars="0" w:right="0" w:firstLine="0"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position w:val="-1"/>
                <w:sz w:val="24"/>
                <w:szCs w:val="24"/>
              </w:rPr>
              <w:t>器材符合GB19272-2011《室外健身器材的安全通用要求》并获得NSCC国体认证证书。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0"/>
              </w:numPr>
              <w:suppressLineNumbers w:val="0"/>
              <w:spacing w:before="0" w:beforeLines="0" w:beforeAutospacing="0" w:after="0" w:afterLines="0" w:afterAutospacing="0"/>
              <w:ind w:left="0" w:leftChars="0" w:right="0" w:rightChars="0"/>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7</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right="0"/>
              <w:jc w:val="center"/>
              <w:textAlignment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lang w:val="en-US" w:eastAsia="zh-CN"/>
              </w:rPr>
              <w:t>*</w:t>
            </w:r>
            <w:r>
              <w:rPr>
                <w:rFonts w:hint="eastAsia" w:asciiTheme="minorEastAsia" w:hAnsiTheme="minorEastAsia" w:eastAsiaTheme="minorEastAsia" w:cstheme="minorEastAsia"/>
                <w:b/>
                <w:bCs/>
                <w:color w:val="000000"/>
                <w:kern w:val="0"/>
                <w:sz w:val="24"/>
                <w:szCs w:val="24"/>
              </w:rPr>
              <w:t>智能双位背部按摩器</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color w:val="000000"/>
                <w:kern w:val="0"/>
                <w:sz w:val="24"/>
                <w:szCs w:val="24"/>
                <w:lang w:eastAsia="zh-CN"/>
              </w:rPr>
              <w:t>件</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lang w:val="en-US" w:eastAsia="zh-CN"/>
              </w:rPr>
            </w:pPr>
            <w:r>
              <w:rPr>
                <w:rFonts w:hint="eastAsia" w:asciiTheme="minorEastAsia" w:hAnsiTheme="minorEastAsia" w:eastAsiaTheme="minorEastAsia" w:cstheme="minorEastAsia"/>
                <w:color w:val="000000"/>
                <w:kern w:val="0"/>
                <w:sz w:val="24"/>
                <w:szCs w:val="24"/>
                <w:lang w:val="en-US" w:eastAsia="zh-CN"/>
              </w:rPr>
              <w:t>4</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36"/>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0" w:firstLineChars="0"/>
              <w:jc w:val="left"/>
              <w:textAlignment w:val="auto"/>
              <w:rPr>
                <w:rFonts w:hint="eastAsia" w:asciiTheme="minorEastAsia" w:hAnsiTheme="minorEastAsia" w:eastAsiaTheme="minorEastAsia" w:cstheme="minorEastAsia"/>
                <w:spacing w:val="0"/>
                <w:w w:val="100"/>
                <w:position w:val="-1"/>
                <w:sz w:val="24"/>
                <w:szCs w:val="24"/>
                <w:lang w:val="en-US" w:eastAsia="zh-CN"/>
              </w:rPr>
            </w:pPr>
            <w:r>
              <w:rPr>
                <w:rFonts w:hint="eastAsia" w:asciiTheme="minorEastAsia" w:hAnsiTheme="minorEastAsia" w:eastAsiaTheme="minorEastAsia" w:cstheme="minorEastAsia"/>
                <w:position w:val="-1"/>
                <w:sz w:val="24"/>
                <w:szCs w:val="24"/>
                <w:lang w:eastAsia="zh-CN"/>
              </w:rPr>
              <w:t>主要承载立柱尺寸：</w:t>
            </w:r>
            <w:r>
              <w:rPr>
                <w:rFonts w:hint="eastAsia" w:asciiTheme="minorEastAsia" w:hAnsiTheme="minorEastAsia" w:eastAsiaTheme="minorEastAsia" w:cstheme="minorEastAsia"/>
                <w:spacing w:val="0"/>
                <w:w w:val="100"/>
                <w:position w:val="-1"/>
                <w:sz w:val="24"/>
                <w:szCs w:val="24"/>
                <w:lang w:val="en-US" w:eastAsia="zh-CN"/>
              </w:rPr>
              <w:t>截面尺寸≥172mm*140mm，钢、铝、塑木结构，主承载钢管≥140 mm*140 mm*3.0mm方形钢管；</w:t>
            </w:r>
          </w:p>
          <w:p>
            <w:pPr>
              <w:keepNext w:val="0"/>
              <w:keepLines w:val="0"/>
              <w:pageBreakBefore w:val="0"/>
              <w:widowControl w:val="0"/>
              <w:numPr>
                <w:ilvl w:val="0"/>
                <w:numId w:val="36"/>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0" w:firstLineChars="0"/>
              <w:jc w:val="left"/>
              <w:textAlignment w:val="auto"/>
              <w:rPr>
                <w:rFonts w:hint="eastAsia" w:asciiTheme="minorEastAsia" w:hAnsiTheme="minorEastAsia" w:eastAsiaTheme="minorEastAsia" w:cstheme="minorEastAsia"/>
                <w:spacing w:val="0"/>
                <w:w w:val="100"/>
                <w:position w:val="-1"/>
                <w:sz w:val="24"/>
                <w:szCs w:val="24"/>
                <w:lang w:val="en-US" w:eastAsia="zh-CN"/>
              </w:rPr>
            </w:pPr>
            <w:r>
              <w:rPr>
                <w:rFonts w:hint="eastAsia" w:asciiTheme="minorEastAsia" w:hAnsiTheme="minorEastAsia" w:eastAsiaTheme="minorEastAsia" w:cstheme="minorEastAsia"/>
                <w:spacing w:val="0"/>
                <w:w w:val="100"/>
                <w:position w:val="-1"/>
                <w:sz w:val="24"/>
                <w:szCs w:val="24"/>
                <w:lang w:val="en-US" w:eastAsia="zh-CN"/>
              </w:rPr>
              <w:t>主要承载横梁尺寸：≥40 mm*80 mm*3.0mm，钢管Φ60mm*3.0mm；</w:t>
            </w:r>
          </w:p>
          <w:p>
            <w:pPr>
              <w:keepNext w:val="0"/>
              <w:keepLines w:val="0"/>
              <w:pageBreakBefore w:val="0"/>
              <w:widowControl w:val="0"/>
              <w:numPr>
                <w:ilvl w:val="0"/>
                <w:numId w:val="36"/>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0" w:firstLineChars="0"/>
              <w:jc w:val="left"/>
              <w:textAlignment w:val="auto"/>
              <w:rPr>
                <w:rFonts w:hint="eastAsia" w:asciiTheme="minorEastAsia" w:hAnsiTheme="minorEastAsia" w:eastAsiaTheme="minorEastAsia" w:cstheme="minorEastAsia"/>
                <w:spacing w:val="0"/>
                <w:w w:val="100"/>
                <w:position w:val="-1"/>
                <w:sz w:val="24"/>
                <w:szCs w:val="24"/>
                <w:lang w:val="en-US" w:eastAsia="zh-CN"/>
              </w:rPr>
            </w:pPr>
            <w:r>
              <w:rPr>
                <w:rFonts w:hint="eastAsia" w:asciiTheme="minorEastAsia" w:hAnsiTheme="minorEastAsia" w:eastAsiaTheme="minorEastAsia" w:cstheme="minorEastAsia"/>
                <w:spacing w:val="0"/>
                <w:w w:val="100"/>
                <w:position w:val="-1"/>
                <w:sz w:val="24"/>
                <w:szCs w:val="24"/>
                <w:lang w:val="en-US" w:eastAsia="zh-CN"/>
              </w:rPr>
              <w:t>安装方式：预埋式；</w:t>
            </w:r>
          </w:p>
          <w:p>
            <w:pPr>
              <w:keepNext w:val="0"/>
              <w:keepLines w:val="0"/>
              <w:pageBreakBefore w:val="0"/>
              <w:widowControl w:val="0"/>
              <w:numPr>
                <w:ilvl w:val="0"/>
                <w:numId w:val="36"/>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0" w:firstLineChars="0"/>
              <w:jc w:val="left"/>
              <w:textAlignment w:val="auto"/>
              <w:rPr>
                <w:rFonts w:hint="eastAsia" w:asciiTheme="minorEastAsia" w:hAnsiTheme="minorEastAsia" w:eastAsiaTheme="minorEastAsia" w:cstheme="minorEastAsia"/>
                <w:spacing w:val="0"/>
                <w:w w:val="100"/>
                <w:position w:val="-1"/>
                <w:sz w:val="24"/>
                <w:szCs w:val="24"/>
                <w:lang w:val="en-US" w:eastAsia="zh-CN"/>
              </w:rPr>
            </w:pPr>
            <w:r>
              <w:rPr>
                <w:rFonts w:hint="eastAsia" w:asciiTheme="minorEastAsia" w:hAnsiTheme="minorEastAsia" w:eastAsiaTheme="minorEastAsia" w:cstheme="minorEastAsia"/>
                <w:sz w:val="24"/>
                <w:szCs w:val="24"/>
                <w:vertAlign w:val="baseline"/>
                <w:lang w:val="en-US" w:eastAsia="zh-CN"/>
              </w:rPr>
              <w:t>数据采集：运动时间，运动次数</w:t>
            </w:r>
          </w:p>
          <w:p>
            <w:pPr>
              <w:keepNext w:val="0"/>
              <w:keepLines w:val="0"/>
              <w:pageBreakBefore w:val="0"/>
              <w:widowControl w:val="0"/>
              <w:numPr>
                <w:ilvl w:val="0"/>
                <w:numId w:val="36"/>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0" w:firstLineChars="0"/>
              <w:jc w:val="left"/>
              <w:textAlignment w:val="auto"/>
              <w:rPr>
                <w:rFonts w:hint="eastAsia" w:asciiTheme="minorEastAsia" w:hAnsiTheme="minorEastAsia" w:eastAsiaTheme="minorEastAsia" w:cstheme="minorEastAsia"/>
                <w:spacing w:val="0"/>
                <w:w w:val="100"/>
                <w:position w:val="-1"/>
                <w:sz w:val="24"/>
                <w:szCs w:val="24"/>
                <w:lang w:val="en-US" w:eastAsia="zh-CN"/>
              </w:rPr>
            </w:pPr>
            <w:r>
              <w:rPr>
                <w:rFonts w:hint="eastAsia" w:asciiTheme="minorEastAsia" w:hAnsiTheme="minorEastAsia" w:eastAsiaTheme="minorEastAsia" w:cstheme="minorEastAsia"/>
                <w:sz w:val="24"/>
                <w:szCs w:val="24"/>
                <w:vertAlign w:val="baseline"/>
                <w:lang w:val="en-US" w:eastAsia="zh-CN"/>
              </w:rPr>
              <w:t>数据传输方式：无线传输</w:t>
            </w:r>
          </w:p>
          <w:p>
            <w:pPr>
              <w:keepNext w:val="0"/>
              <w:keepLines w:val="0"/>
              <w:pageBreakBefore w:val="0"/>
              <w:widowControl w:val="0"/>
              <w:numPr>
                <w:ilvl w:val="0"/>
                <w:numId w:val="36"/>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0" w:firstLineChars="0"/>
              <w:jc w:val="left"/>
              <w:textAlignment w:val="auto"/>
              <w:rPr>
                <w:rFonts w:hint="eastAsia" w:asciiTheme="minorEastAsia" w:hAnsiTheme="minorEastAsia" w:eastAsiaTheme="minorEastAsia" w:cstheme="minorEastAsia"/>
                <w:spacing w:val="0"/>
                <w:w w:val="100"/>
                <w:position w:val="-1"/>
                <w:sz w:val="24"/>
                <w:szCs w:val="24"/>
                <w:lang w:val="en-US" w:eastAsia="zh-CN"/>
              </w:rPr>
            </w:pPr>
            <w:r>
              <w:rPr>
                <w:rFonts w:hint="eastAsia" w:asciiTheme="minorEastAsia" w:hAnsiTheme="minorEastAsia" w:eastAsiaTheme="minorEastAsia" w:cstheme="minorEastAsia"/>
                <w:sz w:val="24"/>
                <w:szCs w:val="24"/>
                <w:vertAlign w:val="baseline"/>
                <w:lang w:val="en-US" w:eastAsia="zh-CN"/>
              </w:rPr>
              <w:t>数据呈现方式：语音播报，固定显示屏，智能终端；</w:t>
            </w:r>
          </w:p>
          <w:p>
            <w:pPr>
              <w:keepNext w:val="0"/>
              <w:keepLines w:val="0"/>
              <w:pageBreakBefore w:val="0"/>
              <w:widowControl w:val="0"/>
              <w:numPr>
                <w:ilvl w:val="0"/>
                <w:numId w:val="36"/>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0" w:firstLineChars="0"/>
              <w:jc w:val="left"/>
              <w:textAlignment w:val="auto"/>
              <w:rPr>
                <w:rFonts w:hint="eastAsia" w:asciiTheme="minorEastAsia" w:hAnsiTheme="minorEastAsia" w:eastAsiaTheme="minorEastAsia" w:cstheme="minorEastAsia"/>
                <w:spacing w:val="0"/>
                <w:w w:val="100"/>
                <w:position w:val="-1"/>
                <w:sz w:val="24"/>
                <w:szCs w:val="24"/>
                <w:lang w:val="en-US" w:eastAsia="zh-CN"/>
              </w:rPr>
            </w:pPr>
            <w:r>
              <w:rPr>
                <w:rFonts w:hint="eastAsia" w:asciiTheme="minorEastAsia" w:hAnsiTheme="minorEastAsia" w:eastAsiaTheme="minorEastAsia" w:cstheme="minorEastAsia"/>
                <w:spacing w:val="0"/>
                <w:w w:val="100"/>
                <w:position w:val="-1"/>
                <w:sz w:val="24"/>
                <w:szCs w:val="24"/>
                <w:lang w:val="en-US" w:eastAsia="zh-CN"/>
              </w:rPr>
              <w:t>产品顶棚上部装有太阳能板，具备太阳能光伏供电系统，夜间照明功能。</w:t>
            </w:r>
          </w:p>
          <w:p>
            <w:pPr>
              <w:keepNext w:val="0"/>
              <w:keepLines w:val="0"/>
              <w:pageBreakBefore w:val="0"/>
              <w:widowControl w:val="0"/>
              <w:numPr>
                <w:ilvl w:val="0"/>
                <w:numId w:val="36"/>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0" w:firstLineChars="0"/>
              <w:jc w:val="left"/>
              <w:textAlignment w:val="auto"/>
              <w:rPr>
                <w:rFonts w:hint="eastAsia" w:asciiTheme="minorEastAsia" w:hAnsiTheme="minorEastAsia" w:eastAsiaTheme="minorEastAsia" w:cstheme="minorEastAsia"/>
                <w:kern w:val="2"/>
                <w:sz w:val="24"/>
                <w:szCs w:val="24"/>
                <w:vertAlign w:val="baseline"/>
                <w:lang w:val="en-US" w:eastAsia="zh-CN" w:bidi="ar-SA"/>
              </w:rPr>
            </w:pPr>
            <w:r>
              <w:rPr>
                <w:rFonts w:hint="eastAsia" w:asciiTheme="minorEastAsia" w:hAnsiTheme="minorEastAsia" w:eastAsiaTheme="minorEastAsia" w:cstheme="minorEastAsia"/>
                <w:color w:val="000000"/>
                <w:sz w:val="24"/>
                <w:szCs w:val="24"/>
              </w:rPr>
              <w:t>器材符合GB19272-2011《室外健身器材的通用安全要求》并获得NSCC国体认证证书。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0"/>
              </w:numPr>
              <w:suppressLineNumbers w:val="0"/>
              <w:spacing w:before="0" w:beforeLines="0" w:beforeAutospacing="0" w:after="0" w:afterLines="0" w:afterAutospacing="0"/>
              <w:ind w:left="0" w:leftChars="0"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8</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right="0"/>
              <w:jc w:val="center"/>
              <w:textAlignment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lang w:val="en-US" w:eastAsia="zh-CN"/>
              </w:rPr>
              <w:t>*</w:t>
            </w:r>
            <w:r>
              <w:rPr>
                <w:rFonts w:hint="eastAsia" w:asciiTheme="minorEastAsia" w:hAnsiTheme="minorEastAsia" w:eastAsiaTheme="minorEastAsia" w:cstheme="minorEastAsia"/>
                <w:b/>
                <w:bCs/>
                <w:color w:val="000000"/>
                <w:kern w:val="0"/>
                <w:sz w:val="24"/>
                <w:szCs w:val="24"/>
              </w:rPr>
              <w:t>智能双位太极揉推器</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eastAsia="zh-CN"/>
              </w:rPr>
              <w:t>件</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5</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37"/>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主要承载立柱尺寸：截面</w:t>
            </w:r>
            <w:r>
              <w:rPr>
                <w:rFonts w:hint="eastAsia" w:asciiTheme="minorEastAsia" w:hAnsiTheme="minorEastAsia" w:eastAsiaTheme="minorEastAsia" w:cstheme="minorEastAsia"/>
                <w:position w:val="-1"/>
                <w:sz w:val="24"/>
                <w:szCs w:val="24"/>
              </w:rPr>
              <w:t>尺寸</w:t>
            </w:r>
            <w:r>
              <w:rPr>
                <w:rFonts w:hint="eastAsia" w:asciiTheme="minorEastAsia" w:hAnsiTheme="minorEastAsia" w:eastAsiaTheme="minorEastAsia" w:cstheme="minorEastAsia"/>
                <w:i w:val="0"/>
                <w:color w:val="000000"/>
                <w:kern w:val="0"/>
                <w:sz w:val="24"/>
                <w:szCs w:val="24"/>
                <w:u w:val="none"/>
                <w:lang w:val="en-US" w:eastAsia="zh-CN" w:bidi="ar"/>
              </w:rPr>
              <w:t>≥</w:t>
            </w:r>
            <w:r>
              <w:rPr>
                <w:rFonts w:hint="eastAsia" w:asciiTheme="minorEastAsia" w:hAnsiTheme="minorEastAsia" w:eastAsiaTheme="minorEastAsia" w:cstheme="minorEastAsia"/>
                <w:position w:val="-1"/>
                <w:sz w:val="24"/>
                <w:szCs w:val="24"/>
                <w:lang w:eastAsia="zh-CN"/>
              </w:rPr>
              <w:t>172*140mm</w:t>
            </w:r>
            <w:r>
              <w:rPr>
                <w:rFonts w:hint="eastAsia" w:asciiTheme="minorEastAsia" w:hAnsiTheme="minorEastAsia" w:eastAsiaTheme="minorEastAsia" w:cstheme="minorEastAsia"/>
                <w:position w:val="-1"/>
                <w:sz w:val="24"/>
                <w:szCs w:val="24"/>
              </w:rPr>
              <w:t>，钢、铝、塑木结构，</w:t>
            </w:r>
            <w:r>
              <w:rPr>
                <w:rFonts w:hint="eastAsia" w:asciiTheme="minorEastAsia" w:hAnsiTheme="minorEastAsia" w:eastAsiaTheme="minorEastAsia" w:cstheme="minorEastAsia"/>
                <w:position w:val="-1"/>
                <w:sz w:val="24"/>
                <w:szCs w:val="24"/>
                <w:lang w:eastAsia="zh-CN"/>
              </w:rPr>
              <w:t>主承载钢管</w:t>
            </w:r>
            <w:r>
              <w:rPr>
                <w:rFonts w:hint="eastAsia" w:asciiTheme="minorEastAsia" w:hAnsiTheme="minorEastAsia" w:eastAsiaTheme="minorEastAsia" w:cstheme="minorEastAsia"/>
                <w:i w:val="0"/>
                <w:color w:val="000000"/>
                <w:kern w:val="0"/>
                <w:sz w:val="24"/>
                <w:szCs w:val="24"/>
                <w:u w:val="none"/>
                <w:lang w:val="en-US" w:eastAsia="zh-CN" w:bidi="ar"/>
              </w:rPr>
              <w:t>≥</w:t>
            </w:r>
            <w:r>
              <w:rPr>
                <w:rFonts w:hint="eastAsia" w:asciiTheme="minorEastAsia" w:hAnsiTheme="minorEastAsia" w:eastAsiaTheme="minorEastAsia" w:cstheme="minorEastAsia"/>
                <w:position w:val="-1"/>
                <w:sz w:val="24"/>
                <w:szCs w:val="24"/>
                <w:lang w:eastAsia="zh-CN"/>
              </w:rPr>
              <w:t>140*140*3mm方形钢管；</w:t>
            </w:r>
          </w:p>
          <w:p>
            <w:pPr>
              <w:keepNext w:val="0"/>
              <w:keepLines w:val="0"/>
              <w:numPr>
                <w:ilvl w:val="0"/>
                <w:numId w:val="37"/>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lang w:eastAsia="zh-CN"/>
              </w:rPr>
              <w:t>主要承载横梁尺寸：</w:t>
            </w:r>
            <w:r>
              <w:rPr>
                <w:rFonts w:hint="eastAsia" w:asciiTheme="minorEastAsia" w:hAnsiTheme="minorEastAsia" w:eastAsiaTheme="minorEastAsia" w:cstheme="minorEastAsia"/>
                <w:i w:val="0"/>
                <w:color w:val="000000"/>
                <w:kern w:val="0"/>
                <w:sz w:val="24"/>
                <w:szCs w:val="24"/>
                <w:u w:val="none"/>
                <w:lang w:val="en-US" w:eastAsia="zh-CN" w:bidi="ar"/>
              </w:rPr>
              <w:t>≥</w:t>
            </w:r>
            <w:r>
              <w:rPr>
                <w:rFonts w:hint="eastAsia" w:asciiTheme="minorEastAsia" w:hAnsiTheme="minorEastAsia" w:eastAsiaTheme="minorEastAsia" w:cstheme="minorEastAsia"/>
                <w:position w:val="-1"/>
                <w:sz w:val="24"/>
                <w:szCs w:val="24"/>
                <w:lang w:eastAsia="zh-CN"/>
              </w:rPr>
              <w:t>Φ60*3mm</w:t>
            </w:r>
            <w:r>
              <w:rPr>
                <w:rFonts w:hint="eastAsia" w:asciiTheme="minorEastAsia" w:hAnsiTheme="minorEastAsia" w:eastAsiaTheme="minorEastAsia" w:cstheme="minorEastAsia"/>
                <w:position w:val="-1"/>
                <w:sz w:val="24"/>
                <w:szCs w:val="24"/>
              </w:rPr>
              <w:t>；</w:t>
            </w:r>
          </w:p>
          <w:p>
            <w:pPr>
              <w:keepNext w:val="0"/>
              <w:keepLines w:val="0"/>
              <w:numPr>
                <w:ilvl w:val="0"/>
                <w:numId w:val="37"/>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rPr>
              <w:t>安装方式：预埋式；</w:t>
            </w:r>
          </w:p>
          <w:p>
            <w:pPr>
              <w:keepNext w:val="0"/>
              <w:keepLines w:val="0"/>
              <w:numPr>
                <w:ilvl w:val="0"/>
                <w:numId w:val="37"/>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数据采集：运动时间，运动次数</w:t>
            </w:r>
          </w:p>
          <w:p>
            <w:pPr>
              <w:keepNext w:val="0"/>
              <w:keepLines w:val="0"/>
              <w:numPr>
                <w:ilvl w:val="0"/>
                <w:numId w:val="37"/>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数据传输方式：无线传输</w:t>
            </w:r>
          </w:p>
          <w:p>
            <w:pPr>
              <w:keepNext w:val="0"/>
              <w:keepLines w:val="0"/>
              <w:numPr>
                <w:ilvl w:val="0"/>
                <w:numId w:val="37"/>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数据呈现方式：语音播报，固定显示屏，智能终端；</w:t>
            </w:r>
          </w:p>
          <w:p>
            <w:pPr>
              <w:keepNext w:val="0"/>
              <w:keepLines w:val="0"/>
              <w:numPr>
                <w:ilvl w:val="0"/>
                <w:numId w:val="37"/>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rPr>
              <w:t>产品顶棚上部装有太阳能板，具备太阳能光伏供电系统，夜间照明功能。</w:t>
            </w:r>
          </w:p>
          <w:p>
            <w:pPr>
              <w:keepNext w:val="0"/>
              <w:keepLines w:val="0"/>
              <w:numPr>
                <w:ilvl w:val="0"/>
                <w:numId w:val="37"/>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position w:val="-1"/>
                <w:sz w:val="24"/>
                <w:szCs w:val="24"/>
              </w:rPr>
              <w:t>器材符合GB19272-2011《室外健身器材的安全通用要求》并获得NSCC国体认证证书。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0"/>
              </w:numPr>
              <w:suppressLineNumbers w:val="0"/>
              <w:spacing w:before="0" w:beforeLines="0" w:beforeAutospacing="0" w:after="0" w:afterLines="0" w:afterAutospacing="0"/>
              <w:ind w:left="0" w:leftChars="0"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9</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right="0"/>
              <w:jc w:val="center"/>
              <w:textAlignment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lang w:val="en-US" w:eastAsia="zh-CN"/>
              </w:rPr>
              <w:t>*</w:t>
            </w:r>
            <w:r>
              <w:rPr>
                <w:rFonts w:hint="eastAsia" w:asciiTheme="minorEastAsia" w:hAnsiTheme="minorEastAsia" w:eastAsiaTheme="minorEastAsia" w:cstheme="minorEastAsia"/>
                <w:b/>
                <w:bCs/>
                <w:color w:val="000000"/>
                <w:kern w:val="0"/>
                <w:sz w:val="24"/>
                <w:szCs w:val="24"/>
              </w:rPr>
              <w:t>智能双位钟摆器</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eastAsia="zh-CN"/>
              </w:rPr>
              <w:t>件</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5</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38"/>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lang w:eastAsia="zh-CN"/>
              </w:rPr>
              <w:t>主要承载立柱尺寸：截面尺寸</w:t>
            </w:r>
            <w:r>
              <w:rPr>
                <w:rFonts w:hint="eastAsia" w:asciiTheme="minorEastAsia" w:hAnsiTheme="minorEastAsia" w:eastAsiaTheme="minorEastAsia" w:cstheme="minorEastAsia"/>
                <w:i w:val="0"/>
                <w:color w:val="000000"/>
                <w:kern w:val="0"/>
                <w:sz w:val="24"/>
                <w:szCs w:val="24"/>
                <w:u w:val="none"/>
                <w:lang w:val="en-US" w:eastAsia="zh-CN" w:bidi="ar"/>
              </w:rPr>
              <w:t>≥</w:t>
            </w:r>
            <w:r>
              <w:rPr>
                <w:rFonts w:hint="eastAsia" w:asciiTheme="minorEastAsia" w:hAnsiTheme="minorEastAsia" w:eastAsiaTheme="minorEastAsia" w:cstheme="minorEastAsia"/>
                <w:position w:val="-1"/>
                <w:sz w:val="24"/>
                <w:szCs w:val="24"/>
                <w:lang w:eastAsia="zh-CN"/>
              </w:rPr>
              <w:t>172*140mm</w:t>
            </w:r>
            <w:r>
              <w:rPr>
                <w:rFonts w:hint="eastAsia" w:asciiTheme="minorEastAsia" w:hAnsiTheme="minorEastAsia" w:eastAsiaTheme="minorEastAsia" w:cstheme="minorEastAsia"/>
                <w:position w:val="-1"/>
                <w:sz w:val="24"/>
                <w:szCs w:val="24"/>
              </w:rPr>
              <w:t>，钢、铝、塑木结构</w:t>
            </w:r>
            <w:r>
              <w:rPr>
                <w:rFonts w:hint="eastAsia" w:asciiTheme="minorEastAsia" w:hAnsiTheme="minorEastAsia" w:eastAsiaTheme="minorEastAsia" w:cstheme="minorEastAsia"/>
                <w:position w:val="-1"/>
                <w:sz w:val="24"/>
                <w:szCs w:val="24"/>
                <w:lang w:eastAsia="zh-CN"/>
              </w:rPr>
              <w:t>，主承载钢管</w:t>
            </w:r>
            <w:r>
              <w:rPr>
                <w:rFonts w:hint="eastAsia" w:asciiTheme="minorEastAsia" w:hAnsiTheme="minorEastAsia" w:eastAsiaTheme="minorEastAsia" w:cstheme="minorEastAsia"/>
                <w:i w:val="0"/>
                <w:color w:val="000000"/>
                <w:kern w:val="0"/>
                <w:sz w:val="24"/>
                <w:szCs w:val="24"/>
                <w:u w:val="none"/>
                <w:lang w:val="en-US" w:eastAsia="zh-CN" w:bidi="ar"/>
              </w:rPr>
              <w:t>≥</w:t>
            </w:r>
            <w:r>
              <w:rPr>
                <w:rFonts w:hint="eastAsia" w:asciiTheme="minorEastAsia" w:hAnsiTheme="minorEastAsia" w:eastAsiaTheme="minorEastAsia" w:cstheme="minorEastAsia"/>
                <w:position w:val="-1"/>
                <w:sz w:val="24"/>
                <w:szCs w:val="24"/>
                <w:lang w:eastAsia="zh-CN"/>
              </w:rPr>
              <w:t>140*140*3mm方形钢管；</w:t>
            </w:r>
          </w:p>
          <w:p>
            <w:pPr>
              <w:keepNext w:val="0"/>
              <w:keepLines w:val="0"/>
              <w:numPr>
                <w:ilvl w:val="0"/>
                <w:numId w:val="38"/>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rPr>
              <w:t>主要承载横梁尺寸：</w:t>
            </w:r>
            <w:r>
              <w:rPr>
                <w:rFonts w:hint="eastAsia" w:asciiTheme="minorEastAsia" w:hAnsiTheme="minorEastAsia" w:eastAsiaTheme="minorEastAsia" w:cstheme="minorEastAsia"/>
                <w:i w:val="0"/>
                <w:color w:val="000000"/>
                <w:kern w:val="0"/>
                <w:sz w:val="24"/>
                <w:szCs w:val="24"/>
                <w:u w:val="none"/>
                <w:lang w:val="en-US" w:eastAsia="zh-CN" w:bidi="ar"/>
              </w:rPr>
              <w:t>≥</w:t>
            </w:r>
            <w:r>
              <w:rPr>
                <w:rFonts w:hint="eastAsia" w:asciiTheme="minorEastAsia" w:hAnsiTheme="minorEastAsia" w:eastAsiaTheme="minorEastAsia" w:cstheme="minorEastAsia"/>
                <w:position w:val="-1"/>
                <w:sz w:val="24"/>
                <w:szCs w:val="24"/>
              </w:rPr>
              <w:t>Φ</w:t>
            </w:r>
            <w:r>
              <w:rPr>
                <w:rFonts w:hint="eastAsia" w:asciiTheme="minorEastAsia" w:hAnsiTheme="minorEastAsia" w:eastAsiaTheme="minorEastAsia" w:cstheme="minorEastAsia"/>
                <w:position w:val="-1"/>
                <w:sz w:val="24"/>
                <w:szCs w:val="24"/>
                <w:lang w:eastAsia="zh-CN"/>
              </w:rPr>
              <w:t>60*3mm</w:t>
            </w:r>
            <w:r>
              <w:rPr>
                <w:rFonts w:hint="eastAsia" w:asciiTheme="minorEastAsia" w:hAnsiTheme="minorEastAsia" w:eastAsiaTheme="minorEastAsia" w:cstheme="minorEastAsia"/>
                <w:position w:val="-1"/>
                <w:sz w:val="24"/>
                <w:szCs w:val="24"/>
              </w:rPr>
              <w:t>；</w:t>
            </w:r>
          </w:p>
          <w:p>
            <w:pPr>
              <w:keepNext w:val="0"/>
              <w:keepLines w:val="0"/>
              <w:numPr>
                <w:ilvl w:val="0"/>
                <w:numId w:val="38"/>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rPr>
              <w:t>安装方式：预埋+直埋式</w:t>
            </w:r>
          </w:p>
          <w:p>
            <w:pPr>
              <w:keepNext w:val="0"/>
              <w:keepLines w:val="0"/>
              <w:numPr>
                <w:ilvl w:val="0"/>
                <w:numId w:val="38"/>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数据采集：运动时间，运动次数</w:t>
            </w:r>
          </w:p>
          <w:p>
            <w:pPr>
              <w:keepNext w:val="0"/>
              <w:keepLines w:val="0"/>
              <w:numPr>
                <w:ilvl w:val="0"/>
                <w:numId w:val="38"/>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数据传输方式：无线传输</w:t>
            </w:r>
          </w:p>
          <w:p>
            <w:pPr>
              <w:keepNext w:val="0"/>
              <w:keepLines w:val="0"/>
              <w:numPr>
                <w:ilvl w:val="0"/>
                <w:numId w:val="38"/>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数据呈现方式：语音播报，固定显示屏，智能终端；</w:t>
            </w:r>
          </w:p>
          <w:p>
            <w:pPr>
              <w:keepNext w:val="0"/>
              <w:keepLines w:val="0"/>
              <w:numPr>
                <w:ilvl w:val="0"/>
                <w:numId w:val="38"/>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lang w:val="en-US" w:eastAsia="zh-CN"/>
              </w:rPr>
              <w:t>产品顶棚上部装有太阳能板，具备太阳能光伏供电系统，夜间照明功能。</w:t>
            </w:r>
          </w:p>
          <w:p>
            <w:pPr>
              <w:keepNext w:val="0"/>
              <w:keepLines w:val="0"/>
              <w:numPr>
                <w:ilvl w:val="0"/>
                <w:numId w:val="38"/>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position w:val="-1"/>
                <w:sz w:val="24"/>
                <w:szCs w:val="24"/>
              </w:rPr>
              <w:t>器材符合GB19272-2011《室外健身器材的安全通用要求》并获得NSCC国体认证证书。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0"/>
              </w:numPr>
              <w:suppressLineNumbers w:val="0"/>
              <w:spacing w:before="0" w:beforeLines="0" w:beforeAutospacing="0" w:after="0" w:afterLines="0" w:afterAutospacing="0"/>
              <w:ind w:left="0" w:leftChars="0"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10</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right="0"/>
              <w:jc w:val="center"/>
              <w:textAlignment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lang w:val="en-US" w:eastAsia="zh-CN"/>
              </w:rPr>
              <w:t>*</w:t>
            </w:r>
            <w:r>
              <w:rPr>
                <w:rFonts w:hint="eastAsia" w:asciiTheme="minorEastAsia" w:hAnsiTheme="minorEastAsia" w:eastAsiaTheme="minorEastAsia" w:cstheme="minorEastAsia"/>
                <w:b/>
                <w:bCs/>
                <w:color w:val="000000"/>
                <w:kern w:val="0"/>
                <w:sz w:val="24"/>
                <w:szCs w:val="24"/>
              </w:rPr>
              <w:t>智能双位扭腰器</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eastAsia="zh-CN"/>
              </w:rPr>
              <w:t>件</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5</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39"/>
              </w:numPr>
              <w:suppressLineNumbers w:val="0"/>
              <w:snapToGrid w:val="0"/>
              <w:spacing w:before="0" w:beforeLines="0" w:beforeAutospacing="0" w:after="0" w:afterLines="0" w:afterAutospacing="0"/>
              <w:ind w:left="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position w:val="-2"/>
                <w:sz w:val="24"/>
                <w:szCs w:val="24"/>
                <w:lang w:eastAsia="zh-CN"/>
              </w:rPr>
              <w:t>主要承载立柱尺寸：截面尺寸</w:t>
            </w:r>
            <w:r>
              <w:rPr>
                <w:rFonts w:hint="eastAsia" w:asciiTheme="minorEastAsia" w:hAnsiTheme="minorEastAsia" w:eastAsiaTheme="minorEastAsia" w:cstheme="minorEastAsia"/>
                <w:i w:val="0"/>
                <w:color w:val="000000"/>
                <w:kern w:val="0"/>
                <w:sz w:val="24"/>
                <w:szCs w:val="24"/>
                <w:u w:val="none"/>
                <w:lang w:val="en-US" w:eastAsia="zh-CN" w:bidi="ar"/>
              </w:rPr>
              <w:t>≥</w:t>
            </w:r>
            <w:r>
              <w:rPr>
                <w:rFonts w:hint="eastAsia" w:asciiTheme="minorEastAsia" w:hAnsiTheme="minorEastAsia" w:eastAsiaTheme="minorEastAsia" w:cstheme="minorEastAsia"/>
                <w:position w:val="-2"/>
                <w:sz w:val="24"/>
                <w:szCs w:val="24"/>
                <w:lang w:eastAsia="zh-CN"/>
              </w:rPr>
              <w:t>172*140mm</w:t>
            </w:r>
            <w:r>
              <w:rPr>
                <w:rFonts w:hint="eastAsia" w:asciiTheme="minorEastAsia" w:hAnsiTheme="minorEastAsia" w:eastAsiaTheme="minorEastAsia" w:cstheme="minorEastAsia"/>
                <w:position w:val="-2"/>
                <w:sz w:val="24"/>
                <w:szCs w:val="24"/>
              </w:rPr>
              <w:t>，钢、铝、塑木结构</w:t>
            </w:r>
            <w:r>
              <w:rPr>
                <w:rFonts w:hint="eastAsia" w:asciiTheme="minorEastAsia" w:hAnsiTheme="minorEastAsia" w:eastAsiaTheme="minorEastAsia" w:cstheme="minorEastAsia"/>
                <w:position w:val="-2"/>
                <w:sz w:val="24"/>
                <w:szCs w:val="24"/>
                <w:lang w:eastAsia="zh-CN"/>
              </w:rPr>
              <w:t>，主承载钢管</w:t>
            </w:r>
            <w:r>
              <w:rPr>
                <w:rFonts w:hint="eastAsia" w:asciiTheme="minorEastAsia" w:hAnsiTheme="minorEastAsia" w:eastAsiaTheme="minorEastAsia" w:cstheme="minorEastAsia"/>
                <w:i w:val="0"/>
                <w:color w:val="000000"/>
                <w:kern w:val="0"/>
                <w:sz w:val="24"/>
                <w:szCs w:val="24"/>
                <w:u w:val="none"/>
                <w:lang w:val="en-US" w:eastAsia="zh-CN" w:bidi="ar"/>
              </w:rPr>
              <w:t>≥</w:t>
            </w:r>
            <w:r>
              <w:rPr>
                <w:rFonts w:hint="eastAsia" w:asciiTheme="minorEastAsia" w:hAnsiTheme="minorEastAsia" w:eastAsiaTheme="minorEastAsia" w:cstheme="minorEastAsia"/>
                <w:position w:val="-2"/>
                <w:sz w:val="24"/>
                <w:szCs w:val="24"/>
                <w:lang w:eastAsia="zh-CN"/>
              </w:rPr>
              <w:t>140*140*3mm方形钢管；</w:t>
            </w:r>
          </w:p>
          <w:p>
            <w:pPr>
              <w:keepNext w:val="0"/>
              <w:keepLines w:val="0"/>
              <w:numPr>
                <w:ilvl w:val="0"/>
                <w:numId w:val="39"/>
              </w:numPr>
              <w:suppressLineNumbers w:val="0"/>
              <w:snapToGrid w:val="0"/>
              <w:spacing w:before="0" w:beforeLines="0" w:beforeAutospacing="0" w:after="0" w:afterLines="0" w:afterAutospacing="0"/>
              <w:ind w:left="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position w:val="-2"/>
                <w:sz w:val="24"/>
                <w:szCs w:val="24"/>
              </w:rPr>
              <w:t>主要承载横梁尺寸：</w:t>
            </w:r>
            <w:r>
              <w:rPr>
                <w:rFonts w:hint="eastAsia" w:asciiTheme="minorEastAsia" w:hAnsiTheme="minorEastAsia" w:eastAsiaTheme="minorEastAsia" w:cstheme="minorEastAsia"/>
                <w:i w:val="0"/>
                <w:color w:val="000000"/>
                <w:kern w:val="0"/>
                <w:sz w:val="24"/>
                <w:szCs w:val="24"/>
                <w:u w:val="none"/>
                <w:lang w:val="en-US" w:eastAsia="zh-CN" w:bidi="ar"/>
              </w:rPr>
              <w:t>≥</w:t>
            </w:r>
            <w:r>
              <w:rPr>
                <w:rFonts w:hint="eastAsia" w:asciiTheme="minorEastAsia" w:hAnsiTheme="minorEastAsia" w:eastAsiaTheme="minorEastAsia" w:cstheme="minorEastAsia"/>
                <w:position w:val="-2"/>
                <w:sz w:val="24"/>
                <w:szCs w:val="24"/>
              </w:rPr>
              <w:t>Φ60*3mm；</w:t>
            </w:r>
          </w:p>
          <w:p>
            <w:pPr>
              <w:keepNext w:val="0"/>
              <w:keepLines w:val="0"/>
              <w:numPr>
                <w:ilvl w:val="0"/>
                <w:numId w:val="39"/>
              </w:numPr>
              <w:suppressLineNumbers w:val="0"/>
              <w:snapToGrid w:val="0"/>
              <w:spacing w:before="0" w:beforeLines="0" w:beforeAutospacing="0" w:after="0" w:afterLines="0" w:afterAutospacing="0"/>
              <w:ind w:left="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position w:val="-2"/>
                <w:sz w:val="24"/>
                <w:szCs w:val="24"/>
              </w:rPr>
              <w:t>安装方式：预埋式；</w:t>
            </w:r>
          </w:p>
          <w:p>
            <w:pPr>
              <w:keepNext w:val="0"/>
              <w:keepLines w:val="0"/>
              <w:numPr>
                <w:ilvl w:val="0"/>
                <w:numId w:val="39"/>
              </w:numPr>
              <w:suppressLineNumbers w:val="0"/>
              <w:snapToGrid w:val="0"/>
              <w:spacing w:before="0" w:beforeLines="0" w:beforeAutospacing="0" w:after="0" w:afterLines="0" w:afterAutospacing="0"/>
              <w:ind w:left="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数据采集：运动时间，运动次数</w:t>
            </w:r>
          </w:p>
          <w:p>
            <w:pPr>
              <w:keepNext w:val="0"/>
              <w:keepLines w:val="0"/>
              <w:numPr>
                <w:ilvl w:val="0"/>
                <w:numId w:val="39"/>
              </w:numPr>
              <w:suppressLineNumbers w:val="0"/>
              <w:snapToGrid w:val="0"/>
              <w:spacing w:before="0" w:beforeLines="0" w:beforeAutospacing="0" w:after="0" w:afterLines="0" w:afterAutospacing="0"/>
              <w:ind w:left="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sz w:val="24"/>
                <w:szCs w:val="24"/>
              </w:rPr>
              <w:t>数据传输方式：无线传输</w:t>
            </w:r>
          </w:p>
          <w:p>
            <w:pPr>
              <w:keepNext w:val="0"/>
              <w:keepLines w:val="0"/>
              <w:numPr>
                <w:ilvl w:val="0"/>
                <w:numId w:val="39"/>
              </w:numPr>
              <w:suppressLineNumbers w:val="0"/>
              <w:snapToGrid w:val="0"/>
              <w:spacing w:before="0" w:beforeLines="0" w:beforeAutospacing="0" w:after="0" w:afterLines="0" w:afterAutospacing="0"/>
              <w:ind w:left="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sz w:val="24"/>
                <w:szCs w:val="24"/>
              </w:rPr>
              <w:t>数据呈现方式：语音播报，固定显示屏，智能终端；</w:t>
            </w:r>
          </w:p>
          <w:p>
            <w:pPr>
              <w:keepNext w:val="0"/>
              <w:keepLines w:val="0"/>
              <w:numPr>
                <w:ilvl w:val="0"/>
                <w:numId w:val="39"/>
              </w:numPr>
              <w:suppressLineNumbers w:val="0"/>
              <w:snapToGrid w:val="0"/>
              <w:spacing w:before="0" w:beforeLines="0" w:beforeAutospacing="0" w:after="0" w:afterLines="0" w:afterAutospacing="0"/>
              <w:ind w:left="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sz w:val="24"/>
                <w:szCs w:val="24"/>
                <w:lang w:val="en-US" w:eastAsia="zh-CN"/>
              </w:rPr>
              <w:t>产品顶棚上部装有太阳能板，具备太阳能光伏供电系统，夜间照明功能。</w:t>
            </w:r>
          </w:p>
          <w:p>
            <w:pPr>
              <w:keepNext w:val="0"/>
              <w:keepLines w:val="0"/>
              <w:numPr>
                <w:ilvl w:val="0"/>
                <w:numId w:val="39"/>
              </w:numPr>
              <w:suppressLineNumbers w:val="0"/>
              <w:snapToGrid w:val="0"/>
              <w:spacing w:before="0" w:beforeLines="0" w:beforeAutospacing="0" w:after="0" w:afterLines="0" w:afterAutospacing="0"/>
              <w:ind w:left="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position w:val="-2"/>
                <w:sz w:val="24"/>
                <w:szCs w:val="24"/>
              </w:rPr>
              <w:t>器材符合GB19272-2011《室外健身器材的安全通用要求》并获得NSCC国体认证证书。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0"/>
              </w:numPr>
              <w:suppressLineNumbers w:val="0"/>
              <w:spacing w:before="0" w:beforeLines="0" w:beforeAutospacing="0" w:after="0" w:afterLines="0" w:afterAutospacing="0"/>
              <w:ind w:left="0" w:leftChars="0"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11</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right="0"/>
              <w:jc w:val="center"/>
              <w:textAlignment w:val="center"/>
              <w:rPr>
                <w:rFonts w:hint="eastAsia" w:asciiTheme="minorEastAsia" w:hAnsiTheme="minorEastAsia" w:eastAsiaTheme="minorEastAsia" w:cstheme="minorEastAsia"/>
                <w:b/>
                <w:bCs/>
                <w:color w:val="000000"/>
                <w:kern w:val="0"/>
                <w:sz w:val="24"/>
                <w:szCs w:val="24"/>
                <w:highlight w:val="none"/>
              </w:rPr>
            </w:pPr>
            <w:r>
              <w:rPr>
                <w:rFonts w:hint="eastAsia" w:asciiTheme="minorEastAsia" w:hAnsiTheme="minorEastAsia" w:eastAsiaTheme="minorEastAsia" w:cstheme="minorEastAsia"/>
                <w:b/>
                <w:bCs/>
                <w:color w:val="000000"/>
                <w:kern w:val="0"/>
                <w:sz w:val="24"/>
                <w:szCs w:val="24"/>
                <w:highlight w:val="none"/>
                <w:lang w:val="en-US" w:eastAsia="zh-CN"/>
              </w:rPr>
              <w:t>*</w:t>
            </w:r>
            <w:r>
              <w:rPr>
                <w:rFonts w:hint="eastAsia" w:asciiTheme="minorEastAsia" w:hAnsiTheme="minorEastAsia" w:eastAsiaTheme="minorEastAsia" w:cstheme="minorEastAsia"/>
                <w:b/>
                <w:bCs/>
                <w:color w:val="000000"/>
                <w:kern w:val="0"/>
                <w:sz w:val="24"/>
                <w:szCs w:val="24"/>
                <w:highlight w:val="none"/>
              </w:rPr>
              <w:t>智能双位腰部按摩器</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lang w:eastAsia="zh-CN"/>
              </w:rPr>
              <w:t>件</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lang w:val="en-US" w:eastAsia="zh-CN"/>
              </w:rPr>
              <w:t>5</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40"/>
              </w:numPr>
              <w:suppressLineNumbers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主要承载立柱尺寸：截面尺寸≥172*140mm</w:t>
            </w:r>
            <w:r>
              <w:rPr>
                <w:rFonts w:hint="eastAsia" w:asciiTheme="minorEastAsia" w:hAnsiTheme="minorEastAsia" w:eastAsiaTheme="minorEastAsia" w:cstheme="minorEastAsia"/>
                <w:sz w:val="24"/>
                <w:szCs w:val="24"/>
                <w:highlight w:val="none"/>
              </w:rPr>
              <w:t>，钢、铝、塑木结构</w:t>
            </w:r>
            <w:r>
              <w:rPr>
                <w:rFonts w:hint="eastAsia" w:asciiTheme="minorEastAsia" w:hAnsiTheme="minorEastAsia" w:eastAsiaTheme="minorEastAsia" w:cstheme="minorEastAsia"/>
                <w:sz w:val="24"/>
                <w:szCs w:val="24"/>
                <w:highlight w:val="none"/>
                <w:lang w:eastAsia="zh-CN"/>
              </w:rPr>
              <w:t>，主承载钢管≥140*140*3mm方形钢管；</w:t>
            </w:r>
          </w:p>
          <w:p>
            <w:pPr>
              <w:keepNext w:val="0"/>
              <w:keepLines w:val="0"/>
              <w:numPr>
                <w:ilvl w:val="0"/>
                <w:numId w:val="40"/>
              </w:numPr>
              <w:suppressLineNumbers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主要承载横梁尺寸：≥Φ60*3mm；</w:t>
            </w:r>
          </w:p>
          <w:p>
            <w:pPr>
              <w:keepNext w:val="0"/>
              <w:keepLines w:val="0"/>
              <w:numPr>
                <w:ilvl w:val="0"/>
                <w:numId w:val="40"/>
              </w:numPr>
              <w:suppressLineNumbers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安装方式：预埋+直埋式；</w:t>
            </w:r>
          </w:p>
          <w:p>
            <w:pPr>
              <w:keepNext w:val="0"/>
              <w:keepLines w:val="0"/>
              <w:numPr>
                <w:ilvl w:val="0"/>
                <w:numId w:val="40"/>
              </w:numPr>
              <w:suppressLineNumbers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数据采集：运动时间，运动次数</w:t>
            </w:r>
          </w:p>
          <w:p>
            <w:pPr>
              <w:keepNext w:val="0"/>
              <w:keepLines w:val="0"/>
              <w:numPr>
                <w:ilvl w:val="0"/>
                <w:numId w:val="40"/>
              </w:numPr>
              <w:suppressLineNumbers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数据传输方式：无线传输</w:t>
            </w:r>
          </w:p>
          <w:p>
            <w:pPr>
              <w:keepNext w:val="0"/>
              <w:keepLines w:val="0"/>
              <w:numPr>
                <w:ilvl w:val="0"/>
                <w:numId w:val="40"/>
              </w:numPr>
              <w:suppressLineNumbers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数据呈现方式：语音播报，固定显示屏，智能终端；</w:t>
            </w:r>
          </w:p>
          <w:p>
            <w:pPr>
              <w:keepNext w:val="0"/>
              <w:keepLines w:val="0"/>
              <w:numPr>
                <w:ilvl w:val="0"/>
                <w:numId w:val="40"/>
              </w:numPr>
              <w:suppressLineNumbers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lang w:val="en-US" w:eastAsia="zh-CN"/>
              </w:rPr>
              <w:t>产品顶棚上部装有太阳能板，具备太阳能光伏供电系统，夜间照明功能。</w:t>
            </w:r>
          </w:p>
          <w:p>
            <w:pPr>
              <w:keepNext w:val="0"/>
              <w:keepLines w:val="0"/>
              <w:numPr>
                <w:ilvl w:val="0"/>
                <w:numId w:val="40"/>
              </w:numPr>
              <w:suppressLineNumbers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器材符合GB19272-2011《室外健身器材的安全通用要求》并获得NSCC国体认证证书。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0"/>
              </w:numPr>
              <w:suppressLineNumbers w:val="0"/>
              <w:spacing w:before="0" w:beforeLines="0" w:beforeAutospacing="0" w:after="0" w:afterLines="0" w:afterAutospacing="0"/>
              <w:ind w:left="0" w:leftChars="0"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12</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right="0"/>
              <w:jc w:val="center"/>
              <w:textAlignment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lang w:val="en-US" w:eastAsia="zh-CN"/>
              </w:rPr>
              <w:t>*</w:t>
            </w:r>
            <w:r>
              <w:rPr>
                <w:rFonts w:hint="eastAsia" w:asciiTheme="minorEastAsia" w:hAnsiTheme="minorEastAsia" w:eastAsiaTheme="minorEastAsia" w:cstheme="minorEastAsia"/>
                <w:b/>
                <w:bCs/>
                <w:color w:val="000000"/>
                <w:kern w:val="0"/>
                <w:sz w:val="24"/>
                <w:szCs w:val="24"/>
              </w:rPr>
              <w:t>智能双位竞速健身车</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eastAsia="zh-CN"/>
              </w:rPr>
              <w:t>件</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5</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41"/>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position w:val="-2"/>
                <w:sz w:val="24"/>
                <w:szCs w:val="24"/>
                <w:lang w:eastAsia="zh-CN"/>
              </w:rPr>
              <w:t>主要承载立柱尺寸：截面尺寸</w:t>
            </w:r>
            <w:r>
              <w:rPr>
                <w:rFonts w:hint="eastAsia" w:asciiTheme="minorEastAsia" w:hAnsiTheme="minorEastAsia" w:eastAsiaTheme="minorEastAsia" w:cstheme="minorEastAsia"/>
                <w:color w:val="000000"/>
                <w:position w:val="-2"/>
                <w:sz w:val="24"/>
                <w:szCs w:val="24"/>
              </w:rPr>
              <w:t>≥</w:t>
            </w:r>
            <w:r>
              <w:rPr>
                <w:rFonts w:hint="eastAsia" w:asciiTheme="minorEastAsia" w:hAnsiTheme="minorEastAsia" w:eastAsiaTheme="minorEastAsia" w:cstheme="minorEastAsia"/>
                <w:position w:val="-2"/>
                <w:sz w:val="24"/>
                <w:szCs w:val="24"/>
                <w:lang w:eastAsia="zh-CN"/>
              </w:rPr>
              <w:t>172*140mm</w:t>
            </w:r>
            <w:r>
              <w:rPr>
                <w:rFonts w:hint="eastAsia" w:asciiTheme="minorEastAsia" w:hAnsiTheme="minorEastAsia" w:eastAsiaTheme="minorEastAsia" w:cstheme="minorEastAsia"/>
                <w:position w:val="-2"/>
                <w:sz w:val="24"/>
                <w:szCs w:val="24"/>
              </w:rPr>
              <w:t>，钢、铝、塑木结构</w:t>
            </w:r>
            <w:r>
              <w:rPr>
                <w:rFonts w:hint="eastAsia" w:asciiTheme="minorEastAsia" w:hAnsiTheme="minorEastAsia" w:eastAsiaTheme="minorEastAsia" w:cstheme="minorEastAsia"/>
                <w:position w:val="-2"/>
                <w:sz w:val="24"/>
                <w:szCs w:val="24"/>
                <w:lang w:eastAsia="zh-CN"/>
              </w:rPr>
              <w:t>，</w:t>
            </w:r>
            <w:r>
              <w:rPr>
                <w:rFonts w:hint="eastAsia" w:asciiTheme="minorEastAsia" w:hAnsiTheme="minorEastAsia" w:eastAsiaTheme="minorEastAsia" w:cstheme="minorEastAsia"/>
                <w:position w:val="-2"/>
                <w:sz w:val="24"/>
                <w:szCs w:val="24"/>
              </w:rPr>
              <w:t>主承载钢管</w:t>
            </w:r>
            <w:r>
              <w:rPr>
                <w:rFonts w:hint="eastAsia" w:asciiTheme="minorEastAsia" w:hAnsiTheme="minorEastAsia" w:eastAsiaTheme="minorEastAsia" w:cstheme="minorEastAsia"/>
                <w:color w:val="000000"/>
                <w:position w:val="-2"/>
                <w:sz w:val="24"/>
                <w:szCs w:val="24"/>
              </w:rPr>
              <w:t>≥</w:t>
            </w:r>
            <w:r>
              <w:rPr>
                <w:rFonts w:hint="eastAsia" w:asciiTheme="minorEastAsia" w:hAnsiTheme="minorEastAsia" w:eastAsiaTheme="minorEastAsia" w:cstheme="minorEastAsia"/>
                <w:position w:val="-2"/>
                <w:sz w:val="24"/>
                <w:szCs w:val="24"/>
              </w:rPr>
              <w:t>140*140*3mm方形钢管；</w:t>
            </w:r>
          </w:p>
          <w:p>
            <w:pPr>
              <w:keepNext w:val="0"/>
              <w:keepLines w:val="0"/>
              <w:numPr>
                <w:ilvl w:val="0"/>
                <w:numId w:val="41"/>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position w:val="-2"/>
                <w:sz w:val="24"/>
                <w:szCs w:val="24"/>
              </w:rPr>
              <w:t>主要承载横梁尺寸：</w:t>
            </w:r>
            <w:r>
              <w:rPr>
                <w:rFonts w:hint="eastAsia" w:asciiTheme="minorEastAsia" w:hAnsiTheme="minorEastAsia" w:eastAsiaTheme="minorEastAsia" w:cstheme="minorEastAsia"/>
                <w:color w:val="000000"/>
                <w:position w:val="-2"/>
                <w:sz w:val="24"/>
                <w:szCs w:val="24"/>
              </w:rPr>
              <w:t>≥</w:t>
            </w:r>
            <w:r>
              <w:rPr>
                <w:rFonts w:hint="eastAsia" w:asciiTheme="minorEastAsia" w:hAnsiTheme="minorEastAsia" w:eastAsiaTheme="minorEastAsia" w:cstheme="minorEastAsia"/>
                <w:position w:val="-2"/>
                <w:sz w:val="24"/>
                <w:szCs w:val="24"/>
                <w:lang w:eastAsia="zh-CN"/>
              </w:rPr>
              <w:t>40*80*3mm</w:t>
            </w:r>
            <w:r>
              <w:rPr>
                <w:rFonts w:hint="eastAsia" w:asciiTheme="minorEastAsia" w:hAnsiTheme="minorEastAsia" w:eastAsiaTheme="minorEastAsia" w:cstheme="minorEastAsia"/>
                <w:position w:val="-2"/>
                <w:sz w:val="24"/>
                <w:szCs w:val="24"/>
              </w:rPr>
              <w:t>；</w:t>
            </w:r>
          </w:p>
          <w:p>
            <w:pPr>
              <w:keepNext w:val="0"/>
              <w:keepLines w:val="0"/>
              <w:numPr>
                <w:ilvl w:val="0"/>
                <w:numId w:val="41"/>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position w:val="-2"/>
                <w:sz w:val="24"/>
                <w:szCs w:val="24"/>
              </w:rPr>
              <w:t>安装方式：预埋式；</w:t>
            </w:r>
          </w:p>
          <w:p>
            <w:pPr>
              <w:keepNext w:val="0"/>
              <w:keepLines w:val="0"/>
              <w:numPr>
                <w:ilvl w:val="0"/>
                <w:numId w:val="41"/>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sz w:val="24"/>
                <w:szCs w:val="24"/>
              </w:rPr>
              <w:t>数据采集：运动时间，运动次数</w:t>
            </w:r>
          </w:p>
          <w:p>
            <w:pPr>
              <w:keepNext w:val="0"/>
              <w:keepLines w:val="0"/>
              <w:numPr>
                <w:ilvl w:val="0"/>
                <w:numId w:val="41"/>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sz w:val="24"/>
                <w:szCs w:val="24"/>
              </w:rPr>
              <w:t>数据传输方式：无线传输</w:t>
            </w:r>
          </w:p>
          <w:p>
            <w:pPr>
              <w:keepNext w:val="0"/>
              <w:keepLines w:val="0"/>
              <w:numPr>
                <w:ilvl w:val="0"/>
                <w:numId w:val="41"/>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sz w:val="24"/>
                <w:szCs w:val="24"/>
              </w:rPr>
              <w:t>数据呈现方式：语音播报，固定显示屏，智能终端；</w:t>
            </w:r>
          </w:p>
          <w:p>
            <w:pPr>
              <w:keepNext w:val="0"/>
              <w:keepLines w:val="0"/>
              <w:numPr>
                <w:ilvl w:val="0"/>
                <w:numId w:val="41"/>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position w:val="-2"/>
                <w:sz w:val="24"/>
                <w:szCs w:val="24"/>
              </w:rPr>
            </w:pPr>
            <w:r>
              <w:rPr>
                <w:rFonts w:hint="eastAsia" w:asciiTheme="minorEastAsia" w:hAnsiTheme="minorEastAsia" w:eastAsiaTheme="minorEastAsia" w:cstheme="minorEastAsia"/>
                <w:sz w:val="24"/>
                <w:szCs w:val="24"/>
                <w:lang w:val="en-US" w:eastAsia="zh-CN"/>
              </w:rPr>
              <w:t>产品顶棚上部装有太阳能板，具备太阳能光伏供电系统，夜间照明功能。</w:t>
            </w:r>
          </w:p>
          <w:p>
            <w:pPr>
              <w:keepNext w:val="0"/>
              <w:keepLines w:val="0"/>
              <w:numPr>
                <w:ilvl w:val="0"/>
                <w:numId w:val="41"/>
              </w:numPr>
              <w:suppressLineNumbers w:val="0"/>
              <w:snapToGrid w:val="0"/>
              <w:spacing w:before="0" w:beforeLines="0" w:beforeAutospacing="0" w:after="0" w:afterLines="0" w:afterAutospacing="0"/>
              <w:ind w:left="0" w:leftChars="0"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position w:val="-2"/>
                <w:sz w:val="24"/>
                <w:szCs w:val="24"/>
              </w:rPr>
              <w:t>器材符合GB19272-2011《室外健身器材的安全通用要求》并获得NSCC国体认证证书。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0"/>
              </w:numPr>
              <w:suppressLineNumbers w:val="0"/>
              <w:spacing w:before="0" w:beforeLines="0" w:beforeAutospacing="0" w:after="0" w:afterLines="0" w:afterAutospacing="0"/>
              <w:ind w:left="0" w:leftChars="0" w:right="0" w:rightChars="0"/>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13</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right="0"/>
              <w:jc w:val="center"/>
              <w:textAlignment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lang w:val="en-US" w:eastAsia="zh-CN"/>
              </w:rPr>
              <w:t>*</w:t>
            </w:r>
            <w:r>
              <w:rPr>
                <w:rFonts w:hint="eastAsia" w:asciiTheme="minorEastAsia" w:hAnsiTheme="minorEastAsia" w:eastAsiaTheme="minorEastAsia" w:cstheme="minorEastAsia"/>
                <w:b/>
                <w:bCs/>
                <w:color w:val="000000"/>
                <w:kern w:val="0"/>
                <w:sz w:val="24"/>
                <w:szCs w:val="24"/>
              </w:rPr>
              <w:t>智能双位跷跷板</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eastAsia="zh-CN"/>
              </w:rPr>
              <w:t>件</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Lines="0" w:beforeAutospacing="0" w:after="0" w:afterLines="0" w:afterAutospacing="0"/>
              <w:ind w:left="0" w:leftChars="0" w:right="0" w:rightChars="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lang w:val="en-US" w:eastAsia="zh-CN"/>
              </w:rPr>
              <w:t>5</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numPr>
                <w:ilvl w:val="0"/>
                <w:numId w:val="42"/>
              </w:numPr>
              <w:suppressLineNumbers w:val="0"/>
              <w:snapToGrid w:val="0"/>
              <w:spacing w:before="0" w:beforeLines="0" w:beforeAutospacing="0" w:after="0" w:afterLines="0" w:afterAutospacing="0"/>
              <w:ind w:right="0" w:firstLine="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lang w:eastAsia="zh-CN"/>
              </w:rPr>
              <w:t>主要承载立柱尺寸：截面尺寸</w:t>
            </w:r>
            <w:r>
              <w:rPr>
                <w:rFonts w:hint="eastAsia" w:asciiTheme="minorEastAsia" w:hAnsiTheme="minorEastAsia" w:eastAsiaTheme="minorEastAsia" w:cstheme="minorEastAsia"/>
                <w:color w:val="000000"/>
                <w:position w:val="-2"/>
                <w:sz w:val="24"/>
                <w:szCs w:val="24"/>
              </w:rPr>
              <w:t>≥</w:t>
            </w:r>
            <w:r>
              <w:rPr>
                <w:rFonts w:hint="eastAsia" w:asciiTheme="minorEastAsia" w:hAnsiTheme="minorEastAsia" w:eastAsiaTheme="minorEastAsia" w:cstheme="minorEastAsia"/>
                <w:position w:val="-1"/>
                <w:sz w:val="24"/>
                <w:szCs w:val="24"/>
                <w:lang w:eastAsia="zh-CN"/>
              </w:rPr>
              <w:t>172*140mm</w:t>
            </w:r>
            <w:r>
              <w:rPr>
                <w:rFonts w:hint="eastAsia" w:asciiTheme="minorEastAsia" w:hAnsiTheme="minorEastAsia" w:eastAsiaTheme="minorEastAsia" w:cstheme="minorEastAsia"/>
                <w:position w:val="-1"/>
                <w:sz w:val="24"/>
                <w:szCs w:val="24"/>
              </w:rPr>
              <w:t>，钢、铝、塑木结构</w:t>
            </w:r>
            <w:r>
              <w:rPr>
                <w:rFonts w:hint="eastAsia" w:asciiTheme="minorEastAsia" w:hAnsiTheme="minorEastAsia" w:eastAsiaTheme="minorEastAsia" w:cstheme="minorEastAsia"/>
                <w:position w:val="-1"/>
                <w:sz w:val="24"/>
                <w:szCs w:val="24"/>
                <w:lang w:eastAsia="zh-CN"/>
              </w:rPr>
              <w:t>，主承载钢管</w:t>
            </w:r>
            <w:r>
              <w:rPr>
                <w:rFonts w:hint="eastAsia" w:asciiTheme="minorEastAsia" w:hAnsiTheme="minorEastAsia" w:eastAsiaTheme="minorEastAsia" w:cstheme="minorEastAsia"/>
                <w:color w:val="000000"/>
                <w:position w:val="-2"/>
                <w:sz w:val="24"/>
                <w:szCs w:val="24"/>
              </w:rPr>
              <w:t>≥</w:t>
            </w:r>
            <w:r>
              <w:rPr>
                <w:rFonts w:hint="eastAsia" w:asciiTheme="minorEastAsia" w:hAnsiTheme="minorEastAsia" w:eastAsiaTheme="minorEastAsia" w:cstheme="minorEastAsia"/>
                <w:position w:val="-1"/>
                <w:sz w:val="24"/>
                <w:szCs w:val="24"/>
                <w:lang w:eastAsia="zh-CN"/>
              </w:rPr>
              <w:t>140*140*3mm方形钢管；</w:t>
            </w:r>
          </w:p>
          <w:p>
            <w:pPr>
              <w:keepNext w:val="0"/>
              <w:keepLines w:val="0"/>
              <w:numPr>
                <w:ilvl w:val="0"/>
                <w:numId w:val="42"/>
              </w:numPr>
              <w:suppressLineNumbers w:val="0"/>
              <w:snapToGrid w:val="0"/>
              <w:spacing w:before="0" w:beforeLines="0" w:beforeAutospacing="0" w:after="0" w:afterLines="0" w:afterAutospacing="0"/>
              <w:ind w:right="0" w:firstLine="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rPr>
              <w:t>主要承载横梁尺寸：</w:t>
            </w:r>
            <w:r>
              <w:rPr>
                <w:rFonts w:hint="eastAsia" w:asciiTheme="minorEastAsia" w:hAnsiTheme="minorEastAsia" w:eastAsiaTheme="minorEastAsia" w:cstheme="minorEastAsia"/>
                <w:color w:val="000000"/>
                <w:position w:val="-2"/>
                <w:sz w:val="24"/>
                <w:szCs w:val="24"/>
              </w:rPr>
              <w:t>≥</w:t>
            </w:r>
            <w:r>
              <w:rPr>
                <w:rFonts w:hint="eastAsia" w:asciiTheme="minorEastAsia" w:hAnsiTheme="minorEastAsia" w:eastAsiaTheme="minorEastAsia" w:cstheme="minorEastAsia"/>
                <w:position w:val="-1"/>
                <w:sz w:val="24"/>
                <w:szCs w:val="24"/>
              </w:rPr>
              <w:t>Φ89*3mm；</w:t>
            </w:r>
          </w:p>
          <w:p>
            <w:pPr>
              <w:keepNext w:val="0"/>
              <w:keepLines w:val="0"/>
              <w:numPr>
                <w:ilvl w:val="0"/>
                <w:numId w:val="42"/>
              </w:numPr>
              <w:suppressLineNumbers w:val="0"/>
              <w:snapToGrid w:val="0"/>
              <w:spacing w:before="0" w:beforeLines="0" w:beforeAutospacing="0" w:after="0" w:afterLines="0" w:afterAutospacing="0"/>
              <w:ind w:right="0" w:firstLine="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position w:val="-1"/>
                <w:sz w:val="24"/>
                <w:szCs w:val="24"/>
              </w:rPr>
              <w:t>安装方式：预埋+直埋式；</w:t>
            </w:r>
          </w:p>
          <w:p>
            <w:pPr>
              <w:keepNext w:val="0"/>
              <w:keepLines w:val="0"/>
              <w:numPr>
                <w:ilvl w:val="0"/>
                <w:numId w:val="42"/>
              </w:numPr>
              <w:suppressLineNumbers w:val="0"/>
              <w:snapToGrid w:val="0"/>
              <w:spacing w:before="0" w:beforeLines="0" w:beforeAutospacing="0" w:after="0" w:afterLines="0" w:afterAutospacing="0"/>
              <w:ind w:right="0" w:firstLine="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数据采集：运动时间，运动次数</w:t>
            </w:r>
          </w:p>
          <w:p>
            <w:pPr>
              <w:keepNext w:val="0"/>
              <w:keepLines w:val="0"/>
              <w:numPr>
                <w:ilvl w:val="0"/>
                <w:numId w:val="42"/>
              </w:numPr>
              <w:suppressLineNumbers w:val="0"/>
              <w:snapToGrid w:val="0"/>
              <w:spacing w:before="0" w:beforeLines="0" w:beforeAutospacing="0" w:after="0" w:afterLines="0" w:afterAutospacing="0"/>
              <w:ind w:right="0" w:firstLine="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数据传输方式：无线传输</w:t>
            </w:r>
          </w:p>
          <w:p>
            <w:pPr>
              <w:keepNext w:val="0"/>
              <w:keepLines w:val="0"/>
              <w:numPr>
                <w:ilvl w:val="0"/>
                <w:numId w:val="42"/>
              </w:numPr>
              <w:suppressLineNumbers w:val="0"/>
              <w:snapToGrid w:val="0"/>
              <w:spacing w:before="0" w:beforeLines="0" w:beforeAutospacing="0" w:after="0" w:afterLines="0" w:afterAutospacing="0"/>
              <w:ind w:right="0" w:firstLine="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rPr>
              <w:t>数据呈现方式：语音播报，固定显示屏，智能终端；</w:t>
            </w:r>
          </w:p>
          <w:p>
            <w:pPr>
              <w:keepNext w:val="0"/>
              <w:keepLines w:val="0"/>
              <w:numPr>
                <w:ilvl w:val="0"/>
                <w:numId w:val="42"/>
              </w:numPr>
              <w:suppressLineNumbers w:val="0"/>
              <w:snapToGrid w:val="0"/>
              <w:spacing w:before="0" w:beforeLines="0" w:beforeAutospacing="0" w:after="0" w:afterLines="0" w:afterAutospacing="0"/>
              <w:ind w:right="0" w:firstLine="0"/>
              <w:jc w:val="left"/>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sz w:val="24"/>
                <w:szCs w:val="24"/>
                <w:lang w:val="en-US" w:eastAsia="zh-CN"/>
              </w:rPr>
              <w:t>产品顶棚上部装有太阳能板，具备太阳能光伏供电系统，夜间照明功能。</w:t>
            </w:r>
          </w:p>
          <w:p>
            <w:pPr>
              <w:keepNext w:val="0"/>
              <w:keepLines w:val="0"/>
              <w:numPr>
                <w:ilvl w:val="0"/>
                <w:numId w:val="42"/>
              </w:numPr>
              <w:suppressLineNumbers w:val="0"/>
              <w:snapToGrid w:val="0"/>
              <w:spacing w:before="0" w:beforeLines="0" w:beforeAutospacing="0" w:after="0" w:afterLines="0" w:afterAutospacing="0"/>
              <w:ind w:left="0" w:leftChars="0" w:right="0" w:firstLine="0"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position w:val="-1"/>
                <w:sz w:val="24"/>
                <w:szCs w:val="24"/>
              </w:rPr>
              <w:t>器材符合GB19272-2011《室外健身器材的安全通用要求》并获得NSCC国体认证证书。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14</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室内台球桌</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规格：2830*1550*850mm。环保防火板饰面，专业胶条，大理石板不低于4cm厚，铁质弯角带口，高花牛皮，三轨铜滑道，高级加粗棉网，高密度腿脚。需配备单节球杆2支，铜架1支，三角架1个，台球专用布，台球1盒。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15</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室内乒乓球桌</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张</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球台面尺寸：2740mm*1525mm；球台高度：760mm；面板材质：高密度板；台面颜色：蓝色；可折叠，器材符合QB/T2700-2005标准。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16</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动感单车</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承重不低于200KG,多种握把方式满足多种训练需求，无极阻力调节，飞轮重量不低于15KG,皮带传送运行平稳，车把座椅均可上下前后调节，铝合金脚踏，带移动滚轮、防滑脚垫。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17</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综合</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训练器</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类别：力量训练器械；适用人数：两人；最大承重：不低于200千克；配重：≥90KG；是否可调节：可调节；适用人群：通用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18</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腹肌板</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室内腹肌板,皮革面料，耐磨，耐汗;钢管框架，倾斜度可以调节,承重不低于200千克。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i w:val="0"/>
                <w:iCs w:val="0"/>
                <w:color w:val="000000"/>
                <w:kern w:val="0"/>
                <w:sz w:val="24"/>
                <w:szCs w:val="24"/>
                <w:u w:val="none"/>
                <w:lang w:val="en-US" w:eastAsia="zh-CN" w:bidi="ar"/>
              </w:rPr>
              <w:t>19</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篮球场悬浮地板</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540</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米字双层结构，长 30cm 宽 30cm，厚 14mm 以上，每块重量 220 克以上，反弹率：≥95%；长期使用后无融化、无龟裂、无明显色差；磨擦系数：0.5-0.7，弯曲强度：≥30.5MPa，拉伸强度：≥22.2MPa，耐旋转磨耗重量损≤37mg，抗滑值：≥47，甲醛：﹤1%；符合国家行业标准。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i w:val="0"/>
                <w:iCs w:val="0"/>
                <w:color w:val="000000"/>
                <w:kern w:val="0"/>
                <w:sz w:val="24"/>
                <w:szCs w:val="24"/>
                <w:u w:val="none"/>
                <w:lang w:val="en-US" w:eastAsia="zh-CN" w:bidi="ar"/>
              </w:rPr>
              <w:t>20</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篮球架</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副</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val="en-US" w:eastAsia="zh-CN"/>
              </w:rPr>
            </w:pPr>
            <w:r>
              <w:rPr>
                <w:rFonts w:hint="eastAsia" w:asciiTheme="minorEastAsia" w:hAnsiTheme="minorEastAsia" w:cstheme="minorEastAsia"/>
                <w:i w:val="0"/>
                <w:iCs w:val="0"/>
                <w:color w:val="000000"/>
                <w:kern w:val="0"/>
                <w:sz w:val="24"/>
                <w:szCs w:val="24"/>
                <w:u w:val="none"/>
                <w:lang w:val="en-US" w:eastAsia="zh-CN" w:bidi="ar"/>
              </w:rPr>
              <w:t>1</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1、外形尺寸：4470*1800*3950mm</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2、主架、伸臂、连接杆（板）、底座均采用优质钢材制作，并采用合理的连接结构，确保使用安全良好的耐久性。</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3、篮板:篮球板SMC或钢化玻璃篮板。篮球板尺寸：1800*1050*50mm；</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4、篮圈采用弹性抗压篮圈，用直径为Φ20mm的实心圆钢制作，水平固定在篮板上。篮圈在去除压力后可自动返回原位置。</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5、箱体:箱体的铁板及盖板厚度2.5mm，规格:2000×1000mm。</w:t>
            </w:r>
          </w:p>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6、篮板底边距小框下沿边框上端距离为150mm，篮板距立柱间距1853mm，篮圈上沿距地面距离为3050mm。</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7、锻炼方法：进行篮球运动 。</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8、器材符合GB19272-2011《室外健身器材的通用安全要求》标准。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i w:val="0"/>
                <w:iCs w:val="0"/>
                <w:color w:val="000000"/>
                <w:kern w:val="0"/>
                <w:sz w:val="24"/>
                <w:szCs w:val="24"/>
                <w:u w:val="none"/>
                <w:lang w:val="en-US" w:eastAsia="zh-CN" w:bidi="ar"/>
              </w:rPr>
              <w:t>21</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灯杆</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根</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6</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灯柱采用直径Ф114×3.0mm的钢管，高6米，灯柱采用预埋或直埋方式，预埋深度600mm。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i w:val="0"/>
                <w:iCs w:val="0"/>
                <w:color w:val="000000"/>
                <w:kern w:val="0"/>
                <w:sz w:val="24"/>
                <w:szCs w:val="24"/>
                <w:u w:val="none"/>
                <w:lang w:val="en-US" w:eastAsia="zh-CN" w:bidi="ar"/>
              </w:rPr>
              <w:t>22</w:t>
            </w:r>
          </w:p>
        </w:tc>
        <w:tc>
          <w:tcPr>
            <w:tcW w:w="129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灯</w:t>
            </w:r>
          </w:p>
        </w:tc>
        <w:tc>
          <w:tcPr>
            <w:tcW w:w="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kern w:val="0"/>
                <w:sz w:val="24"/>
                <w:szCs w:val="24"/>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6</w:t>
            </w:r>
          </w:p>
        </w:tc>
        <w:tc>
          <w:tcPr>
            <w:tcW w:w="575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position w:val="-1"/>
                <w:sz w:val="24"/>
                <w:szCs w:val="24"/>
              </w:rPr>
            </w:pPr>
            <w:r>
              <w:rPr>
                <w:rFonts w:hint="eastAsia" w:asciiTheme="minorEastAsia" w:hAnsiTheme="minorEastAsia" w:eastAsiaTheme="minorEastAsia" w:cstheme="minorEastAsia"/>
                <w:i w:val="0"/>
                <w:iCs w:val="0"/>
                <w:color w:val="000000"/>
                <w:kern w:val="0"/>
                <w:sz w:val="24"/>
                <w:szCs w:val="24"/>
                <w:u w:val="none"/>
                <w:lang w:val="en-US" w:eastAsia="zh-CN" w:bidi="ar"/>
              </w:rPr>
              <w:t>采用150瓦LED灯具，平均照度不低于150lux，采用球场专用灯具，可30°角调节，亮度符合国家标准，光照度均匀，灯光柔和不刺眼。灯体采用耐腐蚀性材料以及先进的表面喷涂工艺可长期可靠使用。</w:t>
            </w:r>
          </w:p>
        </w:tc>
      </w:tr>
    </w:tbl>
    <w:p>
      <w:pPr>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注：1、为保证产品的统一性、协调性所</w:t>
      </w:r>
      <w:r>
        <w:rPr>
          <w:rFonts w:hint="eastAsia" w:ascii="宋体" w:hAnsi="宋体" w:eastAsia="宋体" w:cs="宋体"/>
          <w:color w:val="auto"/>
          <w:sz w:val="24"/>
          <w:szCs w:val="24"/>
          <w:highlight w:val="none"/>
          <w:lang w:eastAsia="zh-CN"/>
        </w:rPr>
        <w:t>报</w:t>
      </w:r>
      <w:r>
        <w:rPr>
          <w:rFonts w:hint="eastAsia" w:ascii="宋体" w:hAnsi="宋体" w:cs="宋体"/>
          <w:color w:val="auto"/>
          <w:sz w:val="24"/>
          <w:szCs w:val="24"/>
          <w:highlight w:val="none"/>
          <w:lang w:val="en-US" w:eastAsia="zh-CN"/>
        </w:rPr>
        <w:t>室外智能</w:t>
      </w:r>
      <w:r>
        <w:rPr>
          <w:rFonts w:hint="eastAsia" w:ascii="宋体" w:hAnsi="宋体" w:eastAsia="宋体" w:cs="宋体"/>
          <w:color w:val="auto"/>
          <w:sz w:val="24"/>
          <w:szCs w:val="24"/>
          <w:highlight w:val="none"/>
          <w:lang w:eastAsia="zh-CN"/>
        </w:rPr>
        <w:t>健身</w:t>
      </w:r>
      <w:r>
        <w:rPr>
          <w:rFonts w:hint="eastAsia" w:ascii="宋体" w:hAnsi="宋体" w:eastAsia="宋体" w:cs="宋体"/>
          <w:color w:val="auto"/>
          <w:sz w:val="24"/>
          <w:szCs w:val="24"/>
          <w:highlight w:val="none"/>
        </w:rPr>
        <w:t>器材要求同品牌，否则视为不实质性响应招标文件。</w:t>
      </w:r>
    </w:p>
    <w:p>
      <w:pPr>
        <w:spacing w:line="360" w:lineRule="auto"/>
        <w:rPr>
          <w:rFonts w:hint="eastAsia" w:eastAsia="宋体"/>
          <w:color w:val="auto"/>
          <w:highlight w:val="yellow"/>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yellow"/>
        </w:rPr>
        <w:t>所报</w:t>
      </w:r>
      <w:r>
        <w:rPr>
          <w:rFonts w:hint="eastAsia" w:ascii="宋体" w:hAnsi="宋体" w:eastAsia="宋体" w:cs="宋体"/>
          <w:color w:val="auto"/>
          <w:sz w:val="24"/>
          <w:szCs w:val="24"/>
          <w:highlight w:val="yellow"/>
          <w:lang w:eastAsia="zh-CN"/>
        </w:rPr>
        <w:t>健身</w:t>
      </w:r>
      <w:r>
        <w:rPr>
          <w:rFonts w:hint="eastAsia" w:ascii="宋体" w:hAnsi="宋体" w:eastAsia="宋体" w:cs="宋体"/>
          <w:color w:val="auto"/>
          <w:sz w:val="24"/>
          <w:szCs w:val="24"/>
          <w:highlight w:val="yellow"/>
        </w:rPr>
        <w:t>器材</w:t>
      </w:r>
      <w:r>
        <w:rPr>
          <w:rFonts w:hint="eastAsia" w:ascii="宋体" w:hAnsi="宋体" w:cs="宋体"/>
          <w:color w:val="auto"/>
          <w:sz w:val="24"/>
          <w:szCs w:val="24"/>
          <w:highlight w:val="yellow"/>
          <w:lang w:val="en-US" w:eastAsia="zh-CN"/>
        </w:rPr>
        <w:t>若需要</w:t>
      </w:r>
      <w:r>
        <w:rPr>
          <w:rFonts w:hint="eastAsia" w:ascii="宋体" w:hAnsi="宋体" w:eastAsia="宋体" w:cs="宋体"/>
          <w:color w:val="auto"/>
          <w:sz w:val="24"/>
          <w:szCs w:val="24"/>
          <w:highlight w:val="yellow"/>
        </w:rPr>
        <w:t>NSCC认证证书，</w:t>
      </w:r>
      <w:r>
        <w:rPr>
          <w:rFonts w:hint="eastAsia" w:ascii="宋体" w:hAnsi="宋体" w:cs="宋体"/>
          <w:color w:val="auto"/>
          <w:sz w:val="24"/>
          <w:szCs w:val="24"/>
          <w:highlight w:val="yellow"/>
          <w:lang w:val="en-US" w:eastAsia="zh-CN"/>
        </w:rPr>
        <w:t>投标人需提供相应证书，</w:t>
      </w:r>
      <w:r>
        <w:rPr>
          <w:rFonts w:hint="eastAsia" w:ascii="宋体" w:hAnsi="宋体" w:eastAsia="宋体" w:cs="宋体"/>
          <w:color w:val="auto"/>
          <w:sz w:val="24"/>
          <w:szCs w:val="24"/>
          <w:highlight w:val="yellow"/>
        </w:rPr>
        <w:t>并且为保证产品的成熟度和稳定性，NSCC证书须在本公告发布前取得的，否则视为不实质性响应招标文件。</w:t>
      </w:r>
    </w:p>
    <w:p>
      <w:pPr>
        <w:spacing w:line="360" w:lineRule="auto"/>
        <w:rPr>
          <w:rFonts w:hint="eastAsia"/>
          <w:b/>
          <w:color w:val="auto"/>
          <w:sz w:val="24"/>
          <w:szCs w:val="24"/>
          <w:highlight w:val="none"/>
          <w:lang w:val="en-US" w:eastAsia="zh-CN"/>
        </w:rPr>
      </w:pPr>
      <w:r>
        <w:rPr>
          <w:rFonts w:hint="eastAsia"/>
          <w:b/>
          <w:color w:val="auto"/>
          <w:sz w:val="24"/>
          <w:szCs w:val="24"/>
          <w:highlight w:val="none"/>
          <w:lang w:val="en-US" w:eastAsia="zh-CN"/>
        </w:rPr>
        <w:t>重要说明：清单中星号项部分需提供相关表格，表格中需列明品牌，同时后附相关证件及说明，上传至【其他材料】部分，未按要求上传或上传失败的不予认可。</w:t>
      </w:r>
    </w:p>
    <w:p>
      <w:pPr>
        <w:spacing w:line="360" w:lineRule="auto"/>
        <w:rPr>
          <w:b/>
          <w:color w:val="auto"/>
          <w:sz w:val="36"/>
          <w:highlight w:val="none"/>
        </w:rPr>
      </w:pPr>
      <w:r>
        <w:rPr>
          <w:b/>
          <w:color w:val="auto"/>
          <w:sz w:val="36"/>
          <w:highlight w:val="none"/>
        </w:rPr>
        <w:br w:type="page"/>
      </w:r>
    </w:p>
    <w:p>
      <w:pPr>
        <w:spacing w:line="500" w:lineRule="exact"/>
        <w:jc w:val="center"/>
        <w:outlineLvl w:val="0"/>
        <w:rPr>
          <w:b/>
          <w:color w:val="auto"/>
          <w:sz w:val="36"/>
          <w:highlight w:val="none"/>
        </w:rPr>
      </w:pPr>
      <w:r>
        <w:rPr>
          <w:b/>
          <w:color w:val="auto"/>
          <w:sz w:val="36"/>
          <w:highlight w:val="none"/>
        </w:rPr>
        <w:t>第四部分  开标、评标、定标</w:t>
      </w:r>
      <w:bookmarkEnd w:id="8"/>
      <w:bookmarkEnd w:id="9"/>
    </w:p>
    <w:p>
      <w:pPr>
        <w:spacing w:line="500" w:lineRule="exact"/>
        <w:rPr>
          <w:b/>
          <w:sz w:val="24"/>
          <w:szCs w:val="24"/>
        </w:rPr>
      </w:pPr>
      <w:r>
        <w:rPr>
          <w:b/>
          <w:sz w:val="24"/>
          <w:szCs w:val="24"/>
        </w:rPr>
        <w:t>一、开标</w:t>
      </w:r>
    </w:p>
    <w:p>
      <w:pPr>
        <w:spacing w:line="500" w:lineRule="exact"/>
        <w:ind w:firstLine="480" w:firstLineChars="200"/>
        <w:rPr>
          <w:sz w:val="24"/>
          <w:szCs w:val="24"/>
        </w:rPr>
      </w:pPr>
      <w:r>
        <w:rPr>
          <w:sz w:val="24"/>
          <w:szCs w:val="24"/>
        </w:rPr>
        <w:t>1、投标人的法定代表人或其授权代理人按照招标文件规定的时间和地点参加开标仪式并签到。</w:t>
      </w:r>
    </w:p>
    <w:p>
      <w:pPr>
        <w:spacing w:line="520" w:lineRule="exact"/>
        <w:ind w:firstLine="480" w:firstLineChars="200"/>
        <w:rPr>
          <w:rFonts w:ascii="宋体" w:hAnsi="宋体" w:cs="宋体"/>
          <w:sz w:val="24"/>
          <w:szCs w:val="24"/>
        </w:rPr>
      </w:pPr>
      <w:r>
        <w:rPr>
          <w:rFonts w:hint="eastAsia" w:ascii="宋体" w:hAnsi="宋体" w:cs="宋体"/>
          <w:sz w:val="24"/>
          <w:szCs w:val="24"/>
          <w:lang w:bidi="ar"/>
        </w:rPr>
        <w:t>投标文件有下列情形之一的，招标人不予受理：</w:t>
      </w:r>
    </w:p>
    <w:p>
      <w:pPr>
        <w:keepNext w:val="0"/>
        <w:keepLines w:val="0"/>
        <w:pageBreakBefore w:val="0"/>
        <w:widowControl w:val="0"/>
        <w:tabs>
          <w:tab w:val="left" w:pos="0"/>
        </w:tabs>
        <w:kinsoku/>
        <w:wordWrap/>
        <w:overflowPunct/>
        <w:topLinePunct w:val="0"/>
        <w:autoSpaceDE/>
        <w:autoSpaceDN/>
        <w:bidi w:val="0"/>
        <w:adjustRightInd/>
        <w:snapToGrid/>
        <w:spacing w:line="520" w:lineRule="exact"/>
        <w:ind w:firstLine="480" w:firstLineChars="200"/>
        <w:textAlignment w:val="auto"/>
        <w:rPr>
          <w:rFonts w:ascii="宋体" w:hAnsi="宋体" w:cs="宋体"/>
          <w:sz w:val="24"/>
          <w:szCs w:val="24"/>
        </w:rPr>
      </w:pPr>
      <w:r>
        <w:rPr>
          <w:rFonts w:hint="eastAsia" w:ascii="宋体" w:hAnsi="宋体" w:cs="宋体"/>
          <w:sz w:val="24"/>
          <w:szCs w:val="24"/>
          <w:lang w:bidi="ar"/>
        </w:rPr>
        <w:t>（1）逾期送达的或者未送达指定地点的；</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bidi="ar"/>
        </w:rPr>
        <w:t>（2）未按招标文件要求加密的</w:t>
      </w:r>
      <w:r>
        <w:rPr>
          <w:rFonts w:hint="eastAsia" w:ascii="宋体" w:hAnsi="宋体" w:cs="宋体"/>
          <w:sz w:val="24"/>
          <w:szCs w:val="24"/>
          <w:lang w:eastAsia="zh-CN" w:bidi="ar"/>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s="宋体"/>
          <w:sz w:val="24"/>
          <w:szCs w:val="24"/>
        </w:rPr>
      </w:pPr>
      <w:r>
        <w:rPr>
          <w:rFonts w:hint="eastAsia" w:ascii="宋体" w:hAnsi="宋体" w:cs="宋体"/>
          <w:sz w:val="24"/>
          <w:szCs w:val="24"/>
          <w:lang w:bidi="ar"/>
        </w:rPr>
        <w:t>（3）应用网络电子开标的，招标人按规定的投标截止时间和规定的开标时间和开标地点，通过电子招投标系统进行公开开标，投标人按照规定的时间自行解密，招标代理机构辅助解密，解密成功后进入管理网络。由于投标人的自身原因（包括但不限于以下情况：忘带或错带CA锁、忘记CA锁密码、CA锁过期、上传投标文件后更新CA锁），在规定时间内解密不成功的，均不导入电子光盘，将视为自动放弃。</w:t>
      </w:r>
    </w:p>
    <w:p>
      <w:pPr>
        <w:spacing w:line="500" w:lineRule="exact"/>
        <w:ind w:firstLine="480" w:firstLineChars="200"/>
        <w:rPr>
          <w:sz w:val="24"/>
          <w:szCs w:val="24"/>
        </w:rPr>
      </w:pPr>
      <w:r>
        <w:rPr>
          <w:sz w:val="24"/>
          <w:szCs w:val="24"/>
        </w:rPr>
        <w:t>2、</w:t>
      </w:r>
      <w:r>
        <w:rPr>
          <w:rFonts w:hint="eastAsia"/>
          <w:sz w:val="24"/>
          <w:szCs w:val="24"/>
        </w:rPr>
        <w:t>开标由招标人或者招标代理机构主持，邀请投标人等参加。</w:t>
      </w:r>
    </w:p>
    <w:p>
      <w:pPr>
        <w:spacing w:line="520" w:lineRule="exact"/>
        <w:ind w:firstLine="480"/>
        <w:rPr>
          <w:rFonts w:ascii="宋体" w:hAnsi="宋体" w:cs="宋体"/>
          <w:sz w:val="24"/>
          <w:szCs w:val="24"/>
        </w:rPr>
      </w:pPr>
      <w:r>
        <w:rPr>
          <w:rFonts w:hint="eastAsia" w:ascii="宋体" w:hAnsi="宋体" w:cs="宋体"/>
          <w:sz w:val="24"/>
          <w:szCs w:val="24"/>
          <w:lang w:bidi="ar"/>
        </w:rPr>
        <w:t>主持人在规定的时间内，通过网上开评标系统，按下列程序进行开标：</w:t>
      </w:r>
    </w:p>
    <w:p>
      <w:pPr>
        <w:spacing w:line="520" w:lineRule="exact"/>
        <w:ind w:firstLine="480"/>
        <w:rPr>
          <w:rFonts w:ascii="宋体" w:hAnsi="宋体" w:cs="宋体"/>
          <w:sz w:val="24"/>
          <w:szCs w:val="24"/>
        </w:rPr>
      </w:pPr>
      <w:r>
        <w:rPr>
          <w:rFonts w:hint="eastAsia" w:ascii="宋体" w:hAnsi="宋体" w:cs="宋体"/>
          <w:sz w:val="24"/>
          <w:szCs w:val="24"/>
          <w:lang w:bidi="ar"/>
        </w:rPr>
        <w:t>（1）宣布开标会开始；</w:t>
      </w:r>
    </w:p>
    <w:p>
      <w:pPr>
        <w:spacing w:line="520" w:lineRule="exact"/>
        <w:ind w:firstLine="480"/>
        <w:rPr>
          <w:rFonts w:ascii="宋体" w:hAnsi="宋体" w:cs="宋体"/>
          <w:sz w:val="24"/>
          <w:szCs w:val="24"/>
        </w:rPr>
      </w:pPr>
      <w:r>
        <w:rPr>
          <w:rFonts w:hint="eastAsia" w:ascii="宋体" w:hAnsi="宋体" w:cs="宋体"/>
          <w:sz w:val="24"/>
          <w:szCs w:val="24"/>
          <w:lang w:bidi="ar"/>
        </w:rPr>
        <w:t>（2）宣布招标人代表、主持人、记录人等有关人员姓名；</w:t>
      </w:r>
    </w:p>
    <w:p>
      <w:pPr>
        <w:spacing w:line="520" w:lineRule="exact"/>
        <w:ind w:firstLine="480"/>
        <w:rPr>
          <w:rFonts w:ascii="宋体" w:hAnsi="宋体" w:cs="宋体"/>
          <w:sz w:val="24"/>
          <w:szCs w:val="24"/>
        </w:rPr>
      </w:pPr>
      <w:r>
        <w:rPr>
          <w:rFonts w:hint="eastAsia" w:ascii="宋体" w:hAnsi="宋体" w:cs="宋体"/>
          <w:sz w:val="24"/>
          <w:szCs w:val="24"/>
          <w:lang w:bidi="ar"/>
        </w:rPr>
        <w:t>（3）公布在投标截止时间前递交投标文件的投标人名称；</w:t>
      </w:r>
    </w:p>
    <w:p>
      <w:pPr>
        <w:spacing w:line="520" w:lineRule="exact"/>
        <w:ind w:firstLine="480"/>
        <w:rPr>
          <w:rFonts w:ascii="宋体" w:hAnsi="宋体" w:cs="宋体"/>
          <w:sz w:val="24"/>
          <w:szCs w:val="24"/>
        </w:rPr>
      </w:pPr>
      <w:r>
        <w:rPr>
          <w:rFonts w:hint="eastAsia" w:ascii="宋体" w:hAnsi="宋体" w:cs="宋体"/>
          <w:sz w:val="24"/>
          <w:szCs w:val="24"/>
          <w:lang w:bidi="ar"/>
        </w:rPr>
        <w:t>（4）由投标人代表检查电子投标文件的密封情况；</w:t>
      </w:r>
    </w:p>
    <w:p>
      <w:pPr>
        <w:spacing w:line="520" w:lineRule="exact"/>
        <w:ind w:firstLine="480"/>
        <w:rPr>
          <w:rFonts w:ascii="宋体" w:hAnsi="宋体" w:cs="宋体"/>
          <w:sz w:val="24"/>
          <w:szCs w:val="24"/>
        </w:rPr>
      </w:pPr>
      <w:r>
        <w:rPr>
          <w:rFonts w:hint="eastAsia" w:ascii="宋体" w:hAnsi="宋体" w:cs="宋体"/>
          <w:sz w:val="24"/>
          <w:szCs w:val="24"/>
          <w:lang w:bidi="ar"/>
        </w:rPr>
        <w:t>（5）投标人在投标人须知表规定的时间内解密电子投标文件；</w:t>
      </w:r>
    </w:p>
    <w:p>
      <w:pPr>
        <w:spacing w:line="520" w:lineRule="exact"/>
        <w:ind w:firstLine="480"/>
        <w:rPr>
          <w:rFonts w:ascii="宋体" w:hAnsi="宋体" w:cs="宋体"/>
          <w:sz w:val="24"/>
          <w:szCs w:val="24"/>
        </w:rPr>
      </w:pPr>
      <w:r>
        <w:rPr>
          <w:rFonts w:hint="eastAsia" w:ascii="宋体" w:hAnsi="宋体" w:cs="宋体"/>
          <w:sz w:val="24"/>
          <w:szCs w:val="24"/>
          <w:lang w:bidi="ar"/>
        </w:rPr>
        <w:t>（6）招标代理机构对投标人已解密的电子投标文件进行二次解密；</w:t>
      </w:r>
    </w:p>
    <w:p>
      <w:pPr>
        <w:spacing w:line="520" w:lineRule="exact"/>
        <w:ind w:firstLine="480"/>
        <w:rPr>
          <w:rFonts w:ascii="宋体" w:hAnsi="宋体" w:cs="宋体"/>
          <w:sz w:val="24"/>
          <w:szCs w:val="24"/>
        </w:rPr>
      </w:pPr>
      <w:r>
        <w:rPr>
          <w:rFonts w:hint="eastAsia" w:ascii="宋体" w:hAnsi="宋体" w:cs="宋体"/>
          <w:sz w:val="24"/>
          <w:szCs w:val="24"/>
          <w:lang w:bidi="ar"/>
        </w:rPr>
        <w:t>（7）电声唱标，宣读投标人名称、投标报价、付款方式、</w:t>
      </w:r>
      <w:r>
        <w:rPr>
          <w:rFonts w:hint="eastAsia" w:ascii="宋体" w:hAnsi="宋体"/>
          <w:sz w:val="24"/>
          <w:szCs w:val="24"/>
        </w:rPr>
        <w:t>服务周期</w:t>
      </w:r>
      <w:r>
        <w:rPr>
          <w:rFonts w:hint="eastAsia" w:ascii="宋体" w:hAnsi="宋体" w:cs="宋体"/>
          <w:sz w:val="24"/>
          <w:szCs w:val="24"/>
          <w:lang w:bidi="ar"/>
        </w:rPr>
        <w:t>等内容；</w:t>
      </w:r>
    </w:p>
    <w:p>
      <w:pPr>
        <w:spacing w:line="520" w:lineRule="exact"/>
        <w:ind w:firstLine="480"/>
        <w:rPr>
          <w:rFonts w:ascii="宋体" w:hAnsi="宋体" w:cs="宋体"/>
          <w:sz w:val="24"/>
          <w:szCs w:val="24"/>
        </w:rPr>
      </w:pPr>
      <w:r>
        <w:rPr>
          <w:rFonts w:hint="eastAsia" w:ascii="宋体" w:hAnsi="宋体" w:cs="宋体"/>
          <w:sz w:val="24"/>
          <w:szCs w:val="24"/>
          <w:lang w:bidi="ar"/>
        </w:rPr>
        <w:t>（</w:t>
      </w:r>
      <w:r>
        <w:rPr>
          <w:rFonts w:hint="eastAsia" w:ascii="宋体" w:hAnsi="宋体" w:cs="宋体"/>
          <w:sz w:val="24"/>
          <w:szCs w:val="24"/>
          <w:lang w:val="en-US" w:eastAsia="zh-CN" w:bidi="ar"/>
        </w:rPr>
        <w:t>8</w:t>
      </w:r>
      <w:r>
        <w:rPr>
          <w:rFonts w:hint="eastAsia" w:ascii="宋体" w:hAnsi="宋体" w:cs="宋体"/>
          <w:sz w:val="24"/>
          <w:szCs w:val="24"/>
          <w:lang w:bidi="ar"/>
        </w:rPr>
        <w:t>）开标结束。</w:t>
      </w:r>
    </w:p>
    <w:p>
      <w:pPr>
        <w:spacing w:line="520" w:lineRule="exact"/>
        <w:ind w:firstLine="480"/>
        <w:rPr>
          <w:rFonts w:ascii="宋体" w:hAnsi="宋体" w:cs="宋体"/>
          <w:sz w:val="24"/>
          <w:szCs w:val="24"/>
        </w:rPr>
      </w:pPr>
      <w:r>
        <w:rPr>
          <w:rFonts w:hint="eastAsia" w:ascii="宋体" w:hAnsi="宋体" w:cs="宋体"/>
          <w:sz w:val="24"/>
          <w:szCs w:val="24"/>
          <w:lang w:bidi="ar"/>
        </w:rPr>
        <w:t>3、电子招投标的应急措施</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电子开标、评标如出现下列原因，导致系统无法正常运行或无法正常评标时，应采取应急措施。</w:t>
      </w:r>
    </w:p>
    <w:p>
      <w:pPr>
        <w:spacing w:line="500" w:lineRule="exact"/>
        <w:rPr>
          <w:rFonts w:ascii="宋体" w:hAnsi="宋体" w:cs="宋体"/>
          <w:sz w:val="24"/>
          <w:szCs w:val="24"/>
          <w:lang w:bidi="ar"/>
        </w:rPr>
      </w:pPr>
      <w:r>
        <w:rPr>
          <w:rFonts w:hint="eastAsia" w:ascii="宋体" w:hAnsi="宋体" w:cs="宋体"/>
          <w:sz w:val="24"/>
          <w:szCs w:val="24"/>
          <w:lang w:bidi="ar"/>
        </w:rPr>
        <w:t>（1）系统服务器发生故障，无法访问或无法使用系统；</w:t>
      </w:r>
    </w:p>
    <w:p>
      <w:pPr>
        <w:spacing w:line="500" w:lineRule="exact"/>
        <w:rPr>
          <w:rFonts w:ascii="宋体" w:hAnsi="宋体" w:cs="宋体"/>
          <w:sz w:val="24"/>
          <w:szCs w:val="24"/>
          <w:lang w:bidi="ar"/>
        </w:rPr>
      </w:pPr>
      <w:r>
        <w:rPr>
          <w:rFonts w:hint="eastAsia" w:ascii="宋体" w:hAnsi="宋体" w:cs="宋体"/>
          <w:sz w:val="24"/>
          <w:szCs w:val="24"/>
          <w:lang w:bidi="ar"/>
        </w:rPr>
        <w:t>（2）系统的软件或数据库出现错误，不能进行正常操作；</w:t>
      </w:r>
    </w:p>
    <w:p>
      <w:pPr>
        <w:spacing w:line="500" w:lineRule="exact"/>
        <w:rPr>
          <w:rFonts w:ascii="宋体" w:hAnsi="宋体" w:cs="宋体"/>
          <w:sz w:val="24"/>
          <w:szCs w:val="24"/>
          <w:lang w:bidi="ar"/>
        </w:rPr>
      </w:pPr>
      <w:r>
        <w:rPr>
          <w:rFonts w:hint="eastAsia" w:ascii="宋体" w:hAnsi="宋体" w:cs="宋体"/>
          <w:sz w:val="24"/>
          <w:szCs w:val="24"/>
          <w:lang w:bidi="ar"/>
        </w:rPr>
        <w:t>（3）系统发现有安全漏洞，有潜在的泄密危险；</w:t>
      </w:r>
    </w:p>
    <w:p>
      <w:pPr>
        <w:spacing w:line="500" w:lineRule="exact"/>
        <w:rPr>
          <w:rFonts w:ascii="宋体" w:hAnsi="宋体" w:cs="宋体"/>
          <w:sz w:val="24"/>
          <w:szCs w:val="24"/>
          <w:lang w:bidi="ar"/>
        </w:rPr>
      </w:pPr>
      <w:r>
        <w:rPr>
          <w:rFonts w:hint="eastAsia" w:ascii="宋体" w:hAnsi="宋体" w:cs="宋体"/>
          <w:sz w:val="24"/>
          <w:szCs w:val="24"/>
          <w:lang w:bidi="ar"/>
        </w:rPr>
        <w:t>（4）病毒发作或受到外来病毒的攻击；</w:t>
      </w:r>
    </w:p>
    <w:p>
      <w:pPr>
        <w:spacing w:line="500" w:lineRule="exact"/>
        <w:rPr>
          <w:rFonts w:ascii="宋体" w:hAnsi="宋体" w:cs="宋体"/>
          <w:sz w:val="24"/>
          <w:szCs w:val="24"/>
          <w:lang w:bidi="ar"/>
        </w:rPr>
      </w:pPr>
      <w:r>
        <w:rPr>
          <w:rFonts w:hint="eastAsia" w:ascii="宋体" w:hAnsi="宋体" w:cs="宋体"/>
          <w:sz w:val="24"/>
          <w:szCs w:val="24"/>
          <w:lang w:bidi="ar"/>
        </w:rPr>
        <w:t>（5）</w:t>
      </w:r>
      <w:r>
        <w:rPr>
          <w:rFonts w:hint="eastAsia" w:ascii="宋体" w:hAnsi="宋体" w:cs="宋体"/>
          <w:sz w:val="24"/>
          <w:szCs w:val="24"/>
          <w:lang w:eastAsia="zh-CN" w:bidi="ar"/>
        </w:rPr>
        <w:t>招标</w:t>
      </w:r>
      <w:r>
        <w:rPr>
          <w:rFonts w:hint="eastAsia" w:ascii="宋体" w:hAnsi="宋体" w:cs="宋体"/>
          <w:sz w:val="24"/>
          <w:szCs w:val="24"/>
          <w:lang w:bidi="ar"/>
        </w:rPr>
        <w:t>代理机构的CA锁失效等原因导致无法解密的；</w:t>
      </w:r>
    </w:p>
    <w:p>
      <w:pPr>
        <w:spacing w:line="500" w:lineRule="exact"/>
        <w:rPr>
          <w:rFonts w:ascii="宋体" w:hAnsi="宋体" w:cs="宋体"/>
          <w:sz w:val="24"/>
          <w:szCs w:val="24"/>
          <w:lang w:bidi="ar"/>
        </w:rPr>
      </w:pPr>
      <w:r>
        <w:rPr>
          <w:rFonts w:hint="eastAsia" w:ascii="宋体" w:hAnsi="宋体" w:cs="宋体"/>
          <w:sz w:val="24"/>
          <w:szCs w:val="24"/>
          <w:lang w:bidi="ar"/>
        </w:rPr>
        <w:t>（6）其他不可抗拒的客观原因造成开评标系统无法正常使用。</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出现上述情况时，对于未开标的项目应暂停开标，对已在系统内评审的，也应立即停止。交易中心信息科确认问题原因后，交易中心政府采购科视情况提议，并经评审委员会同意后，对于非系统原因的可将系统内加密版电子文件评审改为系统内导入非加密版电子文件评审；对于系统原因造成项目无法评审，可将系统内评审改为PDF版文件评审。采取应急措施时，必须对原有资料及信息作妥善保密处理。</w:t>
      </w:r>
    </w:p>
    <w:p>
      <w:pPr>
        <w:spacing w:line="500" w:lineRule="exact"/>
        <w:rPr>
          <w:b/>
          <w:sz w:val="24"/>
          <w:szCs w:val="24"/>
        </w:rPr>
      </w:pPr>
      <w:r>
        <w:rPr>
          <w:b/>
          <w:sz w:val="24"/>
          <w:szCs w:val="24"/>
        </w:rPr>
        <w:t>二、评标委员会</w:t>
      </w:r>
    </w:p>
    <w:p>
      <w:pPr>
        <w:spacing w:line="500" w:lineRule="exact"/>
        <w:ind w:firstLine="480" w:firstLineChars="200"/>
        <w:rPr>
          <w:b/>
          <w:sz w:val="24"/>
          <w:szCs w:val="24"/>
        </w:rPr>
      </w:pPr>
      <w:r>
        <w:rPr>
          <w:sz w:val="24"/>
          <w:szCs w:val="24"/>
        </w:rPr>
        <w:t>根据有关法律法规和本招标文件的规定，结合招标项目的特点组建评标委员会，对投标文件进行评估和比较。评标委员会由五人以上单数组成，其中经济、技术等方面的专家不少于三分之二。</w:t>
      </w:r>
    </w:p>
    <w:p>
      <w:pPr>
        <w:pStyle w:val="44"/>
        <w:spacing w:line="500" w:lineRule="exact"/>
        <w:ind w:firstLine="523"/>
        <w:rPr>
          <w:rFonts w:ascii="Times New Roman" w:hAnsi="Times New Roman"/>
          <w:sz w:val="24"/>
          <w:szCs w:val="24"/>
        </w:rPr>
      </w:pPr>
      <w:r>
        <w:rPr>
          <w:rFonts w:ascii="Times New Roman" w:hAnsi="Times New Roman"/>
          <w:sz w:val="24"/>
          <w:szCs w:val="24"/>
        </w:rPr>
        <w:t>参与过本项目的论证专家不得作为评标专家参加评标，</w:t>
      </w:r>
      <w:r>
        <w:rPr>
          <w:rFonts w:hint="eastAsia" w:ascii="Times New Roman" w:hAnsi="Times New Roman"/>
          <w:sz w:val="24"/>
          <w:szCs w:val="24"/>
          <w:lang w:eastAsia="zh-CN"/>
        </w:rPr>
        <w:t>招标</w:t>
      </w:r>
      <w:r>
        <w:rPr>
          <w:rFonts w:ascii="Times New Roman" w:hAnsi="Times New Roman"/>
          <w:sz w:val="24"/>
          <w:szCs w:val="24"/>
        </w:rPr>
        <w:t>人不得以专家身份参与评标。</w:t>
      </w:r>
    </w:p>
    <w:p>
      <w:pPr>
        <w:pStyle w:val="44"/>
        <w:spacing w:line="500" w:lineRule="exact"/>
        <w:ind w:left="0" w:leftChars="0" w:firstLine="0" w:firstLineChars="0"/>
        <w:rPr>
          <w:rFonts w:ascii="Times New Roman" w:hAnsi="Times New Roman"/>
          <w:sz w:val="24"/>
          <w:szCs w:val="24"/>
        </w:rPr>
      </w:pPr>
      <w:r>
        <w:rPr>
          <w:rFonts w:ascii="Times New Roman" w:hAnsi="Times New Roman"/>
          <w:b/>
          <w:sz w:val="24"/>
          <w:szCs w:val="24"/>
        </w:rPr>
        <w:t>三、评标方法</w:t>
      </w:r>
    </w:p>
    <w:p>
      <w:pPr>
        <w:spacing w:line="500" w:lineRule="exact"/>
        <w:ind w:firstLine="480" w:firstLineChars="200"/>
        <w:rPr>
          <w:sz w:val="24"/>
          <w:szCs w:val="24"/>
        </w:rPr>
      </w:pPr>
      <w:r>
        <w:rPr>
          <w:sz w:val="24"/>
          <w:szCs w:val="24"/>
        </w:rPr>
        <w:t>本次评标，评标委员会成员综合评定各投标人提交的投标文件，由评标委员会成员按照招标文件规定的各项因素综合评定各投标人提交的投标文件并分别进行打分，确定中标候选人。</w:t>
      </w:r>
    </w:p>
    <w:p>
      <w:pPr>
        <w:spacing w:line="500" w:lineRule="exact"/>
        <w:ind w:firstLine="482" w:firstLineChars="200"/>
        <w:rPr>
          <w:b/>
          <w:sz w:val="24"/>
          <w:szCs w:val="24"/>
        </w:rPr>
      </w:pPr>
      <w:r>
        <w:rPr>
          <w:b/>
          <w:sz w:val="24"/>
          <w:szCs w:val="24"/>
        </w:rPr>
        <w:t>1、评标原则</w:t>
      </w:r>
    </w:p>
    <w:p>
      <w:pPr>
        <w:spacing w:line="500" w:lineRule="exact"/>
        <w:ind w:firstLine="480" w:firstLineChars="200"/>
        <w:rPr>
          <w:b/>
          <w:sz w:val="24"/>
          <w:szCs w:val="24"/>
        </w:rPr>
      </w:pPr>
      <w:r>
        <w:rPr>
          <w:sz w:val="24"/>
          <w:szCs w:val="24"/>
        </w:rPr>
        <w:t>依据《中华人民共和国政府采购法》，结合项目特点，评标严格按照招标文件的要求和条件进行。“公平、公正、科学、择优”为本次评标的基本原则，评标委员会将按照这一原则的要求，公正、平等地对待各投标人。同时，在评标时恪守以下原则：</w:t>
      </w:r>
    </w:p>
    <w:p>
      <w:pPr>
        <w:spacing w:line="500" w:lineRule="exact"/>
        <w:ind w:left="2" w:leftChars="1" w:firstLine="480" w:firstLineChars="200"/>
        <w:rPr>
          <w:sz w:val="24"/>
          <w:szCs w:val="24"/>
        </w:rPr>
      </w:pPr>
      <w:r>
        <w:rPr>
          <w:sz w:val="24"/>
          <w:szCs w:val="24"/>
        </w:rPr>
        <w:t>（1）客观性原则：评标委员会将按照招标文件的要求，对投标人的投标文件进行认真评审；对投标文件的评审仅依靠投标文件本身，而不依靠投标文件以外的任何因素。</w:t>
      </w:r>
    </w:p>
    <w:p>
      <w:pPr>
        <w:spacing w:line="500" w:lineRule="exact"/>
        <w:ind w:firstLine="480" w:firstLineChars="200"/>
        <w:rPr>
          <w:sz w:val="24"/>
          <w:szCs w:val="24"/>
        </w:rPr>
      </w:pPr>
      <w:r>
        <w:rPr>
          <w:sz w:val="24"/>
          <w:szCs w:val="24"/>
        </w:rPr>
        <w:t>（2）统一性原则：评标委员会将按照统一的评标原则和评标方法，用同一标准进行评标。</w:t>
      </w:r>
    </w:p>
    <w:p>
      <w:pPr>
        <w:spacing w:line="500" w:lineRule="exact"/>
        <w:ind w:firstLine="480" w:firstLineChars="200"/>
        <w:rPr>
          <w:sz w:val="24"/>
          <w:szCs w:val="24"/>
        </w:rPr>
      </w:pPr>
      <w:r>
        <w:rPr>
          <w:sz w:val="24"/>
          <w:szCs w:val="24"/>
        </w:rPr>
        <w:t>（3）独立性原则：评标工作在评标委员会内部独立进行，不受外界任何因素的干扰和影响。</w:t>
      </w:r>
    </w:p>
    <w:p>
      <w:pPr>
        <w:spacing w:line="500" w:lineRule="exact"/>
        <w:ind w:firstLine="480" w:firstLineChars="200"/>
        <w:rPr>
          <w:sz w:val="24"/>
          <w:szCs w:val="24"/>
        </w:rPr>
      </w:pPr>
      <w:r>
        <w:rPr>
          <w:sz w:val="24"/>
          <w:szCs w:val="24"/>
        </w:rPr>
        <w:t>（4）保密性原则：评委及熟知情况的有关工作人员将保守投标人的商业秘密。</w:t>
      </w:r>
    </w:p>
    <w:p>
      <w:pPr>
        <w:spacing w:line="500" w:lineRule="exact"/>
        <w:ind w:left="2" w:leftChars="1" w:firstLine="480" w:firstLineChars="200"/>
        <w:rPr>
          <w:sz w:val="24"/>
          <w:szCs w:val="24"/>
        </w:rPr>
      </w:pPr>
      <w:r>
        <w:rPr>
          <w:sz w:val="24"/>
          <w:szCs w:val="24"/>
        </w:rPr>
        <w:t>（5）综合性原则：评标委员会将综合比较、审查投标人的各项指标，而不以单项指标的优劣评定出中标候选人。</w:t>
      </w:r>
    </w:p>
    <w:p>
      <w:pPr>
        <w:spacing w:line="500" w:lineRule="exact"/>
        <w:ind w:firstLine="482"/>
        <w:textAlignment w:val="center"/>
        <w:rPr>
          <w:sz w:val="24"/>
          <w:szCs w:val="24"/>
        </w:rPr>
      </w:pPr>
      <w:r>
        <w:rPr>
          <w:sz w:val="24"/>
          <w:szCs w:val="24"/>
        </w:rPr>
        <w:t>（6）少数服从多数原则：评标委员会成员应当依法独立评标，遵守评标工作纪律。对需要共同认定的事项存在争议的，应当按照少数服从多数的原则作出评审结论；持不同意见的评标委员会成员应当在评标报告上签署不同意见并说明理由；不签署不同意见的，视为同意。</w:t>
      </w:r>
    </w:p>
    <w:p>
      <w:pPr>
        <w:spacing w:line="500" w:lineRule="exact"/>
        <w:ind w:firstLine="482" w:firstLineChars="200"/>
        <w:rPr>
          <w:b/>
          <w:sz w:val="24"/>
          <w:szCs w:val="24"/>
        </w:rPr>
      </w:pPr>
      <w:r>
        <w:rPr>
          <w:b/>
          <w:sz w:val="24"/>
          <w:szCs w:val="24"/>
        </w:rPr>
        <w:t>2、评标过程保密</w:t>
      </w:r>
    </w:p>
    <w:p>
      <w:pPr>
        <w:spacing w:line="500" w:lineRule="exact"/>
        <w:ind w:firstLine="480" w:firstLineChars="200"/>
        <w:rPr>
          <w:sz w:val="24"/>
          <w:szCs w:val="24"/>
        </w:rPr>
      </w:pPr>
      <w:r>
        <w:rPr>
          <w:sz w:val="24"/>
          <w:szCs w:val="24"/>
        </w:rPr>
        <w:t>2.1 开标之后，直到授予投标人合同止，凡是属于审查、澄清、评价和比较投标的有关资料以及授标意向等，均不得向投标人或其他无关的人员透露。</w:t>
      </w:r>
    </w:p>
    <w:p>
      <w:pPr>
        <w:spacing w:line="500" w:lineRule="exact"/>
        <w:ind w:firstLine="480" w:firstLineChars="200"/>
        <w:rPr>
          <w:sz w:val="24"/>
          <w:szCs w:val="24"/>
        </w:rPr>
      </w:pPr>
      <w:r>
        <w:rPr>
          <w:sz w:val="24"/>
          <w:szCs w:val="24"/>
        </w:rPr>
        <w:t>2.2 在评标期间，投标人企图影响招标方的任何活动将导致投标被拒绝，并承担相应的法律责任。</w:t>
      </w:r>
    </w:p>
    <w:p>
      <w:pPr>
        <w:spacing w:line="500" w:lineRule="exact"/>
        <w:ind w:firstLine="480" w:firstLineChars="200"/>
        <w:rPr>
          <w:sz w:val="24"/>
          <w:szCs w:val="24"/>
        </w:rPr>
      </w:pPr>
      <w:r>
        <w:rPr>
          <w:sz w:val="24"/>
          <w:szCs w:val="24"/>
        </w:rPr>
        <w:t>2.3 中标人确定后，</w:t>
      </w:r>
      <w:r>
        <w:rPr>
          <w:rFonts w:hint="eastAsia"/>
          <w:sz w:val="24"/>
          <w:szCs w:val="24"/>
          <w:lang w:eastAsia="zh-CN"/>
        </w:rPr>
        <w:t>招标</w:t>
      </w:r>
      <w:r>
        <w:rPr>
          <w:sz w:val="24"/>
          <w:szCs w:val="24"/>
        </w:rPr>
        <w:t>人不对未中标人就评标过程以及未能中标原因作出任何解释。未中标人不得向评标委员会组成人员或其他有关人员索问评标过程的情况和材料。</w:t>
      </w:r>
    </w:p>
    <w:p>
      <w:pPr>
        <w:spacing w:line="500" w:lineRule="exact"/>
        <w:ind w:firstLine="482" w:firstLineChars="200"/>
        <w:rPr>
          <w:b/>
          <w:sz w:val="24"/>
          <w:szCs w:val="24"/>
        </w:rPr>
      </w:pPr>
      <w:r>
        <w:rPr>
          <w:b/>
          <w:sz w:val="24"/>
          <w:szCs w:val="24"/>
        </w:rPr>
        <w:t>3、初步评审</w:t>
      </w:r>
    </w:p>
    <w:p>
      <w:pPr>
        <w:spacing w:line="500" w:lineRule="exact"/>
        <w:ind w:firstLine="482" w:firstLineChars="200"/>
        <w:rPr>
          <w:b/>
          <w:sz w:val="24"/>
          <w:szCs w:val="24"/>
        </w:rPr>
      </w:pPr>
      <w:r>
        <w:rPr>
          <w:b/>
          <w:sz w:val="24"/>
          <w:szCs w:val="24"/>
        </w:rPr>
        <w:t>3.1 资格审查</w:t>
      </w:r>
    </w:p>
    <w:p>
      <w:pPr>
        <w:spacing w:line="500" w:lineRule="exact"/>
        <w:ind w:right="46" w:rightChars="22" w:firstLine="480" w:firstLineChars="200"/>
        <w:rPr>
          <w:sz w:val="24"/>
          <w:szCs w:val="24"/>
        </w:rPr>
      </w:pPr>
      <w:r>
        <w:rPr>
          <w:sz w:val="24"/>
          <w:szCs w:val="24"/>
        </w:rPr>
        <w:t>开标结束后，</w:t>
      </w:r>
      <w:r>
        <w:rPr>
          <w:rFonts w:hint="eastAsia"/>
          <w:sz w:val="24"/>
          <w:szCs w:val="24"/>
          <w:lang w:eastAsia="zh-CN"/>
        </w:rPr>
        <w:t>招标</w:t>
      </w:r>
      <w:r>
        <w:rPr>
          <w:sz w:val="24"/>
          <w:szCs w:val="24"/>
        </w:rPr>
        <w:t>人或者</w:t>
      </w:r>
      <w:r>
        <w:rPr>
          <w:rFonts w:hint="eastAsia"/>
          <w:sz w:val="24"/>
          <w:szCs w:val="24"/>
          <w:lang w:eastAsia="zh-CN"/>
        </w:rPr>
        <w:t>招标</w:t>
      </w:r>
      <w:r>
        <w:rPr>
          <w:sz w:val="24"/>
          <w:szCs w:val="24"/>
        </w:rPr>
        <w:t>代理机构应当依法对投标人的资格进行审查。合格投标人不足3家的，不得评标。</w:t>
      </w:r>
    </w:p>
    <w:p>
      <w:pPr>
        <w:pStyle w:val="39"/>
        <w:spacing w:line="500" w:lineRule="exact"/>
        <w:ind w:firstLine="482"/>
        <w:textAlignment w:val="center"/>
        <w:rPr>
          <w:rFonts w:ascii="Times New Roman" w:hAnsi="Times New Roman"/>
          <w:szCs w:val="24"/>
        </w:rPr>
      </w:pPr>
      <w:r>
        <w:rPr>
          <w:rFonts w:ascii="Times New Roman" w:hAnsi="Times New Roman"/>
          <w:b/>
          <w:szCs w:val="24"/>
        </w:rPr>
        <w:t>3.2评标委员会应当对符合资格的投标人的投标文件进行符合性审查，以确定其是否满足招标文件的实质性要求。</w:t>
      </w:r>
      <w:r>
        <w:rPr>
          <w:rFonts w:ascii="Times New Roman" w:hAnsi="Times New Roman"/>
          <w:szCs w:val="24"/>
        </w:rPr>
        <w:t>评标委员会将确定每一投标人是否对招标文件的要求做出了实质性的响应，而没有重大偏差。实质性响应的投标是指投标符合招标文件的所有条款、条件和规定且没有重大偏差或保留。重大偏差或保留是指影响到招标文件规定的招标范围和内容或限制了</w:t>
      </w:r>
      <w:r>
        <w:rPr>
          <w:rFonts w:hint="eastAsia" w:ascii="Times New Roman" w:hAnsi="Times New Roman"/>
          <w:szCs w:val="24"/>
          <w:lang w:eastAsia="zh-CN"/>
        </w:rPr>
        <w:t>招标</w:t>
      </w:r>
      <w:r>
        <w:rPr>
          <w:rFonts w:ascii="Times New Roman" w:hAnsi="Times New Roman"/>
          <w:szCs w:val="24"/>
        </w:rPr>
        <w:t>人的权利和投标人的义务规定，而纠正这些偏差将影响到其他提交实质性响应投标的投标人的公平竞争地位。</w:t>
      </w:r>
    </w:p>
    <w:p>
      <w:pPr>
        <w:pStyle w:val="39"/>
        <w:spacing w:line="500" w:lineRule="exact"/>
        <w:ind w:firstLine="482"/>
        <w:textAlignment w:val="center"/>
        <w:rPr>
          <w:rFonts w:ascii="Times New Roman" w:hAnsi="Times New Roman"/>
          <w:b/>
          <w:bCs/>
          <w:szCs w:val="24"/>
          <w:u w:val="single"/>
        </w:rPr>
      </w:pPr>
      <w:r>
        <w:rPr>
          <w:rFonts w:ascii="Times New Roman" w:hAnsi="Times New Roman"/>
          <w:b/>
          <w:bCs/>
          <w:szCs w:val="24"/>
          <w:u w:val="single"/>
        </w:rPr>
        <w:t>3.2.1重大偏差包括以下内容:</w:t>
      </w:r>
    </w:p>
    <w:p>
      <w:pPr>
        <w:pStyle w:val="39"/>
        <w:spacing w:line="500" w:lineRule="exact"/>
        <w:ind w:firstLine="482"/>
        <w:textAlignment w:val="center"/>
        <w:rPr>
          <w:rFonts w:hAnsi="宋体" w:cs="宋体"/>
          <w:szCs w:val="24"/>
        </w:rPr>
      </w:pPr>
      <w:r>
        <w:rPr>
          <w:rFonts w:hAnsi="宋体" w:cs="宋体"/>
          <w:szCs w:val="24"/>
        </w:rPr>
        <w:t>（1）投标文件未经投标单位盖章和法定代表人或法定代表人授权的代理人签字或盖章的（非逐页小签）；</w:t>
      </w:r>
    </w:p>
    <w:p>
      <w:pPr>
        <w:pStyle w:val="39"/>
        <w:spacing w:line="500" w:lineRule="exact"/>
        <w:ind w:firstLine="482"/>
        <w:textAlignment w:val="center"/>
        <w:rPr>
          <w:rFonts w:hAnsi="宋体" w:cs="宋体"/>
          <w:szCs w:val="24"/>
        </w:rPr>
      </w:pPr>
      <w:r>
        <w:rPr>
          <w:rFonts w:hAnsi="宋体" w:cs="宋体"/>
          <w:szCs w:val="24"/>
        </w:rPr>
        <w:t>（2）</w:t>
      </w:r>
      <w:r>
        <w:rPr>
          <w:rFonts w:hint="eastAsia" w:hAnsi="宋体" w:cs="宋体"/>
          <w:szCs w:val="24"/>
          <w:lang w:val="en-US" w:eastAsia="zh-CN"/>
        </w:rPr>
        <w:t>交货</w:t>
      </w:r>
      <w:r>
        <w:rPr>
          <w:rFonts w:hAnsi="宋体" w:cs="宋体"/>
          <w:szCs w:val="24"/>
        </w:rPr>
        <w:t>期、付款方式、投标有效期等有不满足招标文件要求的；</w:t>
      </w:r>
    </w:p>
    <w:p>
      <w:pPr>
        <w:pStyle w:val="39"/>
        <w:spacing w:line="500" w:lineRule="exact"/>
        <w:ind w:firstLine="482"/>
        <w:textAlignment w:val="center"/>
        <w:rPr>
          <w:rFonts w:hAnsi="宋体" w:cs="宋体"/>
          <w:szCs w:val="24"/>
        </w:rPr>
      </w:pPr>
      <w:r>
        <w:rPr>
          <w:rFonts w:hAnsi="宋体" w:cs="宋体"/>
          <w:szCs w:val="24"/>
        </w:rPr>
        <w:t xml:space="preserve">（3）投标人提供的投标文件不完整； </w:t>
      </w:r>
    </w:p>
    <w:p>
      <w:pPr>
        <w:pStyle w:val="39"/>
        <w:spacing w:line="500" w:lineRule="exact"/>
        <w:ind w:firstLine="482"/>
        <w:textAlignment w:val="center"/>
        <w:rPr>
          <w:rFonts w:hAnsi="宋体" w:cs="宋体"/>
          <w:szCs w:val="24"/>
        </w:rPr>
      </w:pPr>
      <w:r>
        <w:rPr>
          <w:rFonts w:hAnsi="宋体" w:cs="宋体"/>
          <w:szCs w:val="24"/>
        </w:rPr>
        <w:t>（4）未按规定报价，投标文件中未按招标文件或</w:t>
      </w:r>
      <w:r>
        <w:rPr>
          <w:rFonts w:hint="eastAsia" w:hAnsi="宋体" w:cs="宋体"/>
          <w:szCs w:val="24"/>
          <w:lang w:val="en-US" w:eastAsia="zh-CN"/>
        </w:rPr>
        <w:t>报价明细表</w:t>
      </w:r>
      <w:r>
        <w:rPr>
          <w:rFonts w:hAnsi="宋体" w:cs="宋体"/>
          <w:szCs w:val="24"/>
        </w:rPr>
        <w:t>要求报出价格，</w:t>
      </w:r>
      <w:r>
        <w:rPr>
          <w:rFonts w:hint="eastAsia" w:hAnsi="宋体" w:cs="宋体"/>
          <w:szCs w:val="24"/>
          <w:lang w:val="en-US" w:eastAsia="zh-CN"/>
        </w:rPr>
        <w:t>报价明细表</w:t>
      </w:r>
      <w:r>
        <w:rPr>
          <w:rFonts w:hAnsi="宋体" w:cs="宋体"/>
          <w:szCs w:val="24"/>
        </w:rPr>
        <w:t>中出现严重的缺项漏项，评标委员会无法比较和评审的；</w:t>
      </w:r>
    </w:p>
    <w:p>
      <w:pPr>
        <w:pStyle w:val="39"/>
        <w:spacing w:line="500" w:lineRule="exact"/>
        <w:ind w:firstLine="482"/>
        <w:textAlignment w:val="center"/>
        <w:rPr>
          <w:rFonts w:hAnsi="宋体" w:cs="宋体"/>
          <w:szCs w:val="24"/>
        </w:rPr>
      </w:pPr>
      <w:r>
        <w:rPr>
          <w:rFonts w:hAnsi="宋体" w:cs="宋体"/>
          <w:szCs w:val="24"/>
        </w:rPr>
        <w:t>（5）投标人递交两份或多份内容不同的投标文件，或在一份投标文件中对同一招标项目报有两个或多个报价，且未声明哪一个有效，按招标文件规定提交备选投标方案的除外；</w:t>
      </w:r>
    </w:p>
    <w:p>
      <w:pPr>
        <w:pStyle w:val="39"/>
        <w:spacing w:line="500" w:lineRule="exact"/>
        <w:ind w:firstLine="482"/>
        <w:textAlignment w:val="center"/>
        <w:rPr>
          <w:rFonts w:hAnsi="宋体" w:cs="宋体"/>
          <w:szCs w:val="24"/>
        </w:rPr>
      </w:pPr>
      <w:r>
        <w:rPr>
          <w:rFonts w:hAnsi="宋体" w:cs="宋体"/>
          <w:szCs w:val="24"/>
        </w:rPr>
        <w:t>（6）技术文件部分未按招标文件要求列出详细方案、技术指标或者复制招标文件中的技术要求，评标委员会无法比较和评审的；</w:t>
      </w:r>
    </w:p>
    <w:p>
      <w:pPr>
        <w:pStyle w:val="39"/>
        <w:spacing w:line="500" w:lineRule="exact"/>
        <w:ind w:firstLine="482"/>
        <w:textAlignment w:val="center"/>
        <w:rPr>
          <w:rFonts w:hAnsi="宋体" w:cs="宋体"/>
          <w:szCs w:val="24"/>
        </w:rPr>
      </w:pPr>
      <w:r>
        <w:rPr>
          <w:rFonts w:hAnsi="宋体" w:cs="宋体"/>
          <w:szCs w:val="24"/>
        </w:rPr>
        <w:t xml:space="preserve">（7）投标文件中的服务方案、履约能力描述及证明有明显不符合招标文件要求的； </w:t>
      </w:r>
    </w:p>
    <w:p>
      <w:pPr>
        <w:pStyle w:val="39"/>
        <w:spacing w:line="500" w:lineRule="exact"/>
        <w:ind w:firstLine="482"/>
        <w:textAlignment w:val="center"/>
        <w:rPr>
          <w:rFonts w:hAnsi="宋体" w:cs="宋体"/>
          <w:szCs w:val="24"/>
        </w:rPr>
      </w:pPr>
      <w:r>
        <w:rPr>
          <w:rFonts w:hAnsi="宋体" w:cs="宋体"/>
          <w:szCs w:val="24"/>
        </w:rPr>
        <w:t>（8）投标文件附有</w:t>
      </w:r>
      <w:r>
        <w:rPr>
          <w:rFonts w:hint="eastAsia" w:hAnsi="宋体" w:cs="宋体"/>
          <w:szCs w:val="24"/>
          <w:lang w:eastAsia="zh-CN"/>
        </w:rPr>
        <w:t>招标</w:t>
      </w:r>
      <w:r>
        <w:rPr>
          <w:rFonts w:hAnsi="宋体" w:cs="宋体"/>
          <w:szCs w:val="24"/>
        </w:rPr>
        <w:t>人不能接受的条件；</w:t>
      </w:r>
    </w:p>
    <w:p>
      <w:pPr>
        <w:pStyle w:val="39"/>
        <w:spacing w:line="500" w:lineRule="exact"/>
        <w:ind w:firstLine="482"/>
        <w:textAlignment w:val="center"/>
        <w:rPr>
          <w:rFonts w:hAnsi="宋体" w:cs="宋体"/>
          <w:szCs w:val="24"/>
        </w:rPr>
      </w:pPr>
      <w:r>
        <w:rPr>
          <w:rFonts w:hAnsi="宋体" w:cs="宋体"/>
          <w:szCs w:val="24"/>
        </w:rPr>
        <w:t>（9）评标过程中，评标委员会认为投标人的报价明显低于其他通过符合性审查投标人的报价，有可能影响</w:t>
      </w:r>
      <w:r>
        <w:rPr>
          <w:rFonts w:hint="eastAsia" w:hAnsi="宋体" w:cs="宋体"/>
          <w:szCs w:val="24"/>
          <w:lang w:val="en-US" w:eastAsia="zh-CN"/>
        </w:rPr>
        <w:t>服务质量</w:t>
      </w:r>
      <w:r>
        <w:rPr>
          <w:rFonts w:hAnsi="宋体" w:cs="宋体"/>
          <w:szCs w:val="24"/>
        </w:rPr>
        <w:t>或者不能诚信履约的，应当要求其在评标现场合理的时间内提供书面说明，必要时提交相关证明材料；投标人不能证明其报价合理性的，评标委员会应当将其作为无效投标处理；</w:t>
      </w:r>
    </w:p>
    <w:p>
      <w:pPr>
        <w:pStyle w:val="39"/>
        <w:spacing w:line="500" w:lineRule="exact"/>
        <w:ind w:firstLine="482"/>
        <w:textAlignment w:val="center"/>
        <w:rPr>
          <w:rFonts w:hAnsi="宋体" w:cs="宋体"/>
          <w:szCs w:val="24"/>
        </w:rPr>
      </w:pPr>
      <w:r>
        <w:rPr>
          <w:rFonts w:hAnsi="宋体" w:cs="宋体"/>
          <w:szCs w:val="24"/>
        </w:rPr>
        <w:t>（10）投标报价超过</w:t>
      </w:r>
      <w:r>
        <w:rPr>
          <w:rFonts w:hint="eastAsia" w:hAnsi="宋体" w:cs="宋体"/>
          <w:szCs w:val="24"/>
          <w:lang w:eastAsia="zh-CN"/>
        </w:rPr>
        <w:t>招标</w:t>
      </w:r>
      <w:r>
        <w:rPr>
          <w:rFonts w:hAnsi="宋体" w:cs="宋体"/>
          <w:szCs w:val="24"/>
        </w:rPr>
        <w:t>预算或控制价的；</w:t>
      </w:r>
    </w:p>
    <w:p>
      <w:pPr>
        <w:pStyle w:val="39"/>
        <w:spacing w:line="500" w:lineRule="exact"/>
        <w:ind w:firstLine="482"/>
        <w:textAlignment w:val="center"/>
        <w:rPr>
          <w:rFonts w:hAnsi="宋体" w:cs="宋体"/>
          <w:szCs w:val="24"/>
        </w:rPr>
      </w:pPr>
      <w:r>
        <w:rPr>
          <w:rFonts w:hAnsi="宋体" w:cs="宋体"/>
          <w:szCs w:val="24"/>
        </w:rPr>
        <w:t>（11）组成联合体投标的，投标文件未附联合体各方共同投标协议的；</w:t>
      </w:r>
    </w:p>
    <w:p>
      <w:pPr>
        <w:pStyle w:val="39"/>
        <w:spacing w:line="500" w:lineRule="exact"/>
        <w:ind w:firstLine="482"/>
        <w:textAlignment w:val="center"/>
        <w:rPr>
          <w:rFonts w:hAnsi="宋体" w:cs="宋体"/>
          <w:szCs w:val="24"/>
        </w:rPr>
      </w:pPr>
      <w:r>
        <w:rPr>
          <w:rFonts w:hAnsi="宋体" w:cs="宋体"/>
          <w:szCs w:val="24"/>
        </w:rPr>
        <w:t>（12）不符合招标文件中规定的其他实质性要求。</w:t>
      </w:r>
    </w:p>
    <w:p>
      <w:pPr>
        <w:pStyle w:val="39"/>
        <w:spacing w:line="500" w:lineRule="exact"/>
        <w:ind w:firstLine="482"/>
        <w:textAlignment w:val="center"/>
        <w:rPr>
          <w:rFonts w:ascii="Times New Roman" w:hAnsi="Times New Roman"/>
          <w:b/>
          <w:szCs w:val="24"/>
        </w:rPr>
      </w:pPr>
      <w:r>
        <w:rPr>
          <w:rFonts w:ascii="Times New Roman" w:hAnsi="Times New Roman"/>
          <w:b/>
          <w:szCs w:val="24"/>
        </w:rPr>
        <w:t>投标文件有上述情况之一的，为未能对招标文件做出实质性响应，将作无效投标处理，不允许投标人通过修正或撤消不符之处而使其投标成为实质性响应的投标。</w:t>
      </w:r>
    </w:p>
    <w:p>
      <w:pPr>
        <w:pStyle w:val="39"/>
        <w:spacing w:line="500" w:lineRule="exact"/>
        <w:ind w:firstLine="482"/>
        <w:textAlignment w:val="center"/>
        <w:rPr>
          <w:rFonts w:ascii="Times New Roman" w:hAnsi="Times New Roman"/>
          <w:szCs w:val="24"/>
        </w:rPr>
      </w:pPr>
      <w:r>
        <w:rPr>
          <w:rFonts w:ascii="Times New Roman" w:hAnsi="Times New Roman"/>
          <w:szCs w:val="24"/>
        </w:rPr>
        <w:t>3.2.2</w:t>
      </w:r>
      <w:r>
        <w:rPr>
          <w:rFonts w:ascii="Times New Roman" w:hAnsi="Times New Roman"/>
        </w:rPr>
        <w:t>评标委员会将允许投标人修改其投标文件的细微偏差。</w:t>
      </w:r>
      <w:r>
        <w:rPr>
          <w:rFonts w:ascii="Times New Roman" w:hAnsi="Times New Roman"/>
          <w:szCs w:val="24"/>
        </w:rPr>
        <w:t>细微偏差是指投标文件在实质上响应招标文件要求，但在个别地方存在漏项或者提供了不完整的信息和数据等情况，并且补正这些遗漏或者不完整不会对其他投标人造成不公平的结果。细微偏差不影响投标文件的有效性。</w:t>
      </w:r>
    </w:p>
    <w:p>
      <w:pPr>
        <w:spacing w:line="500" w:lineRule="exact"/>
        <w:ind w:firstLine="480" w:firstLineChars="200"/>
        <w:rPr>
          <w:sz w:val="24"/>
          <w:szCs w:val="24"/>
        </w:rPr>
      </w:pPr>
      <w:r>
        <w:rPr>
          <w:sz w:val="24"/>
          <w:szCs w:val="24"/>
        </w:rPr>
        <w:t>3.2.3对于投标文件中含义不明确、同类问题表述不一致或者有明显文字和计算错误的内容，评标委员会应当以书面形式要求投标人作出必要的澄清、说明或者补正。</w:t>
      </w:r>
    </w:p>
    <w:p>
      <w:pPr>
        <w:spacing w:line="500" w:lineRule="exact"/>
        <w:ind w:firstLine="480" w:firstLineChars="200"/>
        <w:rPr>
          <w:sz w:val="24"/>
          <w:szCs w:val="24"/>
        </w:rPr>
      </w:pPr>
      <w:r>
        <w:rPr>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pPr>
        <w:spacing w:line="500" w:lineRule="exact"/>
        <w:ind w:firstLine="482" w:firstLineChars="200"/>
        <w:rPr>
          <w:b/>
          <w:sz w:val="24"/>
          <w:szCs w:val="24"/>
        </w:rPr>
      </w:pPr>
      <w:r>
        <w:rPr>
          <w:b/>
          <w:sz w:val="24"/>
          <w:szCs w:val="24"/>
        </w:rPr>
        <w:t>3.3 投标报价评审</w:t>
      </w:r>
    </w:p>
    <w:p>
      <w:pPr>
        <w:spacing w:line="500" w:lineRule="exact"/>
        <w:ind w:firstLine="480" w:firstLineChars="200"/>
        <w:rPr>
          <w:sz w:val="24"/>
          <w:szCs w:val="24"/>
        </w:rPr>
      </w:pPr>
      <w:r>
        <w:rPr>
          <w:sz w:val="24"/>
          <w:szCs w:val="24"/>
        </w:rPr>
        <w:t>投标人投标报价有算术错误的，评标委员会按以下原则对投标报价进行修正：</w:t>
      </w:r>
    </w:p>
    <w:p>
      <w:pPr>
        <w:spacing w:line="500" w:lineRule="exact"/>
        <w:ind w:firstLine="480" w:firstLineChars="200"/>
        <w:rPr>
          <w:sz w:val="24"/>
          <w:szCs w:val="24"/>
        </w:rPr>
      </w:pPr>
      <w:r>
        <w:rPr>
          <w:sz w:val="24"/>
          <w:szCs w:val="24"/>
        </w:rPr>
        <w:t>(一)投标文件中开标一览表(报价表)内容与投标文件中相应内容不一致的，以开标一览表(报价表)为准；</w:t>
      </w:r>
    </w:p>
    <w:p>
      <w:pPr>
        <w:spacing w:line="500" w:lineRule="exact"/>
        <w:ind w:firstLine="480" w:firstLineChars="200"/>
        <w:rPr>
          <w:sz w:val="24"/>
          <w:szCs w:val="24"/>
        </w:rPr>
      </w:pPr>
      <w:r>
        <w:rPr>
          <w:sz w:val="24"/>
          <w:szCs w:val="24"/>
        </w:rPr>
        <w:t>(二)大写金额和小写金额不一致的，以大写金额为准；</w:t>
      </w:r>
    </w:p>
    <w:p>
      <w:pPr>
        <w:spacing w:line="500" w:lineRule="exact"/>
        <w:ind w:firstLine="480" w:firstLineChars="200"/>
        <w:rPr>
          <w:sz w:val="24"/>
          <w:szCs w:val="24"/>
        </w:rPr>
      </w:pPr>
      <w:r>
        <w:rPr>
          <w:sz w:val="24"/>
          <w:szCs w:val="24"/>
        </w:rPr>
        <w:t>(三)单价金额小数点或者百分比有明显错位的，以开标一览表的总价为准，并修改单价；</w:t>
      </w:r>
    </w:p>
    <w:p>
      <w:pPr>
        <w:spacing w:line="500" w:lineRule="exact"/>
        <w:ind w:firstLine="480" w:firstLineChars="200"/>
        <w:rPr>
          <w:sz w:val="24"/>
          <w:szCs w:val="24"/>
        </w:rPr>
      </w:pPr>
      <w:r>
        <w:rPr>
          <w:sz w:val="24"/>
          <w:szCs w:val="24"/>
        </w:rPr>
        <w:t>(四)总价金额与按单价汇总金额不一致的，以单价金额计算结果为准。</w:t>
      </w:r>
    </w:p>
    <w:p>
      <w:pPr>
        <w:spacing w:line="500" w:lineRule="exact"/>
        <w:ind w:firstLine="480" w:firstLineChars="200"/>
        <w:rPr>
          <w:sz w:val="24"/>
          <w:szCs w:val="24"/>
        </w:rPr>
      </w:pPr>
      <w:r>
        <w:rPr>
          <w:sz w:val="24"/>
          <w:szCs w:val="24"/>
        </w:rPr>
        <w:t>同时出现两种以上不一致的，按照前款规定的顺序修正。修正后的报价经投标人确认后产生约束力，投标人不确认的，其投标无效。</w:t>
      </w:r>
    </w:p>
    <w:p>
      <w:pPr>
        <w:spacing w:line="500" w:lineRule="exact"/>
        <w:ind w:firstLine="482" w:firstLineChars="200"/>
        <w:rPr>
          <w:b/>
          <w:sz w:val="24"/>
          <w:szCs w:val="24"/>
        </w:rPr>
      </w:pPr>
      <w:r>
        <w:rPr>
          <w:b/>
          <w:sz w:val="24"/>
          <w:szCs w:val="24"/>
        </w:rPr>
        <w:t>4、详细评审：</w:t>
      </w:r>
    </w:p>
    <w:p>
      <w:pPr>
        <w:spacing w:line="500" w:lineRule="exact"/>
        <w:ind w:firstLine="480" w:firstLineChars="200"/>
        <w:rPr>
          <w:sz w:val="24"/>
          <w:szCs w:val="24"/>
        </w:rPr>
      </w:pPr>
      <w:r>
        <w:rPr>
          <w:sz w:val="24"/>
          <w:szCs w:val="24"/>
        </w:rPr>
        <w:t>评标委员会根据以下评分标准进行评标，并计算出每个有效投标人的最终得分。</w:t>
      </w:r>
    </w:p>
    <w:p>
      <w:pPr>
        <w:spacing w:line="500" w:lineRule="exact"/>
        <w:ind w:firstLine="482" w:firstLineChars="200"/>
        <w:rPr>
          <w:rFonts w:hint="eastAsia"/>
          <w:b/>
          <w:bCs/>
          <w:color w:val="auto"/>
          <w:sz w:val="24"/>
          <w:szCs w:val="24"/>
          <w:highlight w:val="none"/>
        </w:rPr>
      </w:pPr>
      <w:r>
        <w:rPr>
          <w:b/>
          <w:bCs/>
          <w:color w:val="auto"/>
          <w:sz w:val="24"/>
          <w:szCs w:val="24"/>
          <w:highlight w:val="none"/>
        </w:rPr>
        <w:t>4.1评分标准</w:t>
      </w:r>
    </w:p>
    <w:tbl>
      <w:tblPr>
        <w:tblStyle w:val="73"/>
        <w:tblW w:w="9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22"/>
        <w:gridCol w:w="8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222"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w:t>
            </w:r>
          </w:p>
        </w:tc>
        <w:tc>
          <w:tcPr>
            <w:tcW w:w="8447"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71" w:hRule="atLeast"/>
          <w:jc w:val="center"/>
        </w:trPr>
        <w:tc>
          <w:tcPr>
            <w:tcW w:w="1222"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价格分</w:t>
            </w:r>
          </w:p>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分</w:t>
            </w:r>
          </w:p>
        </w:tc>
        <w:tc>
          <w:tcPr>
            <w:tcW w:w="8447"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价格分统一采用低价优先法计算,即满足招标文件要求且投标价格最低的投标报价 为评标基准价,其价格分为满分3</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分。其他投标人的价格分统一按照下列公式计算: 投标报价得分=(评标基准价/投标报价)×3</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×100</w:t>
            </w:r>
          </w:p>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注：比例不足 1%的按内插法计算，小数点后保留2位有效数字。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89" w:hRule="atLeast"/>
          <w:jc w:val="center"/>
        </w:trPr>
        <w:tc>
          <w:tcPr>
            <w:tcW w:w="1222"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项目理解</w:t>
            </w:r>
          </w:p>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8分</w:t>
            </w:r>
          </w:p>
        </w:tc>
        <w:tc>
          <w:tcPr>
            <w:tcW w:w="8447"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1、根据</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对项目建设背景等的阐述情况得1-4分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无确切描述</w:t>
            </w:r>
            <w:r>
              <w:rPr>
                <w:rFonts w:hint="eastAsia" w:asciiTheme="minorEastAsia" w:hAnsiTheme="minorEastAsia" w:eastAsiaTheme="minorEastAsia" w:cstheme="minorEastAsia"/>
                <w:color w:val="auto"/>
                <w:sz w:val="24"/>
                <w:szCs w:val="24"/>
                <w:highlight w:val="none"/>
                <w:lang w:val="zh-CN"/>
              </w:rPr>
              <w:t>得</w:t>
            </w:r>
            <w:r>
              <w:rPr>
                <w:rFonts w:hint="eastAsia" w:asciiTheme="minorEastAsia" w:hAnsiTheme="minorEastAsia" w:eastAsiaTheme="minorEastAsia" w:cstheme="minorEastAsia"/>
                <w:color w:val="auto"/>
                <w:sz w:val="24"/>
                <w:szCs w:val="24"/>
                <w:highlight w:val="none"/>
              </w:rPr>
              <w:t>0分</w:t>
            </w:r>
            <w:r>
              <w:rPr>
                <w:rFonts w:hint="eastAsia" w:asciiTheme="minorEastAsia" w:hAnsiTheme="minorEastAsia" w:eastAsiaTheme="minorEastAsia" w:cstheme="minorEastAsia"/>
                <w:color w:val="auto"/>
                <w:sz w:val="24"/>
                <w:szCs w:val="24"/>
                <w:highlight w:val="none"/>
                <w:lang w:eastAsia="zh-CN"/>
              </w:rPr>
              <w:t>；</w:t>
            </w:r>
          </w:p>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2、根据</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对项目理解程度及方案阐述得1-4分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无确切描述</w:t>
            </w:r>
            <w:r>
              <w:rPr>
                <w:rFonts w:hint="eastAsia" w:asciiTheme="minorEastAsia" w:hAnsiTheme="minorEastAsia" w:eastAsiaTheme="minorEastAsia" w:cstheme="minorEastAsia"/>
                <w:color w:val="auto"/>
                <w:sz w:val="24"/>
                <w:szCs w:val="24"/>
                <w:highlight w:val="none"/>
                <w:lang w:val="zh-CN"/>
              </w:rPr>
              <w:t>得</w:t>
            </w:r>
            <w:r>
              <w:rPr>
                <w:rFonts w:hint="eastAsia" w:asciiTheme="minorEastAsia" w:hAnsiTheme="minorEastAsia" w:eastAsiaTheme="minorEastAsia" w:cstheme="minorEastAsia"/>
                <w:color w:val="auto"/>
                <w:sz w:val="24"/>
                <w:szCs w:val="24"/>
                <w:highlight w:val="none"/>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85" w:hRule="atLeast"/>
          <w:jc w:val="center"/>
        </w:trPr>
        <w:tc>
          <w:tcPr>
            <w:tcW w:w="1222"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项目实施</w:t>
            </w:r>
          </w:p>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8分</w:t>
            </w:r>
          </w:p>
        </w:tc>
        <w:tc>
          <w:tcPr>
            <w:tcW w:w="8447"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1、根据项目方案实施过程的完整性、全面性得1-4分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无确切描述</w:t>
            </w:r>
            <w:r>
              <w:rPr>
                <w:rFonts w:hint="eastAsia" w:asciiTheme="minorEastAsia" w:hAnsiTheme="minorEastAsia" w:eastAsiaTheme="minorEastAsia" w:cstheme="minorEastAsia"/>
                <w:color w:val="auto"/>
                <w:sz w:val="24"/>
                <w:szCs w:val="24"/>
                <w:highlight w:val="none"/>
                <w:lang w:val="zh-CN"/>
              </w:rPr>
              <w:t>得</w:t>
            </w:r>
            <w:r>
              <w:rPr>
                <w:rFonts w:hint="eastAsia" w:asciiTheme="minorEastAsia" w:hAnsiTheme="minorEastAsia" w:eastAsiaTheme="minorEastAsia" w:cstheme="minorEastAsia"/>
                <w:color w:val="auto"/>
                <w:sz w:val="24"/>
                <w:szCs w:val="24"/>
                <w:highlight w:val="none"/>
              </w:rPr>
              <w:t>0分</w:t>
            </w:r>
            <w:r>
              <w:rPr>
                <w:rFonts w:hint="eastAsia" w:asciiTheme="minorEastAsia" w:hAnsiTheme="minorEastAsia" w:eastAsiaTheme="minorEastAsia" w:cstheme="minorEastAsia"/>
                <w:color w:val="auto"/>
                <w:sz w:val="24"/>
                <w:szCs w:val="24"/>
                <w:highlight w:val="none"/>
                <w:lang w:eastAsia="zh-CN"/>
              </w:rPr>
              <w:t>；</w:t>
            </w:r>
          </w:p>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、根据实施人员配备、数量、分工情况得1-4分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无确切描述</w:t>
            </w:r>
            <w:r>
              <w:rPr>
                <w:rFonts w:hint="eastAsia" w:asciiTheme="minorEastAsia" w:hAnsiTheme="minorEastAsia" w:eastAsiaTheme="minorEastAsia" w:cstheme="minorEastAsia"/>
                <w:color w:val="auto"/>
                <w:sz w:val="24"/>
                <w:szCs w:val="24"/>
                <w:highlight w:val="none"/>
                <w:lang w:val="zh-CN"/>
              </w:rPr>
              <w:t>得</w:t>
            </w:r>
            <w:r>
              <w:rPr>
                <w:rFonts w:hint="eastAsia" w:asciiTheme="minorEastAsia" w:hAnsiTheme="minorEastAsia" w:eastAsiaTheme="minorEastAsia" w:cstheme="minorEastAsia"/>
                <w:color w:val="auto"/>
                <w:sz w:val="24"/>
                <w:szCs w:val="24"/>
                <w:highlight w:val="none"/>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4" w:hRule="atLeast"/>
          <w:jc w:val="center"/>
        </w:trPr>
        <w:tc>
          <w:tcPr>
            <w:tcW w:w="1222" w:type="dxa"/>
            <w:vMerge w:val="restart"/>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技术部分30分</w:t>
            </w:r>
          </w:p>
        </w:tc>
        <w:tc>
          <w:tcPr>
            <w:tcW w:w="8447"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1、根据投标文件描述的设备配置、技术参数等满足招标文件要求的前提下，对所有投标文件中的设备配置、技术参数优于项目要求情况及所要求产品证书提供情况进 行横向比较，在0-</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分之间进行打分。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3" w:hRule="atLeast"/>
          <w:jc w:val="center"/>
        </w:trPr>
        <w:tc>
          <w:tcPr>
            <w:tcW w:w="1222" w:type="dxa"/>
            <w:vMerge w:val="continue"/>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8447"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2、综合考虑所报产品的备品备件情况、安全性、易维护性、扩展性等方面考虑，在0-</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分之间进行打分。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5" w:hRule="atLeast"/>
          <w:jc w:val="center"/>
        </w:trPr>
        <w:tc>
          <w:tcPr>
            <w:tcW w:w="1222" w:type="dxa"/>
            <w:vMerge w:val="continue"/>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8447"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3、综合考虑所报产品科学性、合理性及先进性等方面考虑，在0-</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分之间进行打分。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2" w:hRule="atLeast"/>
          <w:jc w:val="center"/>
        </w:trPr>
        <w:tc>
          <w:tcPr>
            <w:tcW w:w="1222" w:type="dxa"/>
            <w:vMerge w:val="continue"/>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8447"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、根据所投产品的主要部件的性能、技术成熟度情况等进行综合评价，在0-</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分之间进行打分。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0" w:hRule="atLeast"/>
          <w:jc w:val="center"/>
        </w:trPr>
        <w:tc>
          <w:tcPr>
            <w:tcW w:w="1222" w:type="dxa"/>
            <w:vMerge w:val="continue"/>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8447"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、评委根据投标人提供的</w:t>
            </w:r>
            <w:r>
              <w:rPr>
                <w:rFonts w:hint="eastAsia" w:asciiTheme="minorEastAsia" w:hAnsiTheme="minorEastAsia" w:eastAsiaTheme="minorEastAsia" w:cstheme="minorEastAsia"/>
                <w:color w:val="auto"/>
                <w:sz w:val="24"/>
                <w:szCs w:val="24"/>
                <w:highlight w:val="none"/>
                <w:lang w:val="en-US" w:eastAsia="zh-CN"/>
              </w:rPr>
              <w:t>供货方案</w:t>
            </w:r>
            <w:r>
              <w:rPr>
                <w:rFonts w:hint="eastAsia" w:asciiTheme="minorEastAsia" w:hAnsiTheme="minorEastAsia" w:eastAsiaTheme="minorEastAsia" w:cstheme="minorEastAsia"/>
                <w:color w:val="auto"/>
                <w:sz w:val="24"/>
                <w:szCs w:val="24"/>
                <w:highlight w:val="none"/>
              </w:rPr>
              <w:t>，根据方案的细致性、规范性、合理性进行评价，在0-</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分之间进行打分。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222" w:type="dxa"/>
            <w:vMerge w:val="continue"/>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p>
        </w:tc>
        <w:tc>
          <w:tcPr>
            <w:tcW w:w="8447"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、全面满足文件要求，有实质性优惠条件和提出的合理化措施及建议：0-</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分之间进行打分。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3" w:hRule="atLeast"/>
          <w:jc w:val="center"/>
        </w:trPr>
        <w:tc>
          <w:tcPr>
            <w:tcW w:w="1222"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应急预案</w:t>
            </w:r>
          </w:p>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6分</w:t>
            </w:r>
          </w:p>
        </w:tc>
        <w:tc>
          <w:tcPr>
            <w:tcW w:w="8447" w:type="dxa"/>
            <w:noWrap w:val="0"/>
            <w:vAlign w:val="top"/>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在产品出现故障后，响应及排除故障时间安排</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科学、及时得</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-3分，</w:t>
            </w:r>
            <w:r>
              <w:rPr>
                <w:rFonts w:hint="eastAsia" w:asciiTheme="minorEastAsia" w:hAnsiTheme="minorEastAsia" w:eastAsiaTheme="minorEastAsia" w:cstheme="minorEastAsia"/>
                <w:color w:val="auto"/>
                <w:sz w:val="24"/>
                <w:szCs w:val="24"/>
                <w:highlight w:val="none"/>
                <w:lang w:val="en-US" w:eastAsia="zh-CN"/>
              </w:rPr>
              <w:t>无确切描述</w:t>
            </w:r>
            <w:r>
              <w:rPr>
                <w:rFonts w:hint="eastAsia" w:asciiTheme="minorEastAsia" w:hAnsiTheme="minorEastAsia" w:eastAsiaTheme="minorEastAsia" w:cstheme="minorEastAsia"/>
                <w:color w:val="auto"/>
                <w:sz w:val="24"/>
                <w:szCs w:val="24"/>
                <w:highlight w:val="none"/>
                <w:lang w:val="zh-CN"/>
              </w:rPr>
              <w:t>得</w:t>
            </w:r>
            <w:r>
              <w:rPr>
                <w:rFonts w:hint="eastAsia" w:asciiTheme="minorEastAsia" w:hAnsiTheme="minorEastAsia" w:eastAsiaTheme="minorEastAsia" w:cstheme="minorEastAsia"/>
                <w:color w:val="auto"/>
                <w:sz w:val="24"/>
                <w:szCs w:val="24"/>
                <w:highlight w:val="none"/>
              </w:rPr>
              <w:t>0分</w:t>
            </w:r>
            <w:r>
              <w:rPr>
                <w:rFonts w:hint="eastAsia" w:asciiTheme="minorEastAsia" w:hAnsiTheme="minorEastAsia" w:eastAsiaTheme="minorEastAsia" w:cstheme="minorEastAsia"/>
                <w:color w:val="auto"/>
                <w:sz w:val="24"/>
                <w:szCs w:val="24"/>
                <w:highlight w:val="none"/>
                <w:lang w:eastAsia="zh-CN"/>
              </w:rPr>
              <w:t>；</w:t>
            </w:r>
          </w:p>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2、对保障措施或应急预案安排合理，可行性高得</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-3分，</w:t>
            </w:r>
            <w:r>
              <w:rPr>
                <w:rFonts w:hint="eastAsia" w:asciiTheme="minorEastAsia" w:hAnsiTheme="minorEastAsia" w:eastAsiaTheme="minorEastAsia" w:cstheme="minorEastAsia"/>
                <w:color w:val="auto"/>
                <w:sz w:val="24"/>
                <w:szCs w:val="24"/>
                <w:highlight w:val="none"/>
                <w:lang w:val="en-US" w:eastAsia="zh-CN"/>
              </w:rPr>
              <w:t>无确切描述</w:t>
            </w:r>
            <w:r>
              <w:rPr>
                <w:rFonts w:hint="eastAsia" w:asciiTheme="minorEastAsia" w:hAnsiTheme="minorEastAsia" w:eastAsiaTheme="minorEastAsia" w:cstheme="minorEastAsia"/>
                <w:color w:val="auto"/>
                <w:sz w:val="24"/>
                <w:szCs w:val="24"/>
                <w:highlight w:val="none"/>
                <w:lang w:val="zh-CN"/>
              </w:rPr>
              <w:t>得</w:t>
            </w:r>
            <w:r>
              <w:rPr>
                <w:rFonts w:hint="eastAsia" w:asciiTheme="minorEastAsia" w:hAnsiTheme="minorEastAsia" w:eastAsiaTheme="minorEastAsia" w:cstheme="minorEastAsia"/>
                <w:color w:val="auto"/>
                <w:sz w:val="24"/>
                <w:szCs w:val="24"/>
                <w:highlight w:val="none"/>
              </w:rPr>
              <w:t>0分</w:t>
            </w:r>
            <w:r>
              <w:rPr>
                <w:rFonts w:hint="eastAsia" w:asciiTheme="minorEastAsia" w:hAnsiTheme="minorEastAsia" w:eastAsiaTheme="minorEastAsia" w:cstheme="minorEastAsia"/>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222"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综合实力</w:t>
            </w:r>
          </w:p>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分</w:t>
            </w:r>
          </w:p>
        </w:tc>
        <w:tc>
          <w:tcPr>
            <w:tcW w:w="8447"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所报室外健身器材产品投保产品质量险、产品责任险、公共责任险、团体意外伤害险、环境污染险的，提供认证证书原件扫描件或清晰照片，每提供一项得1分，最高得</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分。</w:t>
            </w:r>
          </w:p>
          <w:p>
            <w:pPr>
              <w:pStyle w:val="2"/>
              <w:keepNext w:val="0"/>
              <w:keepLines w:val="0"/>
              <w:pageBreakBefore w:val="0"/>
              <w:widowControl w:val="0"/>
              <w:suppressLineNumbers w:val="0"/>
              <w:kinsoku/>
              <w:wordWrap/>
              <w:overflowPunct/>
              <w:autoSpaceDE/>
              <w:autoSpaceDN/>
              <w:bidi w:val="0"/>
              <w:adjustRightInd/>
              <w:snapToGrid/>
              <w:spacing w:before="0" w:beforeAutospacing="0" w:after="0" w:afterLines="0" w:afterAutospacing="0" w:line="360" w:lineRule="auto"/>
              <w:ind w:left="0" w:leftChars="0" w:right="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2、投标人或生产厂家获得体育部门颁发的国家级体育示范单位的得2分、省级体育示范单位的得1分,最高得2分</w:t>
            </w:r>
            <w:r>
              <w:rPr>
                <w:rFonts w:hint="eastAsia" w:asciiTheme="minorEastAsia" w:hAnsiTheme="minorEastAsia" w:eastAsiaTheme="minorEastAsia" w:cstheme="minorEastAsia"/>
                <w:color w:val="auto"/>
                <w:sz w:val="24"/>
                <w:szCs w:val="24"/>
                <w:highlight w:val="none"/>
              </w:rPr>
              <w:t>。</w:t>
            </w:r>
          </w:p>
          <w:p>
            <w:pPr>
              <w:pStyle w:val="2"/>
              <w:keepNext w:val="0"/>
              <w:keepLines w:val="0"/>
              <w:pageBreakBefore w:val="0"/>
              <w:widowControl w:val="0"/>
              <w:suppressLineNumbers w:val="0"/>
              <w:kinsoku/>
              <w:wordWrap/>
              <w:overflowPunct/>
              <w:autoSpaceDE/>
              <w:autoSpaceDN/>
              <w:bidi w:val="0"/>
              <w:adjustRightInd/>
              <w:snapToGrid/>
              <w:spacing w:before="0" w:beforeAutospacing="0" w:after="0" w:afterLines="0" w:afterAutospacing="0" w:line="360" w:lineRule="auto"/>
              <w:ind w:left="0" w:leftChars="0" w:right="0" w:firstLine="0" w:firstLineChars="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以上证书均需在有效期内，证书扫描件均应上传至【企业各类证书】模块。人员社保证明原件扫描件或清晰照片上传至【从业人员】模块，无需提供原件，电子标书中从诚信库内获取的所有扫描件均应为原件扫描件或清晰照片，否则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222"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售后服务</w:t>
            </w:r>
          </w:p>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分</w:t>
            </w:r>
          </w:p>
        </w:tc>
        <w:tc>
          <w:tcPr>
            <w:tcW w:w="8447" w:type="dxa"/>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1.投标人在器材维护、维修响应时间的承诺1-4分，无此项不得分；</w:t>
            </w:r>
          </w:p>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2.技术支持度、定期巡检、备品备件的承诺1-4分，无此项不得分；</w:t>
            </w:r>
          </w:p>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3.跟踪服务能力、本地化服务能力方面的承诺1-4分，无此项不得分</w:t>
            </w:r>
            <w:r>
              <w:rPr>
                <w:rFonts w:hint="eastAsia" w:asciiTheme="minorEastAsia" w:hAnsiTheme="minorEastAsia" w:eastAsiaTheme="minorEastAsia" w:cstheme="minorEastAsia"/>
                <w:color w:val="auto"/>
                <w:sz w:val="24"/>
                <w:szCs w:val="24"/>
                <w:highlight w:val="none"/>
                <w:lang w:eastAsia="zh-CN"/>
              </w:rPr>
              <w:t>。</w:t>
            </w:r>
          </w:p>
        </w:tc>
      </w:tr>
      <w:bookmarkEnd w:id="6"/>
    </w:tbl>
    <w:p>
      <w:pPr>
        <w:spacing w:line="500" w:lineRule="exact"/>
        <w:rPr>
          <w:b/>
          <w:bCs/>
          <w:sz w:val="24"/>
          <w:szCs w:val="24"/>
        </w:rPr>
      </w:pPr>
      <w:bookmarkStart w:id="10" w:name="_Toc499564661"/>
      <w:bookmarkStart w:id="11" w:name="_Toc353257303"/>
      <w:bookmarkStart w:id="12" w:name="_Toc171496380"/>
      <w:r>
        <w:rPr>
          <w:rFonts w:hint="eastAsia"/>
          <w:b/>
          <w:bCs/>
          <w:sz w:val="24"/>
          <w:szCs w:val="24"/>
        </w:rPr>
        <w:t>注：各投标企业务必安排好专人对各自诚信库进行更新、维护，并对因诚信库获取信息不合法、不真实、不清晰、不完整、无效、错误等造成的一切后果负责。电子标书的制作，企业从其诚信库内的获取的该企业的所有扫描件均为原件扫描件，否则不予认可。另，电子投标文件在诚信库内获取的有关扫描件为获取那一时刻的扫描件，请各投标企业更新诚信库后，务必重新获取，重新生成投标文件。</w:t>
      </w:r>
    </w:p>
    <w:p>
      <w:pPr>
        <w:spacing w:line="500" w:lineRule="exact"/>
        <w:ind w:firstLine="482" w:firstLineChars="200"/>
        <w:rPr>
          <w:b/>
          <w:sz w:val="24"/>
          <w:szCs w:val="24"/>
          <w:shd w:val="clear" w:color="auto" w:fill="FFFF00"/>
        </w:rPr>
      </w:pPr>
      <w:r>
        <w:rPr>
          <w:b/>
          <w:bCs/>
          <w:sz w:val="24"/>
          <w:szCs w:val="24"/>
        </w:rPr>
        <w:t>4.2</w:t>
      </w:r>
      <w:r>
        <w:rPr>
          <w:b/>
          <w:sz w:val="24"/>
          <w:szCs w:val="24"/>
        </w:rPr>
        <w:t>定标原则：</w:t>
      </w:r>
      <w:r>
        <w:rPr>
          <w:rFonts w:hint="eastAsia"/>
          <w:b/>
          <w:sz w:val="24"/>
          <w:szCs w:val="24"/>
        </w:rPr>
        <w:t>由全体评委按照评分标准的规定对各有效投标人进行综合评审，按最终得分由高到低推荐3名中标候选人。最终得分相同者，报价得分高者排名在前，投标报价得分也相同的，由评标委员会按照技术得分由高到低的顺序确定</w:t>
      </w:r>
      <w:r>
        <w:rPr>
          <w:b/>
          <w:sz w:val="24"/>
          <w:szCs w:val="24"/>
        </w:rPr>
        <w:t>。</w:t>
      </w:r>
    </w:p>
    <w:p>
      <w:pPr>
        <w:spacing w:line="500" w:lineRule="exact"/>
        <w:rPr>
          <w:b/>
          <w:sz w:val="24"/>
          <w:szCs w:val="24"/>
          <w:shd w:val="clear" w:color="auto" w:fill="FFFFFF"/>
        </w:rPr>
      </w:pPr>
      <w:r>
        <w:rPr>
          <w:b/>
          <w:sz w:val="24"/>
          <w:szCs w:val="24"/>
          <w:shd w:val="clear" w:color="auto" w:fill="FFFFFF"/>
        </w:rPr>
        <w:t>四、禁止投标人串通投标或以不正当手段谋取中标，如出现以下情形将依法追究法律责任。</w:t>
      </w:r>
    </w:p>
    <w:p>
      <w:pPr>
        <w:tabs>
          <w:tab w:val="left" w:pos="180"/>
        </w:tabs>
        <w:spacing w:before="60" w:after="60" w:line="500" w:lineRule="exact"/>
        <w:ind w:firstLine="480" w:firstLineChars="200"/>
        <w:rPr>
          <w:sz w:val="24"/>
          <w:szCs w:val="24"/>
        </w:rPr>
      </w:pPr>
      <w:r>
        <w:rPr>
          <w:sz w:val="24"/>
          <w:szCs w:val="24"/>
        </w:rPr>
        <w:t>1、投标人有下列情形之一的，依法追究法律责任：</w:t>
      </w:r>
    </w:p>
    <w:p>
      <w:pPr>
        <w:tabs>
          <w:tab w:val="left" w:pos="180"/>
        </w:tabs>
        <w:spacing w:before="60" w:after="60" w:line="500" w:lineRule="exact"/>
        <w:ind w:firstLine="480" w:firstLineChars="200"/>
        <w:rPr>
          <w:sz w:val="24"/>
          <w:szCs w:val="24"/>
        </w:rPr>
      </w:pPr>
      <w:r>
        <w:rPr>
          <w:sz w:val="24"/>
          <w:szCs w:val="24"/>
        </w:rPr>
        <w:t>(一)向评标委员会行贿或者提供其他不正当利益；</w:t>
      </w:r>
    </w:p>
    <w:p>
      <w:pPr>
        <w:tabs>
          <w:tab w:val="left" w:pos="180"/>
        </w:tabs>
        <w:spacing w:before="60" w:after="60" w:line="500" w:lineRule="exact"/>
        <w:ind w:firstLine="482" w:firstLineChars="200"/>
        <w:rPr>
          <w:b/>
          <w:sz w:val="24"/>
          <w:szCs w:val="24"/>
        </w:rPr>
      </w:pPr>
      <w:r>
        <w:rPr>
          <w:b/>
          <w:sz w:val="24"/>
          <w:szCs w:val="24"/>
        </w:rPr>
        <w:t>(二)中标后无正当理由拒不与</w:t>
      </w:r>
      <w:r>
        <w:rPr>
          <w:rFonts w:hint="eastAsia"/>
          <w:b/>
          <w:sz w:val="24"/>
          <w:szCs w:val="24"/>
          <w:lang w:eastAsia="zh-CN"/>
        </w:rPr>
        <w:t>招标</w:t>
      </w:r>
      <w:r>
        <w:rPr>
          <w:b/>
          <w:sz w:val="24"/>
          <w:szCs w:val="24"/>
        </w:rPr>
        <w:t>人签订政府采购合同；</w:t>
      </w:r>
    </w:p>
    <w:p>
      <w:pPr>
        <w:tabs>
          <w:tab w:val="left" w:pos="180"/>
        </w:tabs>
        <w:spacing w:before="60" w:after="60" w:line="500" w:lineRule="exact"/>
        <w:ind w:firstLine="480" w:firstLineChars="200"/>
        <w:rPr>
          <w:sz w:val="24"/>
          <w:szCs w:val="24"/>
        </w:rPr>
      </w:pPr>
      <w:r>
        <w:rPr>
          <w:sz w:val="24"/>
          <w:szCs w:val="24"/>
        </w:rPr>
        <w:t>(三)未按照招标文件确定的事项签订政府采购合同；</w:t>
      </w:r>
    </w:p>
    <w:p>
      <w:pPr>
        <w:tabs>
          <w:tab w:val="left" w:pos="180"/>
        </w:tabs>
        <w:spacing w:before="60" w:after="60" w:line="500" w:lineRule="exact"/>
        <w:ind w:firstLine="480" w:firstLineChars="200"/>
        <w:rPr>
          <w:sz w:val="24"/>
          <w:szCs w:val="24"/>
        </w:rPr>
      </w:pPr>
      <w:r>
        <w:rPr>
          <w:sz w:val="24"/>
          <w:szCs w:val="24"/>
        </w:rPr>
        <w:t>(四)将政府采购合同转包；</w:t>
      </w:r>
    </w:p>
    <w:p>
      <w:pPr>
        <w:tabs>
          <w:tab w:val="left" w:pos="180"/>
        </w:tabs>
        <w:spacing w:before="60" w:after="60" w:line="500" w:lineRule="exact"/>
        <w:ind w:firstLine="480" w:firstLineChars="200"/>
        <w:rPr>
          <w:sz w:val="24"/>
          <w:szCs w:val="24"/>
        </w:rPr>
      </w:pPr>
      <w:r>
        <w:rPr>
          <w:sz w:val="24"/>
          <w:szCs w:val="24"/>
        </w:rPr>
        <w:t>(五)提供假冒伪劣产品；</w:t>
      </w:r>
    </w:p>
    <w:p>
      <w:pPr>
        <w:tabs>
          <w:tab w:val="left" w:pos="180"/>
        </w:tabs>
        <w:spacing w:before="60" w:after="60" w:line="500" w:lineRule="exact"/>
        <w:ind w:firstLine="480" w:firstLineChars="200"/>
        <w:rPr>
          <w:sz w:val="24"/>
          <w:szCs w:val="24"/>
        </w:rPr>
      </w:pPr>
      <w:r>
        <w:rPr>
          <w:sz w:val="24"/>
          <w:szCs w:val="24"/>
        </w:rPr>
        <w:t>(六)擅自变更、中止或者终止政府采购合同。</w:t>
      </w:r>
    </w:p>
    <w:p>
      <w:pPr>
        <w:tabs>
          <w:tab w:val="left" w:pos="180"/>
        </w:tabs>
        <w:spacing w:before="60" w:after="60" w:line="500" w:lineRule="exact"/>
        <w:ind w:firstLine="480" w:firstLineChars="200"/>
        <w:rPr>
          <w:sz w:val="24"/>
          <w:szCs w:val="24"/>
        </w:rPr>
      </w:pPr>
      <w:r>
        <w:rPr>
          <w:sz w:val="24"/>
          <w:szCs w:val="24"/>
        </w:rPr>
        <w:t>投标人有前款第一项规定情形的，中标无效。评审阶段资格发生变化，投标人未依法通知</w:t>
      </w:r>
      <w:r>
        <w:rPr>
          <w:rFonts w:hint="eastAsia"/>
          <w:sz w:val="24"/>
          <w:szCs w:val="24"/>
          <w:lang w:eastAsia="zh-CN"/>
        </w:rPr>
        <w:t>招标</w:t>
      </w:r>
      <w:r>
        <w:rPr>
          <w:sz w:val="24"/>
          <w:szCs w:val="24"/>
        </w:rPr>
        <w:t>人和</w:t>
      </w:r>
      <w:r>
        <w:rPr>
          <w:rFonts w:hint="eastAsia"/>
          <w:sz w:val="24"/>
          <w:szCs w:val="24"/>
          <w:lang w:eastAsia="zh-CN"/>
        </w:rPr>
        <w:t>招标</w:t>
      </w:r>
      <w:r>
        <w:rPr>
          <w:sz w:val="24"/>
          <w:szCs w:val="24"/>
        </w:rPr>
        <w:t>代理机构的，处以</w:t>
      </w:r>
      <w:r>
        <w:rPr>
          <w:rFonts w:hint="eastAsia"/>
          <w:sz w:val="24"/>
          <w:szCs w:val="24"/>
          <w:lang w:eastAsia="zh-CN"/>
        </w:rPr>
        <w:t>招标</w:t>
      </w:r>
      <w:r>
        <w:rPr>
          <w:sz w:val="24"/>
          <w:szCs w:val="24"/>
        </w:rPr>
        <w:t>金额5‰的罚款，列入不良行为记录名单，中标无效。</w:t>
      </w:r>
    </w:p>
    <w:p>
      <w:pPr>
        <w:tabs>
          <w:tab w:val="left" w:pos="180"/>
        </w:tabs>
        <w:spacing w:before="60" w:after="60" w:line="500" w:lineRule="exact"/>
        <w:ind w:firstLine="480" w:firstLineChars="200"/>
        <w:rPr>
          <w:sz w:val="24"/>
          <w:szCs w:val="24"/>
        </w:rPr>
      </w:pPr>
      <w:r>
        <w:rPr>
          <w:sz w:val="24"/>
          <w:szCs w:val="24"/>
        </w:rPr>
        <w:t>投标人捏造事实、提供虚假材料或者以非法手段取得证明材料进行投诉的，由财政部门列入不良行为记录名单，禁止其1至3年内参加政府采购活动。</w:t>
      </w:r>
    </w:p>
    <w:p>
      <w:pPr>
        <w:tabs>
          <w:tab w:val="left" w:pos="180"/>
        </w:tabs>
        <w:spacing w:before="60" w:after="60" w:line="500" w:lineRule="exact"/>
        <w:ind w:firstLine="480" w:firstLineChars="200"/>
        <w:rPr>
          <w:sz w:val="24"/>
          <w:szCs w:val="24"/>
        </w:rPr>
      </w:pPr>
      <w:r>
        <w:rPr>
          <w:sz w:val="24"/>
          <w:szCs w:val="24"/>
        </w:rPr>
        <w:t>2、投标人有下列情形之一的，属于恶意串通，对投标人依法追究法律责任：</w:t>
      </w:r>
    </w:p>
    <w:p>
      <w:pPr>
        <w:tabs>
          <w:tab w:val="left" w:pos="180"/>
        </w:tabs>
        <w:spacing w:before="60" w:after="60" w:line="500" w:lineRule="exact"/>
        <w:ind w:firstLine="480" w:firstLineChars="200"/>
        <w:rPr>
          <w:sz w:val="24"/>
          <w:szCs w:val="24"/>
        </w:rPr>
      </w:pPr>
      <w:r>
        <w:rPr>
          <w:sz w:val="24"/>
          <w:szCs w:val="24"/>
        </w:rPr>
        <w:t>(一)投标人直接或者间接从</w:t>
      </w:r>
      <w:r>
        <w:rPr>
          <w:rFonts w:hint="eastAsia"/>
          <w:sz w:val="24"/>
          <w:szCs w:val="24"/>
          <w:lang w:eastAsia="zh-CN"/>
        </w:rPr>
        <w:t>招标</w:t>
      </w:r>
      <w:r>
        <w:rPr>
          <w:sz w:val="24"/>
          <w:szCs w:val="24"/>
        </w:rPr>
        <w:t>人或者</w:t>
      </w:r>
      <w:r>
        <w:rPr>
          <w:rFonts w:hint="eastAsia"/>
          <w:sz w:val="24"/>
          <w:szCs w:val="24"/>
          <w:lang w:eastAsia="zh-CN"/>
        </w:rPr>
        <w:t>招标</w:t>
      </w:r>
      <w:r>
        <w:rPr>
          <w:sz w:val="24"/>
          <w:szCs w:val="24"/>
        </w:rPr>
        <w:t>代理机构处获得其他投标人的相关情况并修改其投标文件；</w:t>
      </w:r>
    </w:p>
    <w:p>
      <w:pPr>
        <w:tabs>
          <w:tab w:val="left" w:pos="180"/>
        </w:tabs>
        <w:spacing w:before="60" w:after="60" w:line="500" w:lineRule="exact"/>
        <w:ind w:firstLine="480" w:firstLineChars="200"/>
        <w:rPr>
          <w:sz w:val="24"/>
          <w:szCs w:val="24"/>
        </w:rPr>
      </w:pPr>
      <w:r>
        <w:rPr>
          <w:sz w:val="24"/>
          <w:szCs w:val="24"/>
        </w:rPr>
        <w:t>(二)投标人按照</w:t>
      </w:r>
      <w:r>
        <w:rPr>
          <w:rFonts w:hint="eastAsia"/>
          <w:sz w:val="24"/>
          <w:szCs w:val="24"/>
          <w:lang w:eastAsia="zh-CN"/>
        </w:rPr>
        <w:t>招标</w:t>
      </w:r>
      <w:r>
        <w:rPr>
          <w:sz w:val="24"/>
          <w:szCs w:val="24"/>
        </w:rPr>
        <w:t>人或者</w:t>
      </w:r>
      <w:r>
        <w:rPr>
          <w:rFonts w:hint="eastAsia"/>
          <w:sz w:val="24"/>
          <w:szCs w:val="24"/>
          <w:lang w:eastAsia="zh-CN"/>
        </w:rPr>
        <w:t>招标</w:t>
      </w:r>
      <w:r>
        <w:rPr>
          <w:sz w:val="24"/>
          <w:szCs w:val="24"/>
        </w:rPr>
        <w:t>代理机构的授意撤换、修改投标文件；</w:t>
      </w:r>
    </w:p>
    <w:p>
      <w:pPr>
        <w:tabs>
          <w:tab w:val="left" w:pos="180"/>
        </w:tabs>
        <w:spacing w:before="60" w:after="60" w:line="500" w:lineRule="exact"/>
        <w:ind w:firstLine="480" w:firstLineChars="200"/>
        <w:rPr>
          <w:sz w:val="24"/>
          <w:szCs w:val="24"/>
        </w:rPr>
      </w:pPr>
      <w:r>
        <w:rPr>
          <w:sz w:val="24"/>
          <w:szCs w:val="24"/>
        </w:rPr>
        <w:t>(三)投标人之间协商报价、技术方案等投标文件或者</w:t>
      </w:r>
      <w:r>
        <w:rPr>
          <w:rFonts w:hint="eastAsia"/>
          <w:sz w:val="24"/>
          <w:szCs w:val="24"/>
        </w:rPr>
        <w:t>投标文件</w:t>
      </w:r>
      <w:r>
        <w:rPr>
          <w:sz w:val="24"/>
          <w:szCs w:val="24"/>
        </w:rPr>
        <w:t>的实质性内容；</w:t>
      </w:r>
    </w:p>
    <w:p>
      <w:pPr>
        <w:tabs>
          <w:tab w:val="left" w:pos="180"/>
        </w:tabs>
        <w:spacing w:before="60" w:after="60" w:line="500" w:lineRule="exact"/>
        <w:ind w:firstLine="480" w:firstLineChars="200"/>
        <w:rPr>
          <w:sz w:val="24"/>
          <w:szCs w:val="24"/>
        </w:rPr>
      </w:pPr>
      <w:r>
        <w:rPr>
          <w:sz w:val="24"/>
          <w:szCs w:val="24"/>
        </w:rPr>
        <w:t>(四)属于同一集团、协会、商会等组织成员的投标人按照该组织要求协同参加政府采购活动；</w:t>
      </w:r>
    </w:p>
    <w:p>
      <w:pPr>
        <w:tabs>
          <w:tab w:val="left" w:pos="180"/>
        </w:tabs>
        <w:spacing w:before="60" w:after="60" w:line="500" w:lineRule="exact"/>
        <w:ind w:firstLine="480" w:firstLineChars="200"/>
        <w:rPr>
          <w:sz w:val="24"/>
          <w:szCs w:val="24"/>
        </w:rPr>
      </w:pPr>
      <w:r>
        <w:rPr>
          <w:sz w:val="24"/>
          <w:szCs w:val="24"/>
        </w:rPr>
        <w:t>(五)投标人之间事先约定由某一特定投标人中标；</w:t>
      </w:r>
    </w:p>
    <w:p>
      <w:pPr>
        <w:tabs>
          <w:tab w:val="left" w:pos="180"/>
        </w:tabs>
        <w:spacing w:before="60" w:after="60" w:line="500" w:lineRule="exact"/>
        <w:ind w:firstLine="480" w:firstLineChars="200"/>
        <w:rPr>
          <w:sz w:val="24"/>
          <w:szCs w:val="24"/>
        </w:rPr>
      </w:pPr>
      <w:r>
        <w:rPr>
          <w:sz w:val="24"/>
          <w:szCs w:val="24"/>
        </w:rPr>
        <w:t>(六)投标人之间商定部分投标人放弃参加政府采购活动或者放弃中标；</w:t>
      </w:r>
    </w:p>
    <w:p>
      <w:pPr>
        <w:tabs>
          <w:tab w:val="left" w:pos="180"/>
        </w:tabs>
        <w:spacing w:before="60" w:after="60" w:line="500" w:lineRule="exact"/>
        <w:ind w:firstLine="480" w:firstLineChars="200"/>
        <w:rPr>
          <w:sz w:val="24"/>
          <w:szCs w:val="24"/>
        </w:rPr>
      </w:pPr>
      <w:r>
        <w:rPr>
          <w:sz w:val="24"/>
          <w:szCs w:val="24"/>
        </w:rPr>
        <w:t>(七)投标人与</w:t>
      </w:r>
      <w:r>
        <w:rPr>
          <w:rFonts w:hint="eastAsia"/>
          <w:sz w:val="24"/>
          <w:szCs w:val="24"/>
          <w:lang w:eastAsia="zh-CN"/>
        </w:rPr>
        <w:t>招标</w:t>
      </w:r>
      <w:r>
        <w:rPr>
          <w:sz w:val="24"/>
          <w:szCs w:val="24"/>
        </w:rPr>
        <w:t>人或者</w:t>
      </w:r>
      <w:r>
        <w:rPr>
          <w:rFonts w:hint="eastAsia"/>
          <w:sz w:val="24"/>
          <w:szCs w:val="24"/>
          <w:lang w:eastAsia="zh-CN"/>
        </w:rPr>
        <w:t>招标</w:t>
      </w:r>
      <w:r>
        <w:rPr>
          <w:sz w:val="24"/>
          <w:szCs w:val="24"/>
        </w:rPr>
        <w:t>代理机构之间、投标人相互之间，为谋求特定投标人中标或者排斥其他投标人的其他串通行为。</w:t>
      </w:r>
    </w:p>
    <w:p>
      <w:pPr>
        <w:tabs>
          <w:tab w:val="left" w:pos="180"/>
        </w:tabs>
        <w:spacing w:before="60" w:after="60" w:line="500" w:lineRule="exact"/>
        <w:ind w:firstLine="480" w:firstLineChars="200"/>
        <w:rPr>
          <w:rFonts w:hint="eastAsia" w:eastAsia="宋体"/>
          <w:sz w:val="24"/>
          <w:szCs w:val="24"/>
          <w:lang w:eastAsia="zh-CN"/>
        </w:rPr>
      </w:pPr>
      <w:r>
        <w:rPr>
          <w:sz w:val="24"/>
          <w:szCs w:val="24"/>
        </w:rPr>
        <w:t>3、有下列情形之一的，视为投标人相互串通投标</w:t>
      </w:r>
      <w:r>
        <w:rPr>
          <w:rFonts w:hint="eastAsia"/>
          <w:sz w:val="24"/>
          <w:szCs w:val="24"/>
          <w:lang w:eastAsia="zh-CN"/>
        </w:rPr>
        <w:t>：</w:t>
      </w:r>
    </w:p>
    <w:p>
      <w:pPr>
        <w:tabs>
          <w:tab w:val="left" w:pos="180"/>
        </w:tabs>
        <w:spacing w:before="60" w:after="60" w:line="500" w:lineRule="exact"/>
        <w:ind w:firstLine="480" w:firstLineChars="200"/>
        <w:rPr>
          <w:rFonts w:hint="eastAsia" w:eastAsia="宋体"/>
          <w:sz w:val="24"/>
          <w:szCs w:val="24"/>
          <w:lang w:eastAsia="zh-CN"/>
        </w:rPr>
      </w:pPr>
      <w:r>
        <w:rPr>
          <w:sz w:val="24"/>
          <w:szCs w:val="24"/>
        </w:rPr>
        <w:t>(一)不同投标人的投标文件由同一单位或者个人编制</w:t>
      </w:r>
      <w:r>
        <w:rPr>
          <w:rFonts w:hint="eastAsia"/>
          <w:sz w:val="24"/>
          <w:szCs w:val="24"/>
          <w:lang w:eastAsia="zh-CN"/>
        </w:rPr>
        <w:t>；</w:t>
      </w:r>
    </w:p>
    <w:p>
      <w:pPr>
        <w:tabs>
          <w:tab w:val="left" w:pos="180"/>
        </w:tabs>
        <w:spacing w:before="60" w:after="60" w:line="500" w:lineRule="exact"/>
        <w:ind w:firstLine="480" w:firstLineChars="200"/>
        <w:rPr>
          <w:rFonts w:hint="eastAsia" w:eastAsia="宋体"/>
          <w:sz w:val="24"/>
          <w:szCs w:val="24"/>
          <w:lang w:eastAsia="zh-CN"/>
        </w:rPr>
      </w:pPr>
      <w:r>
        <w:rPr>
          <w:sz w:val="24"/>
          <w:szCs w:val="24"/>
        </w:rPr>
        <w:t>(二)不同投标人委托同一单位或者个人办理投标事宜</w:t>
      </w:r>
      <w:r>
        <w:rPr>
          <w:rFonts w:hint="eastAsia"/>
          <w:sz w:val="24"/>
          <w:szCs w:val="24"/>
          <w:lang w:eastAsia="zh-CN"/>
        </w:rPr>
        <w:t>；</w:t>
      </w:r>
    </w:p>
    <w:p>
      <w:pPr>
        <w:tabs>
          <w:tab w:val="left" w:pos="180"/>
        </w:tabs>
        <w:spacing w:before="60" w:after="60" w:line="500" w:lineRule="exact"/>
        <w:ind w:firstLine="480" w:firstLineChars="200"/>
        <w:rPr>
          <w:rFonts w:hint="eastAsia" w:eastAsia="宋体"/>
          <w:sz w:val="24"/>
          <w:szCs w:val="24"/>
          <w:lang w:eastAsia="zh-CN"/>
        </w:rPr>
      </w:pPr>
      <w:r>
        <w:rPr>
          <w:sz w:val="24"/>
          <w:szCs w:val="24"/>
        </w:rPr>
        <w:t>(三)不同投标人的投标文件载明的项目管理成员为同一人</w:t>
      </w:r>
      <w:r>
        <w:rPr>
          <w:rFonts w:hint="eastAsia"/>
          <w:sz w:val="24"/>
          <w:szCs w:val="24"/>
          <w:lang w:eastAsia="zh-CN"/>
        </w:rPr>
        <w:t>；</w:t>
      </w:r>
    </w:p>
    <w:p>
      <w:pPr>
        <w:tabs>
          <w:tab w:val="left" w:pos="180"/>
        </w:tabs>
        <w:spacing w:before="60" w:after="60" w:line="500" w:lineRule="exact"/>
        <w:ind w:firstLine="480" w:firstLineChars="200"/>
        <w:rPr>
          <w:rFonts w:hint="eastAsia" w:eastAsia="宋体"/>
          <w:sz w:val="24"/>
          <w:szCs w:val="24"/>
          <w:lang w:eastAsia="zh-CN"/>
        </w:rPr>
      </w:pPr>
      <w:r>
        <w:rPr>
          <w:sz w:val="24"/>
          <w:szCs w:val="24"/>
        </w:rPr>
        <w:t>(四)不同投标人的投标文件异常一致或者投标报价呈规律性差异</w:t>
      </w:r>
      <w:r>
        <w:rPr>
          <w:rFonts w:hint="eastAsia"/>
          <w:sz w:val="24"/>
          <w:szCs w:val="24"/>
          <w:lang w:eastAsia="zh-CN"/>
        </w:rPr>
        <w:t>；</w:t>
      </w:r>
    </w:p>
    <w:p>
      <w:pPr>
        <w:tabs>
          <w:tab w:val="left" w:pos="180"/>
        </w:tabs>
        <w:spacing w:before="60" w:after="60" w:line="500" w:lineRule="exact"/>
        <w:ind w:firstLine="480" w:firstLineChars="200"/>
        <w:rPr>
          <w:sz w:val="24"/>
          <w:szCs w:val="24"/>
        </w:rPr>
      </w:pPr>
      <w:r>
        <w:rPr>
          <w:sz w:val="24"/>
          <w:szCs w:val="24"/>
        </w:rPr>
        <w:t>(五)不同投标人的投标文件相互混装。</w:t>
      </w:r>
    </w:p>
    <w:p>
      <w:pPr>
        <w:tabs>
          <w:tab w:val="left" w:pos="180"/>
        </w:tabs>
        <w:spacing w:before="60" w:after="60" w:line="500" w:lineRule="exact"/>
        <w:ind w:firstLine="480" w:firstLineChars="200"/>
        <w:rPr>
          <w:rFonts w:hint="eastAsia" w:eastAsia="宋体"/>
          <w:sz w:val="24"/>
          <w:szCs w:val="24"/>
          <w:lang w:eastAsia="zh-CN"/>
        </w:rPr>
      </w:pPr>
      <w:r>
        <w:rPr>
          <w:sz w:val="24"/>
          <w:szCs w:val="24"/>
        </w:rPr>
        <w:t>4、有下列情形之一的，属于</w:t>
      </w:r>
      <w:r>
        <w:rPr>
          <w:rFonts w:hint="eastAsia"/>
          <w:sz w:val="24"/>
          <w:szCs w:val="24"/>
          <w:lang w:eastAsia="zh-CN"/>
        </w:rPr>
        <w:t>招标</w:t>
      </w:r>
      <w:r>
        <w:rPr>
          <w:sz w:val="24"/>
          <w:szCs w:val="24"/>
        </w:rPr>
        <w:t>人与投标人串通投标</w:t>
      </w:r>
      <w:r>
        <w:rPr>
          <w:rFonts w:hint="eastAsia"/>
          <w:sz w:val="24"/>
          <w:szCs w:val="24"/>
          <w:lang w:eastAsia="zh-CN"/>
        </w:rPr>
        <w:t>：</w:t>
      </w:r>
    </w:p>
    <w:p>
      <w:pPr>
        <w:tabs>
          <w:tab w:val="left" w:pos="180"/>
        </w:tabs>
        <w:spacing w:before="60" w:after="60" w:line="500" w:lineRule="exact"/>
        <w:ind w:firstLine="480" w:firstLineChars="200"/>
        <w:rPr>
          <w:rFonts w:hint="eastAsia" w:eastAsia="宋体"/>
          <w:sz w:val="24"/>
          <w:szCs w:val="24"/>
          <w:lang w:eastAsia="zh-CN"/>
        </w:rPr>
      </w:pPr>
      <w:r>
        <w:rPr>
          <w:sz w:val="24"/>
          <w:szCs w:val="24"/>
        </w:rPr>
        <w:t>(一)</w:t>
      </w:r>
      <w:r>
        <w:rPr>
          <w:rFonts w:hint="eastAsia"/>
          <w:sz w:val="24"/>
          <w:szCs w:val="24"/>
          <w:lang w:eastAsia="zh-CN"/>
        </w:rPr>
        <w:t>招标</w:t>
      </w:r>
      <w:r>
        <w:rPr>
          <w:sz w:val="24"/>
          <w:szCs w:val="24"/>
        </w:rPr>
        <w:t>人在开标前开启投标文件并将有关信息泄露给其他投标人</w:t>
      </w:r>
      <w:r>
        <w:rPr>
          <w:rFonts w:hint="eastAsia"/>
          <w:sz w:val="24"/>
          <w:szCs w:val="24"/>
          <w:lang w:eastAsia="zh-CN"/>
        </w:rPr>
        <w:t>；</w:t>
      </w:r>
    </w:p>
    <w:p>
      <w:pPr>
        <w:tabs>
          <w:tab w:val="left" w:pos="180"/>
        </w:tabs>
        <w:spacing w:before="60" w:after="60" w:line="500" w:lineRule="exact"/>
        <w:ind w:firstLine="480" w:firstLineChars="200"/>
        <w:rPr>
          <w:rFonts w:hint="eastAsia" w:eastAsia="宋体"/>
          <w:sz w:val="24"/>
          <w:szCs w:val="24"/>
          <w:lang w:eastAsia="zh-CN"/>
        </w:rPr>
      </w:pPr>
      <w:r>
        <w:rPr>
          <w:sz w:val="24"/>
          <w:szCs w:val="24"/>
        </w:rPr>
        <w:t>(二)</w:t>
      </w:r>
      <w:r>
        <w:rPr>
          <w:rFonts w:hint="eastAsia"/>
          <w:sz w:val="24"/>
          <w:szCs w:val="24"/>
          <w:lang w:eastAsia="zh-CN"/>
        </w:rPr>
        <w:t>招标</w:t>
      </w:r>
      <w:r>
        <w:rPr>
          <w:sz w:val="24"/>
          <w:szCs w:val="24"/>
        </w:rPr>
        <w:t>人直接或者间接向投标人泄露标底、评标委员会成员等信息</w:t>
      </w:r>
      <w:r>
        <w:rPr>
          <w:rFonts w:hint="eastAsia"/>
          <w:sz w:val="24"/>
          <w:szCs w:val="24"/>
          <w:lang w:eastAsia="zh-CN"/>
        </w:rPr>
        <w:t>；</w:t>
      </w:r>
    </w:p>
    <w:p>
      <w:pPr>
        <w:tabs>
          <w:tab w:val="left" w:pos="180"/>
        </w:tabs>
        <w:spacing w:before="60" w:after="60" w:line="500" w:lineRule="exact"/>
        <w:ind w:firstLine="480" w:firstLineChars="200"/>
        <w:rPr>
          <w:rFonts w:hint="eastAsia" w:eastAsia="宋体"/>
          <w:sz w:val="24"/>
          <w:szCs w:val="24"/>
          <w:lang w:eastAsia="zh-CN"/>
        </w:rPr>
      </w:pPr>
      <w:r>
        <w:rPr>
          <w:sz w:val="24"/>
          <w:szCs w:val="24"/>
        </w:rPr>
        <w:t>(三)</w:t>
      </w:r>
      <w:r>
        <w:rPr>
          <w:rFonts w:hint="eastAsia"/>
          <w:sz w:val="24"/>
          <w:szCs w:val="24"/>
          <w:lang w:eastAsia="zh-CN"/>
        </w:rPr>
        <w:t>招标</w:t>
      </w:r>
      <w:r>
        <w:rPr>
          <w:sz w:val="24"/>
          <w:szCs w:val="24"/>
        </w:rPr>
        <w:t>人明示或者暗示投标人压低或者抬高投标报价</w:t>
      </w:r>
      <w:r>
        <w:rPr>
          <w:rFonts w:hint="eastAsia"/>
          <w:sz w:val="24"/>
          <w:szCs w:val="24"/>
          <w:lang w:eastAsia="zh-CN"/>
        </w:rPr>
        <w:t>；</w:t>
      </w:r>
    </w:p>
    <w:p>
      <w:pPr>
        <w:tabs>
          <w:tab w:val="left" w:pos="180"/>
        </w:tabs>
        <w:spacing w:before="60" w:after="60" w:line="500" w:lineRule="exact"/>
        <w:ind w:firstLine="480" w:firstLineChars="200"/>
        <w:rPr>
          <w:rFonts w:hint="eastAsia" w:eastAsia="宋体"/>
          <w:sz w:val="24"/>
          <w:szCs w:val="24"/>
          <w:lang w:eastAsia="zh-CN"/>
        </w:rPr>
      </w:pPr>
      <w:r>
        <w:rPr>
          <w:sz w:val="24"/>
          <w:szCs w:val="24"/>
        </w:rPr>
        <w:t>(四)</w:t>
      </w:r>
      <w:r>
        <w:rPr>
          <w:rFonts w:hint="eastAsia"/>
          <w:sz w:val="24"/>
          <w:szCs w:val="24"/>
          <w:lang w:eastAsia="zh-CN"/>
        </w:rPr>
        <w:t>招标</w:t>
      </w:r>
      <w:r>
        <w:rPr>
          <w:sz w:val="24"/>
          <w:szCs w:val="24"/>
        </w:rPr>
        <w:t>人授意投标人撤换、修改投标文件</w:t>
      </w:r>
      <w:r>
        <w:rPr>
          <w:rFonts w:hint="eastAsia"/>
          <w:sz w:val="24"/>
          <w:szCs w:val="24"/>
          <w:lang w:eastAsia="zh-CN"/>
        </w:rPr>
        <w:t>；</w:t>
      </w:r>
    </w:p>
    <w:p>
      <w:pPr>
        <w:tabs>
          <w:tab w:val="left" w:pos="180"/>
        </w:tabs>
        <w:spacing w:before="60" w:after="60" w:line="500" w:lineRule="exact"/>
        <w:ind w:firstLine="480" w:firstLineChars="200"/>
        <w:rPr>
          <w:rFonts w:hint="eastAsia" w:eastAsia="宋体"/>
          <w:sz w:val="24"/>
          <w:szCs w:val="24"/>
          <w:lang w:eastAsia="zh-CN"/>
        </w:rPr>
      </w:pPr>
      <w:r>
        <w:rPr>
          <w:sz w:val="24"/>
          <w:szCs w:val="24"/>
        </w:rPr>
        <w:t>(五)</w:t>
      </w:r>
      <w:r>
        <w:rPr>
          <w:rFonts w:hint="eastAsia"/>
          <w:sz w:val="24"/>
          <w:szCs w:val="24"/>
          <w:lang w:eastAsia="zh-CN"/>
        </w:rPr>
        <w:t>招标</w:t>
      </w:r>
      <w:r>
        <w:rPr>
          <w:sz w:val="24"/>
          <w:szCs w:val="24"/>
        </w:rPr>
        <w:t>人明示或者暗示投标人为特定投标人中标提供方便</w:t>
      </w:r>
      <w:r>
        <w:rPr>
          <w:rFonts w:hint="eastAsia"/>
          <w:sz w:val="24"/>
          <w:szCs w:val="24"/>
          <w:lang w:eastAsia="zh-CN"/>
        </w:rPr>
        <w:t>；</w:t>
      </w:r>
    </w:p>
    <w:p>
      <w:pPr>
        <w:tabs>
          <w:tab w:val="left" w:pos="180"/>
        </w:tabs>
        <w:spacing w:before="60" w:after="60" w:line="500" w:lineRule="exact"/>
        <w:ind w:firstLine="480" w:firstLineChars="200"/>
        <w:rPr>
          <w:sz w:val="24"/>
          <w:szCs w:val="24"/>
        </w:rPr>
      </w:pPr>
      <w:r>
        <w:rPr>
          <w:sz w:val="24"/>
          <w:szCs w:val="24"/>
        </w:rPr>
        <w:t>(六)</w:t>
      </w:r>
      <w:r>
        <w:rPr>
          <w:rFonts w:hint="eastAsia"/>
          <w:sz w:val="24"/>
          <w:szCs w:val="24"/>
          <w:lang w:eastAsia="zh-CN"/>
        </w:rPr>
        <w:t>招标</w:t>
      </w:r>
      <w:r>
        <w:rPr>
          <w:sz w:val="24"/>
          <w:szCs w:val="24"/>
        </w:rPr>
        <w:t>人与投标人为谋求特定投标人中标而采取的其他串通行为。</w:t>
      </w:r>
    </w:p>
    <w:p>
      <w:pPr>
        <w:tabs>
          <w:tab w:val="left" w:pos="180"/>
        </w:tabs>
        <w:spacing w:before="60" w:after="60" w:line="500" w:lineRule="exact"/>
        <w:ind w:firstLine="480" w:firstLineChars="200"/>
        <w:rPr>
          <w:sz w:val="24"/>
          <w:szCs w:val="24"/>
        </w:rPr>
      </w:pPr>
      <w:r>
        <w:rPr>
          <w:sz w:val="24"/>
          <w:szCs w:val="24"/>
        </w:rPr>
        <w:t>5、使用通过受让或者租借等方式获取的资格、资质证书投标的，属于以他人名义投标。</w:t>
      </w:r>
    </w:p>
    <w:p>
      <w:pPr>
        <w:tabs>
          <w:tab w:val="left" w:pos="180"/>
        </w:tabs>
        <w:spacing w:before="60" w:after="60" w:line="500" w:lineRule="exact"/>
        <w:ind w:firstLine="480" w:firstLineChars="200"/>
        <w:rPr>
          <w:rFonts w:hint="eastAsia" w:eastAsia="宋体"/>
          <w:sz w:val="24"/>
          <w:szCs w:val="24"/>
          <w:lang w:eastAsia="zh-CN"/>
        </w:rPr>
      </w:pPr>
      <w:r>
        <w:rPr>
          <w:sz w:val="24"/>
          <w:szCs w:val="24"/>
        </w:rPr>
        <w:t>6、投标人有下列情形之一的，属于以其他方式弄虚作假的行为</w:t>
      </w:r>
      <w:r>
        <w:rPr>
          <w:rFonts w:hint="eastAsia"/>
          <w:sz w:val="24"/>
          <w:szCs w:val="24"/>
          <w:lang w:eastAsia="zh-CN"/>
        </w:rPr>
        <w:t>：</w:t>
      </w:r>
    </w:p>
    <w:p>
      <w:pPr>
        <w:tabs>
          <w:tab w:val="left" w:pos="180"/>
        </w:tabs>
        <w:spacing w:before="60" w:after="60" w:line="500" w:lineRule="exact"/>
        <w:ind w:firstLine="480" w:firstLineChars="200"/>
        <w:rPr>
          <w:rFonts w:hint="eastAsia" w:eastAsia="宋体"/>
          <w:sz w:val="24"/>
          <w:szCs w:val="24"/>
          <w:lang w:eastAsia="zh-CN"/>
        </w:rPr>
      </w:pPr>
      <w:r>
        <w:rPr>
          <w:sz w:val="24"/>
          <w:szCs w:val="24"/>
        </w:rPr>
        <w:t>(一)使用伪造、变造的许可证件</w:t>
      </w:r>
      <w:r>
        <w:rPr>
          <w:rFonts w:hint="eastAsia"/>
          <w:sz w:val="24"/>
          <w:szCs w:val="24"/>
          <w:lang w:eastAsia="zh-CN"/>
        </w:rPr>
        <w:t>；</w:t>
      </w:r>
    </w:p>
    <w:p>
      <w:pPr>
        <w:tabs>
          <w:tab w:val="left" w:pos="180"/>
        </w:tabs>
        <w:spacing w:before="60" w:after="60" w:line="500" w:lineRule="exact"/>
        <w:ind w:firstLine="480" w:firstLineChars="200"/>
        <w:rPr>
          <w:rFonts w:hint="eastAsia" w:eastAsia="宋体"/>
          <w:sz w:val="24"/>
          <w:szCs w:val="24"/>
          <w:lang w:eastAsia="zh-CN"/>
        </w:rPr>
      </w:pPr>
      <w:r>
        <w:rPr>
          <w:sz w:val="24"/>
          <w:szCs w:val="24"/>
        </w:rPr>
        <w:t>(二)提供虚假的财务状况或者业绩</w:t>
      </w:r>
      <w:r>
        <w:rPr>
          <w:rFonts w:hint="eastAsia"/>
          <w:sz w:val="24"/>
          <w:szCs w:val="24"/>
          <w:lang w:eastAsia="zh-CN"/>
        </w:rPr>
        <w:t>；</w:t>
      </w:r>
    </w:p>
    <w:p>
      <w:pPr>
        <w:tabs>
          <w:tab w:val="left" w:pos="180"/>
        </w:tabs>
        <w:spacing w:before="60" w:after="60" w:line="500" w:lineRule="exact"/>
        <w:ind w:firstLine="480" w:firstLineChars="200"/>
        <w:rPr>
          <w:rFonts w:hint="eastAsia" w:eastAsia="宋体"/>
          <w:sz w:val="24"/>
          <w:szCs w:val="24"/>
          <w:lang w:eastAsia="zh-CN"/>
        </w:rPr>
      </w:pPr>
      <w:r>
        <w:rPr>
          <w:sz w:val="24"/>
          <w:szCs w:val="24"/>
        </w:rPr>
        <w:t>(三)提供虚假的项目负责人或者主要技术人员简历、劳动关系证明</w:t>
      </w:r>
      <w:r>
        <w:rPr>
          <w:rFonts w:hint="eastAsia"/>
          <w:sz w:val="24"/>
          <w:szCs w:val="24"/>
          <w:lang w:eastAsia="zh-CN"/>
        </w:rPr>
        <w:t>；</w:t>
      </w:r>
    </w:p>
    <w:p>
      <w:pPr>
        <w:tabs>
          <w:tab w:val="left" w:pos="180"/>
        </w:tabs>
        <w:spacing w:before="60" w:after="60" w:line="500" w:lineRule="exact"/>
        <w:ind w:firstLine="480" w:firstLineChars="200"/>
        <w:rPr>
          <w:rFonts w:hint="eastAsia" w:eastAsia="宋体"/>
          <w:sz w:val="24"/>
          <w:szCs w:val="24"/>
          <w:lang w:eastAsia="zh-CN"/>
        </w:rPr>
      </w:pPr>
      <w:r>
        <w:rPr>
          <w:sz w:val="24"/>
          <w:szCs w:val="24"/>
        </w:rPr>
        <w:t>(四)提供虚假的信用状况</w:t>
      </w:r>
      <w:r>
        <w:rPr>
          <w:rFonts w:hint="eastAsia"/>
          <w:sz w:val="24"/>
          <w:szCs w:val="24"/>
          <w:lang w:eastAsia="zh-CN"/>
        </w:rPr>
        <w:t>；</w:t>
      </w:r>
    </w:p>
    <w:p>
      <w:pPr>
        <w:tabs>
          <w:tab w:val="left" w:pos="180"/>
        </w:tabs>
        <w:spacing w:before="60" w:after="60" w:line="500" w:lineRule="exact"/>
        <w:ind w:firstLine="480" w:firstLineChars="200"/>
        <w:rPr>
          <w:sz w:val="24"/>
          <w:szCs w:val="24"/>
        </w:rPr>
      </w:pPr>
      <w:r>
        <w:rPr>
          <w:sz w:val="24"/>
          <w:szCs w:val="24"/>
        </w:rPr>
        <w:t>(五)其他弄虚作假的行为。</w:t>
      </w:r>
    </w:p>
    <w:p>
      <w:pPr>
        <w:tabs>
          <w:tab w:val="left" w:pos="180"/>
        </w:tabs>
        <w:spacing w:before="60" w:after="60" w:line="500" w:lineRule="exact"/>
        <w:ind w:firstLine="480" w:firstLineChars="200"/>
        <w:rPr>
          <w:sz w:val="24"/>
          <w:szCs w:val="24"/>
        </w:rPr>
      </w:pPr>
      <w:r>
        <w:rPr>
          <w:sz w:val="24"/>
          <w:szCs w:val="24"/>
        </w:rPr>
        <w:t>7、按废标处理：</w:t>
      </w:r>
    </w:p>
    <w:p>
      <w:pPr>
        <w:tabs>
          <w:tab w:val="left" w:pos="180"/>
        </w:tabs>
        <w:spacing w:before="60" w:after="60" w:line="500" w:lineRule="exact"/>
        <w:ind w:firstLine="480" w:firstLineChars="200"/>
        <w:rPr>
          <w:sz w:val="24"/>
          <w:szCs w:val="24"/>
        </w:rPr>
      </w:pPr>
      <w:r>
        <w:rPr>
          <w:sz w:val="24"/>
          <w:szCs w:val="24"/>
        </w:rPr>
        <w:t>出现下列情形之一的，应予废标：</w:t>
      </w:r>
    </w:p>
    <w:p>
      <w:pPr>
        <w:tabs>
          <w:tab w:val="left" w:pos="180"/>
        </w:tabs>
        <w:spacing w:before="60" w:after="60" w:line="500" w:lineRule="exact"/>
        <w:ind w:firstLine="480" w:firstLineChars="200"/>
        <w:rPr>
          <w:sz w:val="24"/>
          <w:szCs w:val="24"/>
        </w:rPr>
      </w:pPr>
      <w:r>
        <w:rPr>
          <w:sz w:val="24"/>
          <w:szCs w:val="24"/>
        </w:rPr>
        <w:t>（1）符合专业条件的投标人或者对招标文件作实质响应的投标人不足三家的；</w:t>
      </w:r>
    </w:p>
    <w:p>
      <w:pPr>
        <w:tabs>
          <w:tab w:val="left" w:pos="180"/>
        </w:tabs>
        <w:spacing w:before="60" w:after="60" w:line="500" w:lineRule="exact"/>
        <w:ind w:firstLine="480" w:firstLineChars="200"/>
        <w:rPr>
          <w:sz w:val="24"/>
          <w:szCs w:val="24"/>
        </w:rPr>
      </w:pPr>
      <w:r>
        <w:rPr>
          <w:sz w:val="24"/>
          <w:szCs w:val="24"/>
        </w:rPr>
        <w:t>（2）出现影响</w:t>
      </w:r>
      <w:r>
        <w:rPr>
          <w:rFonts w:hint="eastAsia"/>
          <w:sz w:val="24"/>
          <w:szCs w:val="24"/>
          <w:lang w:eastAsia="zh-CN"/>
        </w:rPr>
        <w:t>招标</w:t>
      </w:r>
      <w:r>
        <w:rPr>
          <w:sz w:val="24"/>
          <w:szCs w:val="24"/>
        </w:rPr>
        <w:t>公正的违法、违规行为的；</w:t>
      </w:r>
    </w:p>
    <w:p>
      <w:pPr>
        <w:tabs>
          <w:tab w:val="left" w:pos="180"/>
        </w:tabs>
        <w:spacing w:before="60" w:after="60" w:line="500" w:lineRule="exact"/>
        <w:ind w:firstLine="480" w:firstLineChars="200"/>
        <w:rPr>
          <w:sz w:val="24"/>
          <w:szCs w:val="24"/>
        </w:rPr>
      </w:pPr>
      <w:r>
        <w:rPr>
          <w:sz w:val="24"/>
          <w:szCs w:val="24"/>
        </w:rPr>
        <w:t>（3）投标人的报价均超过了</w:t>
      </w:r>
      <w:r>
        <w:rPr>
          <w:rFonts w:hint="eastAsia"/>
          <w:sz w:val="24"/>
          <w:szCs w:val="24"/>
          <w:lang w:eastAsia="zh-CN"/>
        </w:rPr>
        <w:t>招标</w:t>
      </w:r>
      <w:r>
        <w:rPr>
          <w:sz w:val="24"/>
          <w:szCs w:val="24"/>
        </w:rPr>
        <w:t>预算，</w:t>
      </w:r>
      <w:r>
        <w:rPr>
          <w:rFonts w:hint="eastAsia"/>
          <w:sz w:val="24"/>
          <w:szCs w:val="24"/>
          <w:lang w:eastAsia="zh-CN"/>
        </w:rPr>
        <w:t>招标</w:t>
      </w:r>
      <w:r>
        <w:rPr>
          <w:sz w:val="24"/>
          <w:szCs w:val="24"/>
        </w:rPr>
        <w:t>人不能支付的；</w:t>
      </w:r>
    </w:p>
    <w:p>
      <w:pPr>
        <w:tabs>
          <w:tab w:val="left" w:pos="180"/>
        </w:tabs>
        <w:spacing w:before="60" w:after="60" w:line="500" w:lineRule="exact"/>
        <w:ind w:firstLine="480" w:firstLineChars="200"/>
        <w:rPr>
          <w:sz w:val="24"/>
          <w:szCs w:val="24"/>
        </w:rPr>
      </w:pPr>
      <w:r>
        <w:rPr>
          <w:sz w:val="24"/>
          <w:szCs w:val="24"/>
        </w:rPr>
        <w:t>（4）因重大变故，</w:t>
      </w:r>
      <w:r>
        <w:rPr>
          <w:rFonts w:hint="eastAsia"/>
          <w:sz w:val="24"/>
          <w:szCs w:val="24"/>
          <w:lang w:eastAsia="zh-CN"/>
        </w:rPr>
        <w:t>招标</w:t>
      </w:r>
      <w:r>
        <w:rPr>
          <w:sz w:val="24"/>
          <w:szCs w:val="24"/>
        </w:rPr>
        <w:t>任务取消的。</w:t>
      </w:r>
    </w:p>
    <w:p>
      <w:pPr>
        <w:tabs>
          <w:tab w:val="left" w:pos="180"/>
        </w:tabs>
        <w:spacing w:before="60" w:after="60" w:line="500" w:lineRule="exact"/>
        <w:ind w:firstLine="480" w:firstLineChars="200"/>
        <w:rPr>
          <w:sz w:val="24"/>
          <w:szCs w:val="24"/>
        </w:rPr>
      </w:pPr>
      <w:r>
        <w:rPr>
          <w:sz w:val="24"/>
          <w:szCs w:val="24"/>
        </w:rPr>
        <w:t>8、特殊情况下的评标方法</w:t>
      </w:r>
    </w:p>
    <w:p>
      <w:pPr>
        <w:tabs>
          <w:tab w:val="left" w:pos="180"/>
        </w:tabs>
        <w:spacing w:before="60" w:after="60" w:line="500" w:lineRule="exact"/>
        <w:ind w:firstLine="480" w:firstLineChars="200"/>
        <w:rPr>
          <w:sz w:val="24"/>
          <w:szCs w:val="24"/>
        </w:rPr>
      </w:pPr>
      <w:r>
        <w:rPr>
          <w:sz w:val="24"/>
          <w:szCs w:val="24"/>
        </w:rPr>
        <w:t>如出现投标人达不到法定要求的数量、串通投标、投标人互相诋毁及投标人所投报主要设备为相同品牌、型号产品并经评标委员会认定明显缺乏竞争，导致评标委员会无法评标或投标人报价均超出项目预算时，评标委员会有权停止评标，</w:t>
      </w:r>
      <w:r>
        <w:rPr>
          <w:rFonts w:hint="eastAsia"/>
          <w:sz w:val="24"/>
          <w:szCs w:val="24"/>
          <w:lang w:eastAsia="zh-CN"/>
        </w:rPr>
        <w:t>招标</w:t>
      </w:r>
      <w:r>
        <w:rPr>
          <w:sz w:val="24"/>
          <w:szCs w:val="24"/>
        </w:rPr>
        <w:t>人经政府采购监督管理部门同意后，可以改用其它方式进行本项目。</w:t>
      </w:r>
    </w:p>
    <w:p>
      <w:pPr>
        <w:spacing w:line="500" w:lineRule="exact"/>
        <w:rPr>
          <w:b/>
          <w:sz w:val="24"/>
          <w:szCs w:val="24"/>
        </w:rPr>
      </w:pPr>
      <w:r>
        <w:rPr>
          <w:b/>
          <w:sz w:val="24"/>
          <w:szCs w:val="24"/>
        </w:rPr>
        <w:t>五、评标纪律</w:t>
      </w:r>
    </w:p>
    <w:p>
      <w:pPr>
        <w:adjustRightInd w:val="0"/>
        <w:snapToGrid w:val="0"/>
        <w:spacing w:line="500" w:lineRule="exact"/>
        <w:ind w:firstLine="420"/>
        <w:textAlignment w:val="center"/>
        <w:rPr>
          <w:sz w:val="24"/>
          <w:szCs w:val="24"/>
        </w:rPr>
      </w:pPr>
      <w:r>
        <w:rPr>
          <w:sz w:val="24"/>
          <w:szCs w:val="24"/>
        </w:rPr>
        <w:t>1、评标是招标工作的重要环节，评标工作在评标委员会内独立进行。评标委员会将按照评标原则的要求，公正、平等地对待所有投标人。</w:t>
      </w:r>
    </w:p>
    <w:p>
      <w:pPr>
        <w:adjustRightInd w:val="0"/>
        <w:snapToGrid w:val="0"/>
        <w:spacing w:line="500" w:lineRule="exact"/>
        <w:ind w:firstLine="420"/>
        <w:textAlignment w:val="center"/>
        <w:rPr>
          <w:sz w:val="24"/>
          <w:szCs w:val="24"/>
        </w:rPr>
      </w:pPr>
      <w:r>
        <w:rPr>
          <w:sz w:val="24"/>
          <w:szCs w:val="24"/>
        </w:rPr>
        <w:t>2、所有评标人员应忠于职守、廉洁自律、秉公办事、不徇私情。</w:t>
      </w:r>
    </w:p>
    <w:p>
      <w:pPr>
        <w:adjustRightInd w:val="0"/>
        <w:snapToGrid w:val="0"/>
        <w:spacing w:line="500" w:lineRule="exact"/>
        <w:ind w:firstLine="420"/>
        <w:textAlignment w:val="center"/>
        <w:rPr>
          <w:sz w:val="24"/>
          <w:szCs w:val="24"/>
        </w:rPr>
      </w:pPr>
      <w:r>
        <w:rPr>
          <w:sz w:val="24"/>
          <w:szCs w:val="24"/>
        </w:rPr>
        <w:t>3、评标人员不得接受或参加投标人或与投标有关的单位、组织或个人的有碍公务的宴请、娱乐等，不得以任何形式弄虚作假。</w:t>
      </w:r>
    </w:p>
    <w:p>
      <w:pPr>
        <w:adjustRightInd w:val="0"/>
        <w:snapToGrid w:val="0"/>
        <w:spacing w:line="500" w:lineRule="exact"/>
        <w:ind w:firstLine="420"/>
        <w:textAlignment w:val="center"/>
        <w:rPr>
          <w:sz w:val="24"/>
          <w:szCs w:val="24"/>
        </w:rPr>
      </w:pPr>
      <w:r>
        <w:rPr>
          <w:sz w:val="24"/>
          <w:szCs w:val="24"/>
        </w:rPr>
        <w:t>4、评标期间，评标人员不得随意出入评标地点、与外界通讯、会客等。</w:t>
      </w:r>
    </w:p>
    <w:p>
      <w:pPr>
        <w:adjustRightInd w:val="0"/>
        <w:snapToGrid w:val="0"/>
        <w:spacing w:line="500" w:lineRule="exact"/>
        <w:ind w:firstLine="420"/>
        <w:textAlignment w:val="center"/>
        <w:rPr>
          <w:sz w:val="24"/>
          <w:szCs w:val="24"/>
        </w:rPr>
      </w:pPr>
      <w:r>
        <w:rPr>
          <w:sz w:val="24"/>
          <w:szCs w:val="24"/>
        </w:rPr>
        <w:t>5、在投标文件的审查、澄清、评价和比较以及授予合同的过程中，投标人对</w:t>
      </w:r>
      <w:r>
        <w:rPr>
          <w:rFonts w:hint="eastAsia"/>
          <w:sz w:val="24"/>
          <w:szCs w:val="24"/>
          <w:lang w:eastAsia="zh-CN"/>
        </w:rPr>
        <w:t>招标</w:t>
      </w:r>
      <w:r>
        <w:rPr>
          <w:sz w:val="24"/>
          <w:szCs w:val="24"/>
        </w:rPr>
        <w:t>人、用户及评标委员会其他成员施加影响的任何行为，都将导致被取消投标资格。</w:t>
      </w:r>
    </w:p>
    <w:p>
      <w:pPr>
        <w:adjustRightInd w:val="0"/>
        <w:snapToGrid w:val="0"/>
        <w:spacing w:line="500" w:lineRule="exact"/>
        <w:ind w:firstLine="420"/>
        <w:textAlignment w:val="center"/>
        <w:rPr>
          <w:sz w:val="24"/>
          <w:szCs w:val="24"/>
        </w:rPr>
      </w:pPr>
      <w:r>
        <w:rPr>
          <w:sz w:val="24"/>
          <w:szCs w:val="24"/>
        </w:rPr>
        <w:t>6、为保证定标的公正性，在评标过程中，评委不得与任何投标人或与招标结果有利害关系的人员进行私下接触。在评标工作结束后，凡与评标情况有接触的任何人，不得将评标情况扩散出评标委员会以外。</w:t>
      </w:r>
    </w:p>
    <w:p>
      <w:pPr>
        <w:adjustRightInd w:val="0"/>
        <w:snapToGrid w:val="0"/>
        <w:spacing w:line="500" w:lineRule="exact"/>
        <w:ind w:firstLine="420"/>
        <w:textAlignment w:val="center"/>
        <w:rPr>
          <w:sz w:val="24"/>
          <w:szCs w:val="24"/>
        </w:rPr>
      </w:pPr>
      <w:r>
        <w:rPr>
          <w:sz w:val="24"/>
          <w:szCs w:val="24"/>
        </w:rPr>
        <w:t>7、评标过程中，当发表结论性意见时，先听取专家评委意见，用户评委随后发表意见。</w:t>
      </w:r>
    </w:p>
    <w:p>
      <w:pPr>
        <w:adjustRightInd w:val="0"/>
        <w:snapToGrid w:val="0"/>
        <w:spacing w:line="500" w:lineRule="exact"/>
        <w:ind w:firstLine="420"/>
        <w:textAlignment w:val="center"/>
        <w:rPr>
          <w:sz w:val="24"/>
          <w:szCs w:val="24"/>
        </w:rPr>
      </w:pPr>
      <w:r>
        <w:rPr>
          <w:sz w:val="24"/>
          <w:szCs w:val="24"/>
        </w:rPr>
        <w:t>8、评标结束后，各评标人员应将全部资料整理交至</w:t>
      </w:r>
      <w:r>
        <w:rPr>
          <w:rFonts w:hint="eastAsia"/>
          <w:sz w:val="24"/>
          <w:szCs w:val="24"/>
          <w:lang w:eastAsia="zh-CN"/>
        </w:rPr>
        <w:t>招标</w:t>
      </w:r>
      <w:r>
        <w:rPr>
          <w:sz w:val="24"/>
          <w:szCs w:val="24"/>
        </w:rPr>
        <w:t>代理机构，严禁将评标过程中的任何资料带出评标现场向投标人或其他单位提供。</w:t>
      </w:r>
    </w:p>
    <w:p>
      <w:pPr>
        <w:adjustRightInd w:val="0"/>
        <w:snapToGrid w:val="0"/>
        <w:spacing w:line="500" w:lineRule="exact"/>
        <w:ind w:firstLine="420"/>
        <w:textAlignment w:val="center"/>
        <w:rPr>
          <w:sz w:val="24"/>
          <w:szCs w:val="24"/>
        </w:rPr>
      </w:pPr>
      <w:r>
        <w:rPr>
          <w:sz w:val="24"/>
          <w:szCs w:val="24"/>
        </w:rPr>
        <w:t>9、</w:t>
      </w:r>
      <w:r>
        <w:rPr>
          <w:rFonts w:hint="eastAsia"/>
          <w:sz w:val="24"/>
          <w:szCs w:val="24"/>
          <w:lang w:eastAsia="zh-CN"/>
        </w:rPr>
        <w:t>招标</w:t>
      </w:r>
      <w:r>
        <w:rPr>
          <w:sz w:val="24"/>
          <w:szCs w:val="24"/>
        </w:rPr>
        <w:t>代理机构与委托方应对评标委员会成员名单、拟邀请的潜在投标人名单、已购买招标文件的潜在投标人名单、评标过程予以保密。</w:t>
      </w:r>
    </w:p>
    <w:p>
      <w:pPr>
        <w:adjustRightInd w:val="0"/>
        <w:snapToGrid w:val="0"/>
        <w:spacing w:line="500" w:lineRule="exact"/>
        <w:ind w:firstLine="420"/>
        <w:textAlignment w:val="center"/>
        <w:rPr>
          <w:sz w:val="24"/>
          <w:szCs w:val="24"/>
        </w:rPr>
      </w:pPr>
      <w:r>
        <w:rPr>
          <w:sz w:val="24"/>
          <w:szCs w:val="24"/>
        </w:rPr>
        <w:t>10、评标委员会成员以及与评审有关的人员应当对评审情况和评审过程中获悉的国家秘密、商业秘密予以保密。</w:t>
      </w:r>
    </w:p>
    <w:p>
      <w:pPr>
        <w:adjustRightInd w:val="0"/>
        <w:snapToGrid w:val="0"/>
        <w:spacing w:line="500" w:lineRule="exact"/>
        <w:ind w:firstLine="420"/>
        <w:textAlignment w:val="center"/>
        <w:rPr>
          <w:sz w:val="24"/>
          <w:szCs w:val="24"/>
        </w:rPr>
      </w:pPr>
      <w:r>
        <w:rPr>
          <w:sz w:val="24"/>
          <w:szCs w:val="24"/>
        </w:rPr>
        <w:t>11、评标委员会成员应当客观、公正地履行职责，遵守职业道德，对所提出的评审意见承担个人责任。</w:t>
      </w:r>
    </w:p>
    <w:p>
      <w:pPr>
        <w:adjustRightInd w:val="0"/>
        <w:snapToGrid w:val="0"/>
        <w:spacing w:line="500" w:lineRule="exact"/>
        <w:ind w:firstLine="420"/>
        <w:textAlignment w:val="center"/>
        <w:rPr>
          <w:sz w:val="24"/>
          <w:szCs w:val="24"/>
        </w:rPr>
      </w:pPr>
      <w:r>
        <w:rPr>
          <w:sz w:val="24"/>
          <w:szCs w:val="24"/>
        </w:rPr>
        <w:t>12、评标工作开始前，由工作人员负责收缴并保管评委、工作人员的通讯工具。</w:t>
      </w:r>
    </w:p>
    <w:p>
      <w:pPr>
        <w:adjustRightInd w:val="0"/>
        <w:snapToGrid w:val="0"/>
        <w:spacing w:line="500" w:lineRule="exact"/>
        <w:ind w:firstLine="420"/>
        <w:textAlignment w:val="center"/>
        <w:rPr>
          <w:sz w:val="24"/>
          <w:szCs w:val="24"/>
        </w:rPr>
      </w:pPr>
      <w:r>
        <w:rPr>
          <w:sz w:val="24"/>
          <w:szCs w:val="24"/>
        </w:rPr>
        <w:t>13、在政府采购活动中，</w:t>
      </w:r>
      <w:r>
        <w:rPr>
          <w:rFonts w:hint="eastAsia"/>
          <w:sz w:val="24"/>
          <w:szCs w:val="24"/>
          <w:lang w:eastAsia="zh-CN"/>
        </w:rPr>
        <w:t>招标</w:t>
      </w:r>
      <w:r>
        <w:rPr>
          <w:sz w:val="24"/>
          <w:szCs w:val="24"/>
        </w:rPr>
        <w:t>人员及相关人员与投标人有下列利害关系之一的，应当回避：</w:t>
      </w:r>
    </w:p>
    <w:p>
      <w:pPr>
        <w:adjustRightInd w:val="0"/>
        <w:snapToGrid w:val="0"/>
        <w:spacing w:line="500" w:lineRule="exact"/>
        <w:ind w:firstLine="420"/>
        <w:textAlignment w:val="center"/>
        <w:rPr>
          <w:sz w:val="24"/>
          <w:szCs w:val="24"/>
        </w:rPr>
      </w:pPr>
      <w:r>
        <w:rPr>
          <w:sz w:val="24"/>
          <w:szCs w:val="24"/>
        </w:rPr>
        <w:t>（一）参加</w:t>
      </w:r>
      <w:r>
        <w:rPr>
          <w:rFonts w:hint="eastAsia"/>
          <w:sz w:val="24"/>
          <w:szCs w:val="24"/>
          <w:lang w:eastAsia="zh-CN"/>
        </w:rPr>
        <w:t>招标</w:t>
      </w:r>
      <w:r>
        <w:rPr>
          <w:sz w:val="24"/>
          <w:szCs w:val="24"/>
        </w:rPr>
        <w:t>活动前3年内与投标人存在劳动关系；</w:t>
      </w:r>
    </w:p>
    <w:p>
      <w:pPr>
        <w:adjustRightInd w:val="0"/>
        <w:snapToGrid w:val="0"/>
        <w:spacing w:line="500" w:lineRule="exact"/>
        <w:ind w:firstLine="420"/>
        <w:textAlignment w:val="center"/>
        <w:rPr>
          <w:sz w:val="24"/>
          <w:szCs w:val="24"/>
        </w:rPr>
      </w:pPr>
      <w:r>
        <w:rPr>
          <w:sz w:val="24"/>
          <w:szCs w:val="24"/>
        </w:rPr>
        <w:t>（二）参加</w:t>
      </w:r>
      <w:r>
        <w:rPr>
          <w:rFonts w:hint="eastAsia"/>
          <w:sz w:val="24"/>
          <w:szCs w:val="24"/>
          <w:lang w:eastAsia="zh-CN"/>
        </w:rPr>
        <w:t>招标</w:t>
      </w:r>
      <w:r>
        <w:rPr>
          <w:sz w:val="24"/>
          <w:szCs w:val="24"/>
        </w:rPr>
        <w:t>活动前3年内担任投标人的董事、监事；</w:t>
      </w:r>
    </w:p>
    <w:p>
      <w:pPr>
        <w:adjustRightInd w:val="0"/>
        <w:snapToGrid w:val="0"/>
        <w:spacing w:line="500" w:lineRule="exact"/>
        <w:ind w:firstLine="420"/>
        <w:textAlignment w:val="center"/>
        <w:rPr>
          <w:sz w:val="24"/>
          <w:szCs w:val="24"/>
        </w:rPr>
      </w:pPr>
      <w:r>
        <w:rPr>
          <w:sz w:val="24"/>
          <w:szCs w:val="24"/>
        </w:rPr>
        <w:t>（三）参加</w:t>
      </w:r>
      <w:r>
        <w:rPr>
          <w:rFonts w:hint="eastAsia"/>
          <w:sz w:val="24"/>
          <w:szCs w:val="24"/>
          <w:lang w:eastAsia="zh-CN"/>
        </w:rPr>
        <w:t>招标</w:t>
      </w:r>
      <w:r>
        <w:rPr>
          <w:sz w:val="24"/>
          <w:szCs w:val="24"/>
        </w:rPr>
        <w:t>活动前3年内是投标人的控股股东或者实际控制人；</w:t>
      </w:r>
    </w:p>
    <w:p>
      <w:pPr>
        <w:adjustRightInd w:val="0"/>
        <w:snapToGrid w:val="0"/>
        <w:spacing w:line="500" w:lineRule="exact"/>
        <w:ind w:firstLine="420"/>
        <w:textAlignment w:val="center"/>
        <w:rPr>
          <w:sz w:val="24"/>
          <w:szCs w:val="24"/>
        </w:rPr>
      </w:pPr>
      <w:r>
        <w:rPr>
          <w:sz w:val="24"/>
          <w:szCs w:val="24"/>
        </w:rPr>
        <w:t>（四）与投标人的法定代表人或者负责人有夫妻、直系血亲、三代以内旁系血亲或者近姻亲关系；</w:t>
      </w:r>
    </w:p>
    <w:p>
      <w:pPr>
        <w:adjustRightInd w:val="0"/>
        <w:snapToGrid w:val="0"/>
        <w:spacing w:line="500" w:lineRule="exact"/>
        <w:ind w:firstLine="420"/>
        <w:textAlignment w:val="center"/>
        <w:rPr>
          <w:sz w:val="24"/>
          <w:szCs w:val="24"/>
        </w:rPr>
      </w:pPr>
      <w:r>
        <w:rPr>
          <w:sz w:val="24"/>
          <w:szCs w:val="24"/>
        </w:rPr>
        <w:t>（五）与投标人有其他可能影响政府</w:t>
      </w:r>
      <w:r>
        <w:rPr>
          <w:rFonts w:hint="eastAsia"/>
          <w:sz w:val="24"/>
          <w:szCs w:val="24"/>
          <w:lang w:eastAsia="zh-CN"/>
        </w:rPr>
        <w:t>招标</w:t>
      </w:r>
      <w:r>
        <w:rPr>
          <w:sz w:val="24"/>
          <w:szCs w:val="24"/>
        </w:rPr>
        <w:t>活动公平、公正进行的关系。</w:t>
      </w:r>
    </w:p>
    <w:p>
      <w:pPr>
        <w:adjustRightInd w:val="0"/>
        <w:snapToGrid w:val="0"/>
        <w:spacing w:line="500" w:lineRule="exact"/>
        <w:ind w:firstLine="420"/>
        <w:textAlignment w:val="center"/>
        <w:rPr>
          <w:sz w:val="24"/>
          <w:szCs w:val="24"/>
        </w:rPr>
      </w:pPr>
      <w:r>
        <w:rPr>
          <w:sz w:val="24"/>
          <w:szCs w:val="24"/>
        </w:rPr>
        <w:t>投标人认为</w:t>
      </w:r>
      <w:r>
        <w:rPr>
          <w:rFonts w:hint="eastAsia"/>
          <w:sz w:val="24"/>
          <w:szCs w:val="24"/>
          <w:lang w:eastAsia="zh-CN"/>
        </w:rPr>
        <w:t>招标</w:t>
      </w:r>
      <w:r>
        <w:rPr>
          <w:sz w:val="24"/>
          <w:szCs w:val="24"/>
        </w:rPr>
        <w:t>人员及相关人员与其他投标人有利害关系的，可以向</w:t>
      </w:r>
      <w:r>
        <w:rPr>
          <w:rFonts w:hint="eastAsia"/>
          <w:sz w:val="24"/>
          <w:szCs w:val="24"/>
          <w:lang w:eastAsia="zh-CN"/>
        </w:rPr>
        <w:t>招标</w:t>
      </w:r>
      <w:r>
        <w:rPr>
          <w:sz w:val="24"/>
          <w:szCs w:val="24"/>
        </w:rPr>
        <w:t>人或者</w:t>
      </w:r>
      <w:r>
        <w:rPr>
          <w:rFonts w:hint="eastAsia"/>
          <w:sz w:val="24"/>
          <w:szCs w:val="24"/>
          <w:lang w:eastAsia="zh-CN"/>
        </w:rPr>
        <w:t>招标</w:t>
      </w:r>
      <w:r>
        <w:rPr>
          <w:sz w:val="24"/>
          <w:szCs w:val="24"/>
        </w:rPr>
        <w:t>代理机构书面提出回避申请，并说明理由。</w:t>
      </w:r>
      <w:r>
        <w:rPr>
          <w:rFonts w:hint="eastAsia"/>
          <w:sz w:val="24"/>
          <w:szCs w:val="24"/>
          <w:lang w:eastAsia="zh-CN"/>
        </w:rPr>
        <w:t>招标</w:t>
      </w:r>
      <w:r>
        <w:rPr>
          <w:sz w:val="24"/>
          <w:szCs w:val="24"/>
        </w:rPr>
        <w:t>人或者</w:t>
      </w:r>
      <w:r>
        <w:rPr>
          <w:rFonts w:hint="eastAsia"/>
          <w:sz w:val="24"/>
          <w:szCs w:val="24"/>
          <w:lang w:eastAsia="zh-CN"/>
        </w:rPr>
        <w:t>招标</w:t>
      </w:r>
      <w:r>
        <w:rPr>
          <w:sz w:val="24"/>
          <w:szCs w:val="24"/>
        </w:rPr>
        <w:t>代理机构应当及时询问被申请回避人员，有利害关系的被申请回避人员应当回避。</w:t>
      </w:r>
    </w:p>
    <w:p>
      <w:pPr>
        <w:pStyle w:val="39"/>
        <w:spacing w:line="500" w:lineRule="exact"/>
        <w:textAlignment w:val="center"/>
        <w:rPr>
          <w:rFonts w:ascii="Times New Roman" w:hAnsi="Times New Roman"/>
          <w:b/>
          <w:szCs w:val="24"/>
        </w:rPr>
      </w:pPr>
      <w:r>
        <w:rPr>
          <w:rFonts w:ascii="Times New Roman" w:hAnsi="Times New Roman"/>
          <w:b/>
          <w:szCs w:val="24"/>
        </w:rPr>
        <w:t>六、中标通知书</w:t>
      </w:r>
    </w:p>
    <w:p>
      <w:pPr>
        <w:pStyle w:val="39"/>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center"/>
        <w:rPr>
          <w:rFonts w:ascii="Times New Roman" w:hAnsi="Times New Roman"/>
          <w:b/>
          <w:szCs w:val="24"/>
        </w:rPr>
      </w:pPr>
      <w:r>
        <w:rPr>
          <w:rFonts w:hint="eastAsia" w:ascii="Times New Roman" w:hAnsi="Times New Roman"/>
          <w:szCs w:val="24"/>
          <w:lang w:eastAsia="zh-CN"/>
        </w:rPr>
        <w:t>招标</w:t>
      </w:r>
      <w:r>
        <w:rPr>
          <w:rFonts w:ascii="Times New Roman" w:hAnsi="Times New Roman"/>
          <w:szCs w:val="24"/>
        </w:rPr>
        <w:t>代理机构应当自评审结束之日起</w:t>
      </w:r>
      <w:r>
        <w:rPr>
          <w:rFonts w:ascii="Times New Roman" w:hAnsi="Times New Roman"/>
          <w:b/>
          <w:szCs w:val="24"/>
        </w:rPr>
        <w:t>2个工作日</w:t>
      </w:r>
      <w:r>
        <w:rPr>
          <w:rFonts w:ascii="Times New Roman" w:hAnsi="Times New Roman"/>
          <w:szCs w:val="24"/>
        </w:rPr>
        <w:t>内将评标报告送交</w:t>
      </w:r>
      <w:r>
        <w:rPr>
          <w:rFonts w:hint="eastAsia" w:ascii="Times New Roman" w:hAnsi="Times New Roman"/>
          <w:szCs w:val="24"/>
          <w:lang w:eastAsia="zh-CN"/>
        </w:rPr>
        <w:t>招标</w:t>
      </w:r>
      <w:r>
        <w:rPr>
          <w:rFonts w:ascii="Times New Roman" w:hAnsi="Times New Roman"/>
          <w:szCs w:val="24"/>
        </w:rPr>
        <w:t>人。</w:t>
      </w:r>
      <w:r>
        <w:rPr>
          <w:rFonts w:hint="eastAsia" w:ascii="Times New Roman" w:hAnsi="Times New Roman"/>
          <w:szCs w:val="24"/>
          <w:lang w:eastAsia="zh-CN"/>
        </w:rPr>
        <w:t>招标</w:t>
      </w:r>
      <w:r>
        <w:rPr>
          <w:rFonts w:ascii="Times New Roman" w:hAnsi="Times New Roman"/>
          <w:szCs w:val="24"/>
        </w:rPr>
        <w:t>人应当自收到评标报告之日起</w:t>
      </w:r>
      <w:r>
        <w:rPr>
          <w:rFonts w:ascii="Times New Roman" w:hAnsi="Times New Roman"/>
          <w:b/>
          <w:szCs w:val="24"/>
        </w:rPr>
        <w:t>5个工作日内</w:t>
      </w:r>
      <w:r>
        <w:rPr>
          <w:rFonts w:ascii="Times New Roman" w:hAnsi="Times New Roman"/>
          <w:szCs w:val="24"/>
        </w:rPr>
        <w:t>在评标报告推荐的中标候选人中</w:t>
      </w:r>
      <w:r>
        <w:rPr>
          <w:rFonts w:ascii="Times New Roman" w:hAnsi="Times New Roman"/>
          <w:b/>
          <w:szCs w:val="24"/>
        </w:rPr>
        <w:t>按顺序确定中标</w:t>
      </w:r>
      <w:r>
        <w:rPr>
          <w:rFonts w:ascii="Times New Roman" w:hAnsi="Times New Roman"/>
          <w:szCs w:val="24"/>
        </w:rPr>
        <w:t>人。</w:t>
      </w:r>
      <w:r>
        <w:rPr>
          <w:rFonts w:hint="eastAsia" w:ascii="Times New Roman" w:hAnsi="Times New Roman"/>
          <w:szCs w:val="24"/>
          <w:lang w:eastAsia="zh-CN"/>
        </w:rPr>
        <w:t>招标</w:t>
      </w:r>
      <w:r>
        <w:rPr>
          <w:rFonts w:ascii="Times New Roman" w:hAnsi="Times New Roman"/>
          <w:szCs w:val="24"/>
        </w:rPr>
        <w:t>人或者</w:t>
      </w:r>
      <w:r>
        <w:rPr>
          <w:rFonts w:hint="eastAsia" w:ascii="Times New Roman" w:hAnsi="Times New Roman"/>
          <w:szCs w:val="24"/>
          <w:lang w:eastAsia="zh-CN"/>
        </w:rPr>
        <w:t>招标</w:t>
      </w:r>
      <w:r>
        <w:rPr>
          <w:rFonts w:ascii="Times New Roman" w:hAnsi="Times New Roman"/>
          <w:szCs w:val="24"/>
        </w:rPr>
        <w:t>代理机构应当自中标人确定之日</w:t>
      </w:r>
      <w:r>
        <w:rPr>
          <w:rFonts w:ascii="Times New Roman" w:hAnsi="Times New Roman"/>
          <w:b/>
          <w:szCs w:val="24"/>
        </w:rPr>
        <w:t>起2个工作日内，</w:t>
      </w:r>
      <w:r>
        <w:rPr>
          <w:rFonts w:ascii="Times New Roman" w:hAnsi="Times New Roman"/>
          <w:szCs w:val="24"/>
        </w:rPr>
        <w:t>发出中标通知书，同时在省级以上人民政府财政部门指定的媒体上公告中标</w:t>
      </w:r>
      <w:r>
        <w:rPr>
          <w:rFonts w:ascii="Times New Roman" w:hAnsi="Times New Roman"/>
          <w:b/>
          <w:szCs w:val="24"/>
        </w:rPr>
        <w:t>结果。</w:t>
      </w:r>
      <w:r>
        <w:rPr>
          <w:rFonts w:hint="eastAsia" w:ascii="Times New Roman" w:hAnsi="Times New Roman"/>
          <w:b/>
          <w:szCs w:val="24"/>
        </w:rPr>
        <w:t>自中标结果公告之日由中标人向</w:t>
      </w:r>
      <w:r>
        <w:rPr>
          <w:rFonts w:hint="eastAsia" w:ascii="Times New Roman" w:hAnsi="Times New Roman"/>
          <w:b/>
          <w:szCs w:val="24"/>
          <w:lang w:eastAsia="zh-CN"/>
        </w:rPr>
        <w:t>招标</w:t>
      </w:r>
      <w:r>
        <w:rPr>
          <w:rFonts w:hint="eastAsia" w:ascii="Times New Roman" w:hAnsi="Times New Roman"/>
          <w:b/>
          <w:szCs w:val="24"/>
        </w:rPr>
        <w:t>代理机构交纳代理费。</w:t>
      </w:r>
    </w:p>
    <w:p>
      <w:pPr>
        <w:pStyle w:val="39"/>
        <w:spacing w:line="500" w:lineRule="exact"/>
        <w:ind w:firstLine="420"/>
        <w:textAlignment w:val="center"/>
        <w:rPr>
          <w:rFonts w:ascii="Times New Roman" w:hAnsi="Times New Roman"/>
          <w:szCs w:val="24"/>
        </w:rPr>
      </w:pPr>
      <w:r>
        <w:rPr>
          <w:rFonts w:ascii="Times New Roman" w:hAnsi="Times New Roman"/>
          <w:szCs w:val="24"/>
        </w:rPr>
        <w:t>《中标通知书》将作为签订合同的依据，且是合同的一个组成部分。</w:t>
      </w:r>
    </w:p>
    <w:p>
      <w:pPr>
        <w:spacing w:line="500" w:lineRule="exact"/>
        <w:rPr>
          <w:b/>
          <w:sz w:val="24"/>
          <w:szCs w:val="24"/>
        </w:rPr>
      </w:pPr>
      <w:r>
        <w:rPr>
          <w:b/>
          <w:sz w:val="24"/>
          <w:szCs w:val="24"/>
        </w:rPr>
        <w:t xml:space="preserve">七、 签订合同 </w:t>
      </w:r>
    </w:p>
    <w:p>
      <w:pPr>
        <w:pStyle w:val="39"/>
        <w:spacing w:line="500" w:lineRule="exact"/>
        <w:ind w:firstLine="420"/>
        <w:textAlignment w:val="center"/>
        <w:rPr>
          <w:rFonts w:ascii="Times New Roman" w:hAnsi="Times New Roman"/>
          <w:b/>
          <w:szCs w:val="24"/>
        </w:rPr>
      </w:pPr>
      <w:r>
        <w:rPr>
          <w:rFonts w:ascii="Times New Roman" w:hAnsi="Times New Roman"/>
          <w:b/>
          <w:szCs w:val="24"/>
        </w:rPr>
        <w:t>1、中标人须按《中标通知书》指定的时间、地点按照招标文件和投标文件确定的事项</w:t>
      </w:r>
      <w:r>
        <w:rPr>
          <w:rFonts w:hint="eastAsia" w:ascii="Times New Roman" w:hAnsi="Times New Roman"/>
          <w:b/>
          <w:szCs w:val="24"/>
        </w:rPr>
        <w:t>由</w:t>
      </w:r>
      <w:r>
        <w:rPr>
          <w:rFonts w:hint="eastAsia" w:ascii="Times New Roman" w:hAnsi="Times New Roman"/>
          <w:b/>
          <w:szCs w:val="24"/>
          <w:lang w:eastAsia="zh-CN"/>
        </w:rPr>
        <w:t>招标</w:t>
      </w:r>
      <w:r>
        <w:rPr>
          <w:rFonts w:hint="eastAsia" w:ascii="Times New Roman" w:hAnsi="Times New Roman"/>
          <w:b/>
          <w:szCs w:val="24"/>
        </w:rPr>
        <w:t>代理机构协助</w:t>
      </w:r>
      <w:r>
        <w:rPr>
          <w:rFonts w:ascii="Times New Roman" w:hAnsi="Times New Roman"/>
          <w:b/>
          <w:szCs w:val="24"/>
        </w:rPr>
        <w:t>与</w:t>
      </w:r>
      <w:r>
        <w:rPr>
          <w:rFonts w:hint="eastAsia" w:ascii="Times New Roman" w:hAnsi="Times New Roman"/>
          <w:b/>
          <w:szCs w:val="24"/>
          <w:lang w:eastAsia="zh-CN"/>
        </w:rPr>
        <w:t>招标</w:t>
      </w:r>
      <w:r>
        <w:rPr>
          <w:rFonts w:ascii="Times New Roman" w:hAnsi="Times New Roman"/>
          <w:b/>
          <w:szCs w:val="24"/>
        </w:rPr>
        <w:t>人签订政府采购合同，签订政府采购合同的时间在《中标通知书》发出之日</w:t>
      </w:r>
      <w:r>
        <w:rPr>
          <w:rFonts w:hint="eastAsia" w:ascii="Times New Roman" w:hAnsi="Times New Roman"/>
          <w:b/>
          <w:szCs w:val="24"/>
        </w:rPr>
        <w:t>10个工作</w:t>
      </w:r>
      <w:r>
        <w:rPr>
          <w:rFonts w:ascii="Times New Roman" w:hAnsi="Times New Roman"/>
          <w:b/>
          <w:szCs w:val="24"/>
        </w:rPr>
        <w:t>日内。</w:t>
      </w:r>
    </w:p>
    <w:p>
      <w:pPr>
        <w:pStyle w:val="39"/>
        <w:spacing w:line="500" w:lineRule="exact"/>
        <w:ind w:firstLine="420"/>
        <w:textAlignment w:val="center"/>
        <w:rPr>
          <w:rFonts w:ascii="Times New Roman" w:hAnsi="Times New Roman"/>
          <w:szCs w:val="24"/>
        </w:rPr>
      </w:pPr>
      <w:r>
        <w:rPr>
          <w:rFonts w:ascii="Times New Roman" w:hAnsi="Times New Roman"/>
          <w:szCs w:val="24"/>
        </w:rPr>
        <w:t>2、招标文件及其补充文件、中标人的投标文件及其澄清文件等，均为合同附件。</w:t>
      </w:r>
    </w:p>
    <w:p>
      <w:pPr>
        <w:pStyle w:val="39"/>
        <w:spacing w:line="500" w:lineRule="exact"/>
        <w:ind w:firstLine="420"/>
        <w:textAlignment w:val="center"/>
        <w:rPr>
          <w:rFonts w:ascii="Times New Roman" w:hAnsi="Times New Roman"/>
          <w:szCs w:val="24"/>
        </w:rPr>
      </w:pPr>
      <w:r>
        <w:rPr>
          <w:rFonts w:ascii="Times New Roman" w:hAnsi="Times New Roman"/>
          <w:szCs w:val="24"/>
        </w:rPr>
        <w:t>3、如中标人拒签合同，则按违约处理。</w:t>
      </w:r>
      <w:r>
        <w:rPr>
          <w:rFonts w:hint="eastAsia" w:ascii="Times New Roman" w:hAnsi="Times New Roman"/>
          <w:szCs w:val="24"/>
          <w:lang w:eastAsia="zh-CN"/>
        </w:rPr>
        <w:t>招标</w:t>
      </w:r>
      <w:r>
        <w:rPr>
          <w:rFonts w:ascii="Times New Roman" w:hAnsi="Times New Roman"/>
          <w:szCs w:val="24"/>
        </w:rPr>
        <w:t>人可依照《中华人民共和国政府采购法》、《中华人民共和国政府采购法实施条例》规定追究法律责任。</w:t>
      </w:r>
    </w:p>
    <w:p>
      <w:pPr>
        <w:pStyle w:val="39"/>
        <w:spacing w:line="500" w:lineRule="exact"/>
        <w:ind w:firstLine="420"/>
        <w:textAlignment w:val="center"/>
        <w:rPr>
          <w:rFonts w:ascii="Times New Roman" w:hAnsi="Times New Roman"/>
          <w:szCs w:val="24"/>
        </w:rPr>
      </w:pPr>
      <w:r>
        <w:rPr>
          <w:rFonts w:ascii="Times New Roman" w:hAnsi="Times New Roman"/>
          <w:szCs w:val="24"/>
        </w:rPr>
        <w:t>4、政府采购代理机构应当督促</w:t>
      </w:r>
      <w:r>
        <w:rPr>
          <w:rFonts w:hint="eastAsia" w:ascii="Times New Roman" w:hAnsi="Times New Roman"/>
          <w:szCs w:val="24"/>
          <w:lang w:eastAsia="zh-CN"/>
        </w:rPr>
        <w:t>招标</w:t>
      </w:r>
      <w:r>
        <w:rPr>
          <w:rFonts w:ascii="Times New Roman" w:hAnsi="Times New Roman"/>
          <w:szCs w:val="24"/>
        </w:rPr>
        <w:t>人和中标人及时签订合同，发生拖延或者拒绝签订合同、中止或者终止合同以及其他合同签订、履行异常情况时，应当了解情况，积极主动协调，协调无效时，应及时报同级财政部门，财政部门依法对责任方作出处理或处罚。</w:t>
      </w:r>
    </w:p>
    <w:p>
      <w:pPr>
        <w:pStyle w:val="39"/>
        <w:spacing w:line="500" w:lineRule="exact"/>
        <w:textAlignment w:val="center"/>
        <w:rPr>
          <w:rFonts w:ascii="Times New Roman" w:hAnsi="Times New Roman"/>
          <w:b/>
          <w:bCs/>
          <w:szCs w:val="24"/>
        </w:rPr>
      </w:pPr>
      <w:r>
        <w:rPr>
          <w:rFonts w:ascii="Times New Roman" w:hAnsi="Times New Roman"/>
          <w:b/>
          <w:bCs/>
          <w:szCs w:val="24"/>
        </w:rPr>
        <w:t>八、</w:t>
      </w:r>
      <w:r>
        <w:rPr>
          <w:rFonts w:hint="eastAsia" w:ascii="Times New Roman" w:hAnsi="Times New Roman"/>
          <w:b/>
          <w:bCs/>
          <w:szCs w:val="24"/>
        </w:rPr>
        <w:t>质疑投诉</w:t>
      </w:r>
      <w:r>
        <w:rPr>
          <w:rFonts w:ascii="Times New Roman" w:hAnsi="Times New Roman"/>
          <w:b/>
          <w:bCs/>
          <w:szCs w:val="24"/>
        </w:rPr>
        <w:t>：</w:t>
      </w:r>
    </w:p>
    <w:p>
      <w:pPr>
        <w:pStyle w:val="39"/>
        <w:spacing w:line="500" w:lineRule="exact"/>
        <w:ind w:firstLine="480"/>
        <w:textAlignment w:val="center"/>
        <w:rPr>
          <w:rFonts w:hAnsi="宋体"/>
          <w:bCs/>
          <w:szCs w:val="21"/>
        </w:rPr>
      </w:pPr>
      <w:r>
        <w:rPr>
          <w:rFonts w:hint="eastAsia" w:hAnsi="宋体"/>
          <w:bCs/>
          <w:szCs w:val="21"/>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pPr>
        <w:pStyle w:val="39"/>
        <w:spacing w:line="500" w:lineRule="exact"/>
        <w:ind w:firstLine="480"/>
        <w:textAlignment w:val="center"/>
        <w:rPr>
          <w:rFonts w:hAnsi="宋体"/>
          <w:bCs/>
          <w:szCs w:val="21"/>
        </w:rPr>
      </w:pPr>
      <w:r>
        <w:rPr>
          <w:rFonts w:hint="eastAsia" w:hAnsi="宋体"/>
          <w:bCs/>
          <w:szCs w:val="21"/>
        </w:rPr>
        <w:t>代理人提出质疑和投诉，应当提交投标人签署的授权委托书。</w:t>
      </w:r>
    </w:p>
    <w:p>
      <w:pPr>
        <w:pStyle w:val="39"/>
        <w:spacing w:line="500" w:lineRule="exact"/>
        <w:ind w:firstLine="480"/>
        <w:textAlignment w:val="center"/>
        <w:rPr>
          <w:rFonts w:hAnsi="宋体"/>
          <w:bCs/>
          <w:szCs w:val="21"/>
        </w:rPr>
      </w:pPr>
      <w:r>
        <w:rPr>
          <w:rFonts w:hint="eastAsia" w:hAnsi="宋体"/>
          <w:bCs/>
          <w:szCs w:val="21"/>
        </w:rPr>
        <w:t>以联合体形式参加政府采购活动的，其投诉应当由组成联合体的所有投标人共同提出。</w:t>
      </w:r>
    </w:p>
    <w:p>
      <w:pPr>
        <w:pStyle w:val="39"/>
        <w:spacing w:line="500" w:lineRule="exact"/>
        <w:ind w:firstLine="480"/>
        <w:textAlignment w:val="center"/>
        <w:rPr>
          <w:rFonts w:hAnsi="宋体"/>
          <w:bCs/>
          <w:szCs w:val="21"/>
        </w:rPr>
      </w:pPr>
      <w:r>
        <w:rPr>
          <w:rFonts w:hint="eastAsia" w:hAnsi="宋体"/>
          <w:bCs/>
          <w:szCs w:val="21"/>
        </w:rPr>
        <w:t>投标人认为</w:t>
      </w:r>
      <w:r>
        <w:rPr>
          <w:rFonts w:hint="eastAsia" w:hAnsi="宋体"/>
          <w:bCs/>
          <w:szCs w:val="21"/>
          <w:lang w:eastAsia="zh-CN"/>
        </w:rPr>
        <w:t>招标</w:t>
      </w:r>
      <w:r>
        <w:rPr>
          <w:rFonts w:hint="eastAsia" w:hAnsi="宋体"/>
          <w:bCs/>
          <w:szCs w:val="21"/>
        </w:rPr>
        <w:t>文件、</w:t>
      </w:r>
      <w:r>
        <w:rPr>
          <w:rFonts w:hint="eastAsia" w:hAnsi="宋体"/>
          <w:bCs/>
          <w:szCs w:val="21"/>
          <w:lang w:eastAsia="zh-CN"/>
        </w:rPr>
        <w:t>招标</w:t>
      </w:r>
      <w:r>
        <w:rPr>
          <w:rFonts w:hint="eastAsia" w:hAnsi="宋体"/>
          <w:bCs/>
          <w:szCs w:val="21"/>
        </w:rPr>
        <w:t>过程、中标或者成交结果使自己的权益受到损害的，可以在知道或者应知其权益受到损害之日起7个工作日内，以书面形式向</w:t>
      </w:r>
      <w:r>
        <w:rPr>
          <w:rFonts w:hint="eastAsia" w:hAnsi="宋体"/>
          <w:bCs/>
          <w:szCs w:val="21"/>
          <w:lang w:eastAsia="zh-CN"/>
        </w:rPr>
        <w:t>招标</w:t>
      </w:r>
      <w:r>
        <w:rPr>
          <w:rFonts w:hint="eastAsia" w:hAnsi="宋体"/>
          <w:bCs/>
          <w:szCs w:val="21"/>
        </w:rPr>
        <w:t>人、</w:t>
      </w:r>
      <w:r>
        <w:rPr>
          <w:rFonts w:hint="eastAsia" w:hAnsi="宋体"/>
          <w:bCs/>
          <w:szCs w:val="21"/>
          <w:lang w:eastAsia="zh-CN"/>
        </w:rPr>
        <w:t>招标</w:t>
      </w:r>
      <w:r>
        <w:rPr>
          <w:rFonts w:hint="eastAsia" w:hAnsi="宋体"/>
          <w:bCs/>
          <w:szCs w:val="21"/>
        </w:rPr>
        <w:t>代理机构提出质疑。投标人应当在法定质疑期内一次性提出针对同一</w:t>
      </w:r>
      <w:r>
        <w:rPr>
          <w:rFonts w:hint="eastAsia" w:hAnsi="宋体"/>
          <w:bCs/>
          <w:szCs w:val="21"/>
          <w:lang w:eastAsia="zh-CN"/>
        </w:rPr>
        <w:t>招标</w:t>
      </w:r>
      <w:r>
        <w:rPr>
          <w:rFonts w:hint="eastAsia" w:hAnsi="宋体"/>
          <w:bCs/>
          <w:szCs w:val="21"/>
        </w:rPr>
        <w:t>程序环节的质疑。</w:t>
      </w:r>
      <w:r>
        <w:rPr>
          <w:rFonts w:hint="eastAsia"/>
          <w:szCs w:val="21"/>
        </w:rPr>
        <w:t>质疑</w:t>
      </w:r>
      <w:r>
        <w:rPr>
          <w:rFonts w:hint="eastAsia" w:hAnsi="宋体"/>
          <w:bCs/>
          <w:szCs w:val="21"/>
        </w:rPr>
        <w:t>投标人</w:t>
      </w:r>
      <w:r>
        <w:rPr>
          <w:rFonts w:hint="eastAsia"/>
          <w:szCs w:val="21"/>
        </w:rPr>
        <w:t>对</w:t>
      </w:r>
      <w:r>
        <w:rPr>
          <w:rFonts w:hint="eastAsia"/>
          <w:szCs w:val="21"/>
          <w:lang w:eastAsia="zh-CN"/>
        </w:rPr>
        <w:t>招标</w:t>
      </w:r>
      <w:r>
        <w:rPr>
          <w:rFonts w:hint="eastAsia"/>
          <w:szCs w:val="21"/>
        </w:rPr>
        <w:t>人、</w:t>
      </w:r>
      <w:r>
        <w:rPr>
          <w:rFonts w:hint="eastAsia"/>
          <w:szCs w:val="21"/>
          <w:lang w:eastAsia="zh-CN"/>
        </w:rPr>
        <w:t>招标</w:t>
      </w:r>
      <w:r>
        <w:rPr>
          <w:rFonts w:hint="eastAsia"/>
          <w:szCs w:val="21"/>
        </w:rPr>
        <w:t>代理机构的答复不满意，或者</w:t>
      </w:r>
      <w:r>
        <w:rPr>
          <w:rFonts w:hint="eastAsia"/>
          <w:szCs w:val="21"/>
          <w:lang w:eastAsia="zh-CN"/>
        </w:rPr>
        <w:t>招标</w:t>
      </w:r>
      <w:r>
        <w:rPr>
          <w:rFonts w:hint="eastAsia"/>
          <w:szCs w:val="21"/>
        </w:rPr>
        <w:t>人、</w:t>
      </w:r>
      <w:r>
        <w:rPr>
          <w:rFonts w:hint="eastAsia"/>
          <w:szCs w:val="21"/>
          <w:lang w:eastAsia="zh-CN"/>
        </w:rPr>
        <w:t>招标</w:t>
      </w:r>
      <w:r>
        <w:rPr>
          <w:rFonts w:hint="eastAsia"/>
          <w:szCs w:val="21"/>
        </w:rPr>
        <w:t>代理机构未在规定时间内作出答复的，可以在答复期满后15个工作日内向规定的财政部门提起投诉。</w:t>
      </w:r>
    </w:p>
    <w:p>
      <w:pPr>
        <w:pStyle w:val="39"/>
        <w:spacing w:line="500" w:lineRule="exact"/>
        <w:ind w:firstLine="480"/>
        <w:textAlignment w:val="center"/>
        <w:rPr>
          <w:rFonts w:hAnsi="宋体"/>
          <w:bCs/>
          <w:szCs w:val="21"/>
        </w:rPr>
      </w:pPr>
      <w:r>
        <w:rPr>
          <w:rFonts w:hint="eastAsia"/>
          <w:szCs w:val="21"/>
        </w:rPr>
        <w:t>质疑的提出和答复、投诉的提起和处理应严格按照</w:t>
      </w:r>
      <w:r>
        <w:rPr>
          <w:rFonts w:hAnsi="宋体"/>
          <w:b/>
          <w:bCs/>
          <w:szCs w:val="21"/>
        </w:rPr>
        <w:t>中华人民共和国财政部令</w:t>
      </w:r>
      <w:r>
        <w:rPr>
          <w:rFonts w:hint="eastAsia"/>
          <w:b/>
          <w:szCs w:val="21"/>
        </w:rPr>
        <w:t>【</w:t>
      </w:r>
      <w:r>
        <w:rPr>
          <w:rFonts w:hAnsi="宋体"/>
          <w:b/>
          <w:szCs w:val="21"/>
        </w:rPr>
        <w:t>第</w:t>
      </w:r>
      <w:r>
        <w:rPr>
          <w:rFonts w:hint="eastAsia"/>
          <w:b/>
          <w:szCs w:val="21"/>
        </w:rPr>
        <w:t>94</w:t>
      </w:r>
      <w:r>
        <w:rPr>
          <w:rFonts w:hAnsi="宋体"/>
          <w:b/>
          <w:szCs w:val="21"/>
        </w:rPr>
        <w:t>号</w:t>
      </w:r>
      <w:r>
        <w:rPr>
          <w:rFonts w:hint="eastAsia"/>
          <w:b/>
          <w:szCs w:val="21"/>
        </w:rPr>
        <w:t>】《</w:t>
      </w:r>
      <w:r>
        <w:rPr>
          <w:rFonts w:hint="eastAsia" w:hAnsi="宋体"/>
          <w:b/>
          <w:bCs/>
          <w:szCs w:val="21"/>
        </w:rPr>
        <w:t>政府采购质疑和投诉办法</w:t>
      </w:r>
      <w:r>
        <w:rPr>
          <w:rFonts w:hint="eastAsia"/>
          <w:b/>
          <w:szCs w:val="21"/>
        </w:rPr>
        <w:t>》的规定。</w:t>
      </w:r>
    </w:p>
    <w:p>
      <w:pPr>
        <w:pStyle w:val="39"/>
        <w:spacing w:line="500" w:lineRule="exact"/>
        <w:textAlignment w:val="center"/>
        <w:rPr>
          <w:rFonts w:hint="default" w:eastAsia="宋体"/>
          <w:szCs w:val="21"/>
          <w:lang w:val="en-US" w:eastAsia="zh-CN"/>
        </w:rPr>
      </w:pPr>
      <w:r>
        <w:rPr>
          <w:rFonts w:hint="eastAsia"/>
          <w:szCs w:val="21"/>
        </w:rPr>
        <w:t>质疑函收件人：</w:t>
      </w:r>
      <w:r>
        <w:rPr>
          <w:rFonts w:hint="eastAsia"/>
          <w:szCs w:val="21"/>
          <w:lang w:val="en-US" w:eastAsia="zh-CN"/>
        </w:rPr>
        <w:t>唐慧珑</w:t>
      </w:r>
    </w:p>
    <w:p>
      <w:pPr>
        <w:pStyle w:val="39"/>
        <w:spacing w:line="500" w:lineRule="exact"/>
        <w:textAlignment w:val="center"/>
        <w:rPr>
          <w:rFonts w:hint="default" w:eastAsia="宋体"/>
          <w:szCs w:val="21"/>
          <w:lang w:val="en-US" w:eastAsia="zh-CN"/>
        </w:rPr>
      </w:pPr>
      <w:r>
        <w:rPr>
          <w:rFonts w:hint="eastAsia"/>
          <w:szCs w:val="21"/>
        </w:rPr>
        <w:t>联系电话：</w:t>
      </w:r>
      <w:r>
        <w:rPr>
          <w:rFonts w:hint="eastAsia"/>
          <w:szCs w:val="21"/>
          <w:lang w:val="en-US" w:eastAsia="zh-CN"/>
        </w:rPr>
        <w:t>15315770811</w:t>
      </w:r>
    </w:p>
    <w:p>
      <w:pPr>
        <w:pStyle w:val="39"/>
        <w:spacing w:line="500" w:lineRule="exact"/>
        <w:textAlignment w:val="center"/>
        <w:rPr>
          <w:rFonts w:hint="eastAsia" w:ascii="Times New Roman" w:hAnsi="Times New Roman" w:eastAsia="宋体"/>
          <w:szCs w:val="24"/>
          <w:lang w:eastAsia="zh-CN"/>
        </w:rPr>
      </w:pPr>
      <w:r>
        <w:rPr>
          <w:rFonts w:hint="eastAsia"/>
          <w:szCs w:val="21"/>
        </w:rPr>
        <w:t>通讯地址：</w:t>
      </w:r>
      <w:r>
        <w:rPr>
          <w:rFonts w:hint="eastAsia"/>
          <w:szCs w:val="21"/>
          <w:lang w:eastAsia="zh-CN"/>
        </w:rPr>
        <w:t>聊城市华建一街区商业办公楼九栋五楼</w:t>
      </w:r>
    </w:p>
    <w:p>
      <w:pPr>
        <w:pStyle w:val="39"/>
        <w:spacing w:line="500" w:lineRule="exact"/>
        <w:textAlignment w:val="center"/>
        <w:rPr>
          <w:rFonts w:ascii="Times New Roman" w:hAnsi="Times New Roman"/>
          <w:b/>
          <w:bCs/>
          <w:szCs w:val="24"/>
        </w:rPr>
      </w:pPr>
      <w:r>
        <w:rPr>
          <w:rFonts w:hint="eastAsia" w:ascii="Times New Roman" w:hAnsi="Times New Roman"/>
          <w:b/>
          <w:bCs/>
          <w:szCs w:val="24"/>
        </w:rPr>
        <w:t>九</w:t>
      </w:r>
      <w:r>
        <w:rPr>
          <w:rFonts w:ascii="Times New Roman" w:hAnsi="Times New Roman"/>
          <w:b/>
          <w:bCs/>
          <w:szCs w:val="24"/>
        </w:rPr>
        <w:t>、解释权：</w:t>
      </w:r>
    </w:p>
    <w:p>
      <w:pPr>
        <w:pStyle w:val="39"/>
        <w:spacing w:line="500" w:lineRule="exact"/>
        <w:ind w:firstLine="482" w:firstLineChars="200"/>
        <w:textAlignment w:val="center"/>
        <w:rPr>
          <w:rFonts w:ascii="Times New Roman" w:hAnsi="Times New Roman"/>
          <w:szCs w:val="24"/>
        </w:rPr>
      </w:pPr>
      <w:r>
        <w:rPr>
          <w:rFonts w:ascii="Times New Roman" w:hAnsi="Times New Roman"/>
          <w:b/>
          <w:bCs/>
          <w:szCs w:val="24"/>
        </w:rPr>
        <w:t>1、</w:t>
      </w:r>
      <w:r>
        <w:rPr>
          <w:rFonts w:ascii="Times New Roman" w:hAnsi="Times New Roman"/>
          <w:szCs w:val="24"/>
        </w:rPr>
        <w:t>本招标文件的最终解释权为</w:t>
      </w:r>
      <w:r>
        <w:rPr>
          <w:rFonts w:hint="eastAsia" w:ascii="Times New Roman" w:hAnsi="Times New Roman"/>
          <w:szCs w:val="24"/>
          <w:lang w:eastAsia="zh-CN"/>
        </w:rPr>
        <w:t>招标</w:t>
      </w:r>
      <w:r>
        <w:rPr>
          <w:rFonts w:ascii="Times New Roman" w:hAnsi="Times New Roman"/>
          <w:szCs w:val="24"/>
        </w:rPr>
        <w:t>人，解释以</w:t>
      </w:r>
      <w:r>
        <w:rPr>
          <w:rFonts w:hint="eastAsia" w:ascii="Times New Roman" w:hAnsi="Times New Roman"/>
          <w:szCs w:val="24"/>
          <w:lang w:eastAsia="zh-CN"/>
        </w:rPr>
        <w:t>招标</w:t>
      </w:r>
      <w:r>
        <w:rPr>
          <w:rFonts w:ascii="Times New Roman" w:hAnsi="Times New Roman"/>
          <w:szCs w:val="24"/>
        </w:rPr>
        <w:t>人的书面解释为准。</w:t>
      </w:r>
    </w:p>
    <w:p>
      <w:pPr>
        <w:pStyle w:val="39"/>
        <w:spacing w:line="500" w:lineRule="exact"/>
        <w:textAlignment w:val="center"/>
        <w:rPr>
          <w:rFonts w:hint="eastAsia" w:eastAsia="宋体"/>
          <w:b/>
          <w:color w:val="auto"/>
          <w:sz w:val="36"/>
          <w:highlight w:val="none"/>
          <w:lang w:val="en-US" w:eastAsia="zh-CN"/>
        </w:rPr>
      </w:pPr>
      <w:r>
        <w:rPr>
          <w:rFonts w:ascii="Times New Roman" w:hAnsi="Times New Roman"/>
          <w:b/>
          <w:bCs/>
          <w:szCs w:val="24"/>
        </w:rPr>
        <w:t>2、</w:t>
      </w:r>
      <w:r>
        <w:rPr>
          <w:rFonts w:ascii="Times New Roman" w:hAnsi="Times New Roman"/>
          <w:szCs w:val="24"/>
        </w:rPr>
        <w:t>招标文件未做须知明示，而又有相关法律、法规规定的，投标人应同时遵守相关法律、法规。</w:t>
      </w:r>
    </w:p>
    <w:p>
      <w:pPr>
        <w:spacing w:line="500" w:lineRule="exact"/>
        <w:jc w:val="center"/>
        <w:outlineLvl w:val="0"/>
        <w:rPr>
          <w:b/>
          <w:color w:val="auto"/>
          <w:sz w:val="36"/>
          <w:highlight w:val="none"/>
        </w:rPr>
      </w:pPr>
    </w:p>
    <w:p>
      <w:pPr>
        <w:rPr>
          <w:color w:val="auto"/>
          <w:highlight w:val="none"/>
        </w:rPr>
      </w:pPr>
    </w:p>
    <w:p>
      <w:pPr>
        <w:rPr>
          <w:b/>
          <w:color w:val="auto"/>
          <w:sz w:val="36"/>
          <w:highlight w:val="none"/>
        </w:rPr>
      </w:pPr>
      <w:r>
        <w:rPr>
          <w:b/>
          <w:color w:val="auto"/>
          <w:sz w:val="36"/>
          <w:highlight w:val="none"/>
        </w:rPr>
        <w:br w:type="page"/>
      </w:r>
    </w:p>
    <w:p>
      <w:pPr>
        <w:spacing w:line="500" w:lineRule="exact"/>
        <w:jc w:val="center"/>
        <w:outlineLvl w:val="0"/>
        <w:rPr>
          <w:b/>
          <w:color w:val="auto"/>
          <w:sz w:val="36"/>
          <w:highlight w:val="none"/>
        </w:rPr>
      </w:pPr>
      <w:r>
        <w:rPr>
          <w:b/>
          <w:color w:val="auto"/>
          <w:sz w:val="36"/>
          <w:highlight w:val="none"/>
        </w:rPr>
        <w:t>第五部分  合同格式</w:t>
      </w:r>
      <w:bookmarkEnd w:id="10"/>
    </w:p>
    <w:p>
      <w:pPr>
        <w:spacing w:line="360" w:lineRule="auto"/>
        <w:ind w:left="105" w:leftChars="50" w:firstLine="181" w:firstLineChars="50"/>
        <w:rPr>
          <w:b/>
          <w:color w:val="auto"/>
          <w:sz w:val="36"/>
          <w:highlight w:val="none"/>
        </w:rPr>
      </w:pPr>
    </w:p>
    <w:p>
      <w:pPr>
        <w:keepNext w:val="0"/>
        <w:keepLines w:val="0"/>
        <w:widowControl w:val="0"/>
        <w:suppressLineNumbers w:val="0"/>
        <w:autoSpaceDE w:val="0"/>
        <w:autoSpaceDN w:val="0"/>
        <w:spacing w:before="0" w:beforeAutospacing="0" w:after="0" w:afterAutospacing="0" w:line="360" w:lineRule="auto"/>
        <w:ind w:left="0" w:right="0"/>
        <w:jc w:val="center"/>
        <w:rPr>
          <w:sz w:val="44"/>
          <w:szCs w:val="44"/>
          <w:lang w:eastAsia="zh-CN"/>
        </w:rPr>
      </w:pPr>
      <w:r>
        <w:rPr>
          <w:rFonts w:hint="eastAsia" w:ascii="宋体" w:hAnsi="宋体" w:eastAsia="宋体" w:cs="宋体"/>
          <w:kern w:val="0"/>
          <w:sz w:val="44"/>
          <w:szCs w:val="44"/>
          <w:lang w:val="en-US" w:eastAsia="zh-CN" w:bidi="ar"/>
        </w:rPr>
        <w:t>山东省政府采购合同</w:t>
      </w:r>
    </w:p>
    <w:p>
      <w:pPr>
        <w:keepNext w:val="0"/>
        <w:keepLines w:val="0"/>
        <w:widowControl w:val="0"/>
        <w:suppressLineNumbers w:val="0"/>
        <w:autoSpaceDE w:val="0"/>
        <w:autoSpaceDN w:val="0"/>
        <w:snapToGrid w:val="0"/>
        <w:spacing w:before="0" w:beforeAutospacing="0" w:after="0" w:afterAutospacing="0" w:line="360" w:lineRule="auto"/>
        <w:ind w:left="0" w:right="0"/>
        <w:jc w:val="center"/>
        <w:rPr>
          <w:sz w:val="28"/>
          <w:szCs w:val="28"/>
          <w:lang w:eastAsia="zh-CN"/>
        </w:rPr>
      </w:pPr>
      <w:r>
        <w:rPr>
          <w:rFonts w:hint="eastAsia" w:ascii="宋体" w:hAnsi="宋体" w:eastAsia="宋体" w:cs="宋体"/>
          <w:kern w:val="0"/>
          <w:sz w:val="28"/>
          <w:szCs w:val="28"/>
          <w:lang w:val="en-US" w:eastAsia="zh-CN" w:bidi="ar"/>
        </w:rPr>
        <w:t>（设备类）</w:t>
      </w:r>
    </w:p>
    <w:p>
      <w:pPr>
        <w:keepNext w:val="0"/>
        <w:keepLines w:val="0"/>
        <w:widowControl w:val="0"/>
        <w:suppressLineNumbers w:val="0"/>
        <w:autoSpaceDE w:val="0"/>
        <w:autoSpaceDN w:val="0"/>
        <w:snapToGrid w:val="0"/>
        <w:spacing w:before="0" w:beforeAutospacing="0" w:after="0" w:afterAutospacing="0" w:line="360" w:lineRule="auto"/>
        <w:ind w:left="0" w:right="0"/>
        <w:jc w:val="center"/>
        <w:rPr>
          <w:sz w:val="28"/>
          <w:szCs w:val="28"/>
          <w:lang w:eastAsia="zh-CN"/>
        </w:rPr>
      </w:pPr>
    </w:p>
    <w:p>
      <w:pPr>
        <w:keepNext w:val="0"/>
        <w:keepLines w:val="0"/>
        <w:widowControl w:val="0"/>
        <w:suppressLineNumbers w:val="0"/>
        <w:autoSpaceDE w:val="0"/>
        <w:autoSpaceDN w:val="0"/>
        <w:snapToGrid w:val="0"/>
        <w:spacing w:before="0" w:beforeAutospacing="0" w:after="0" w:afterAutospacing="0" w:line="360" w:lineRule="auto"/>
        <w:ind w:left="0" w:right="0"/>
        <w:jc w:val="center"/>
        <w:rPr>
          <w:sz w:val="28"/>
          <w:szCs w:val="28"/>
          <w:lang w:eastAsia="zh-CN"/>
        </w:rPr>
      </w:pPr>
    </w:p>
    <w:p>
      <w:pPr>
        <w:keepNext w:val="0"/>
        <w:keepLines w:val="0"/>
        <w:widowControl w:val="0"/>
        <w:suppressLineNumbers w:val="0"/>
        <w:autoSpaceDE w:val="0"/>
        <w:autoSpaceDN w:val="0"/>
        <w:spacing w:before="0" w:beforeAutospacing="0" w:after="0" w:afterAutospacing="0" w:line="360" w:lineRule="auto"/>
        <w:ind w:left="0" w:right="0" w:firstLine="2560" w:firstLineChars="800"/>
        <w:jc w:val="left"/>
        <w:rPr>
          <w:sz w:val="32"/>
          <w:szCs w:val="22"/>
          <w:lang w:eastAsia="zh-CN"/>
        </w:rPr>
      </w:pPr>
      <w:r>
        <w:rPr>
          <w:rFonts w:hint="eastAsia" w:ascii="宋体" w:hAnsi="宋体" w:eastAsia="宋体" w:cs="宋体"/>
          <w:kern w:val="0"/>
          <w:sz w:val="32"/>
          <w:szCs w:val="22"/>
          <w:lang w:val="en-US" w:eastAsia="zh-CN" w:bidi="ar"/>
        </w:rPr>
        <w:t>项目名称:</w:t>
      </w:r>
      <w:r>
        <w:rPr>
          <w:rFonts w:hint="eastAsia" w:ascii="宋体" w:hAnsi="宋体" w:eastAsia="宋体" w:cs="宋体"/>
          <w:kern w:val="0"/>
          <w:sz w:val="32"/>
          <w:szCs w:val="22"/>
          <w:u w:val="single"/>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firstLine="2560" w:firstLineChars="800"/>
        <w:jc w:val="left"/>
        <w:rPr>
          <w:sz w:val="32"/>
          <w:szCs w:val="22"/>
          <w:u w:val="single"/>
          <w:lang w:eastAsia="zh-CN"/>
        </w:rPr>
      </w:pPr>
      <w:r>
        <w:rPr>
          <w:rFonts w:hint="eastAsia" w:ascii="宋体" w:hAnsi="宋体" w:eastAsia="宋体" w:cs="宋体"/>
          <w:kern w:val="0"/>
          <w:sz w:val="32"/>
          <w:szCs w:val="22"/>
          <w:lang w:val="en-US" w:eastAsia="zh-CN" w:bidi="ar"/>
        </w:rPr>
        <w:t>合同编号:</w:t>
      </w:r>
      <w:r>
        <w:rPr>
          <w:rFonts w:hint="eastAsia" w:ascii="宋体" w:hAnsi="宋体" w:eastAsia="宋体" w:cs="宋体"/>
          <w:kern w:val="0"/>
          <w:sz w:val="32"/>
          <w:szCs w:val="22"/>
          <w:u w:val="single"/>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firstLine="2560" w:firstLineChars="800"/>
        <w:jc w:val="left"/>
        <w:rPr>
          <w:b/>
          <w:bCs w:val="0"/>
          <w:sz w:val="32"/>
          <w:szCs w:val="22"/>
          <w:u w:val="single"/>
          <w:lang w:eastAsia="zh-CN"/>
        </w:rPr>
      </w:pPr>
      <w:r>
        <w:rPr>
          <w:rFonts w:hint="eastAsia" w:ascii="宋体" w:hAnsi="宋体" w:eastAsia="宋体" w:cs="宋体"/>
          <w:kern w:val="0"/>
          <w:sz w:val="32"/>
          <w:szCs w:val="22"/>
          <w:lang w:val="en-US" w:eastAsia="zh-CN" w:bidi="ar"/>
        </w:rPr>
        <w:t>计划编号：</w:t>
      </w:r>
      <w:r>
        <w:rPr>
          <w:rFonts w:hint="eastAsia" w:ascii="宋体" w:hAnsi="宋体" w:eastAsia="宋体" w:cs="宋体"/>
          <w:bCs/>
          <w:kern w:val="0"/>
          <w:sz w:val="32"/>
          <w:szCs w:val="22"/>
          <w:u w:val="single"/>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jc w:val="center"/>
        <w:rPr>
          <w:b/>
          <w:bCs w:val="0"/>
          <w:sz w:val="24"/>
          <w:szCs w:val="22"/>
          <w:lang w:eastAsia="zh-CN"/>
        </w:rPr>
      </w:pPr>
    </w:p>
    <w:p>
      <w:pPr>
        <w:keepNext w:val="0"/>
        <w:keepLines w:val="0"/>
        <w:widowControl w:val="0"/>
        <w:suppressLineNumbers w:val="0"/>
        <w:autoSpaceDE w:val="0"/>
        <w:autoSpaceDN w:val="0"/>
        <w:spacing w:before="0" w:beforeAutospacing="0" w:after="0" w:afterAutospacing="0" w:line="360" w:lineRule="auto"/>
        <w:ind w:left="0" w:right="0"/>
        <w:jc w:val="center"/>
        <w:rPr>
          <w:b/>
          <w:bCs w:val="0"/>
          <w:sz w:val="24"/>
          <w:szCs w:val="22"/>
          <w:lang w:eastAsia="zh-CN"/>
        </w:rPr>
      </w:pPr>
    </w:p>
    <w:p>
      <w:pPr>
        <w:keepNext w:val="0"/>
        <w:keepLines w:val="0"/>
        <w:widowControl w:val="0"/>
        <w:suppressLineNumbers w:val="0"/>
        <w:autoSpaceDE w:val="0"/>
        <w:autoSpaceDN w:val="0"/>
        <w:spacing w:before="0" w:beforeAutospacing="0" w:after="0" w:afterAutospacing="0" w:line="360" w:lineRule="auto"/>
        <w:ind w:left="0" w:right="0"/>
        <w:jc w:val="center"/>
        <w:rPr>
          <w:b/>
          <w:bCs w:val="0"/>
          <w:sz w:val="24"/>
          <w:szCs w:val="22"/>
          <w:lang w:eastAsia="zh-CN"/>
        </w:rPr>
      </w:pPr>
    </w:p>
    <w:p>
      <w:pPr>
        <w:keepNext w:val="0"/>
        <w:keepLines w:val="0"/>
        <w:widowControl w:val="0"/>
        <w:suppressLineNumbers w:val="0"/>
        <w:autoSpaceDE w:val="0"/>
        <w:autoSpaceDN w:val="0"/>
        <w:spacing w:before="0" w:beforeAutospacing="0" w:after="0" w:afterAutospacing="0" w:line="360" w:lineRule="auto"/>
        <w:ind w:left="0" w:right="0"/>
        <w:jc w:val="center"/>
        <w:rPr>
          <w:b/>
          <w:bCs w:val="0"/>
          <w:sz w:val="24"/>
          <w:szCs w:val="22"/>
          <w:lang w:eastAsia="zh-CN"/>
        </w:rPr>
      </w:pPr>
    </w:p>
    <w:p>
      <w:pPr>
        <w:keepNext w:val="0"/>
        <w:keepLines w:val="0"/>
        <w:widowControl w:val="0"/>
        <w:suppressLineNumbers w:val="0"/>
        <w:autoSpaceDE w:val="0"/>
        <w:autoSpaceDN w:val="0"/>
        <w:spacing w:before="0" w:beforeAutospacing="0" w:after="0" w:afterAutospacing="0" w:line="360" w:lineRule="auto"/>
        <w:ind w:left="0" w:right="0"/>
        <w:jc w:val="center"/>
        <w:rPr>
          <w:b/>
          <w:bCs w:val="0"/>
          <w:sz w:val="24"/>
          <w:szCs w:val="22"/>
          <w:lang w:eastAsia="zh-CN"/>
        </w:rPr>
      </w:pPr>
    </w:p>
    <w:p>
      <w:pPr>
        <w:keepNext w:val="0"/>
        <w:keepLines w:val="0"/>
        <w:widowControl w:val="0"/>
        <w:suppressLineNumbers w:val="0"/>
        <w:autoSpaceDE w:val="0"/>
        <w:autoSpaceDN w:val="0"/>
        <w:spacing w:before="0" w:beforeAutospacing="0" w:after="0" w:afterAutospacing="0" w:line="360" w:lineRule="auto"/>
        <w:ind w:left="0" w:right="0"/>
        <w:jc w:val="center"/>
        <w:rPr>
          <w:b/>
          <w:bCs w:val="0"/>
          <w:sz w:val="24"/>
          <w:szCs w:val="22"/>
          <w:lang w:eastAsia="zh-CN"/>
        </w:rPr>
      </w:pPr>
    </w:p>
    <w:p>
      <w:pPr>
        <w:keepNext w:val="0"/>
        <w:keepLines w:val="0"/>
        <w:widowControl w:val="0"/>
        <w:suppressLineNumbers w:val="0"/>
        <w:autoSpaceDE w:val="0"/>
        <w:autoSpaceDN w:val="0"/>
        <w:spacing w:before="0" w:beforeAutospacing="0" w:after="0" w:afterAutospacing="0" w:line="360" w:lineRule="auto"/>
        <w:ind w:left="0" w:right="0"/>
        <w:jc w:val="center"/>
        <w:rPr>
          <w:b/>
          <w:bCs w:val="0"/>
          <w:sz w:val="24"/>
          <w:szCs w:val="22"/>
          <w:lang w:eastAsia="zh-CN"/>
        </w:rPr>
      </w:pPr>
    </w:p>
    <w:p>
      <w:pPr>
        <w:keepNext w:val="0"/>
        <w:keepLines w:val="0"/>
        <w:widowControl w:val="0"/>
        <w:suppressLineNumbers w:val="0"/>
        <w:autoSpaceDE w:val="0"/>
        <w:autoSpaceDN w:val="0"/>
        <w:spacing w:before="0" w:beforeAutospacing="0" w:after="0" w:afterAutospacing="0" w:line="360" w:lineRule="auto"/>
        <w:ind w:left="0" w:right="0" w:firstLine="1968" w:firstLineChars="700"/>
        <w:jc w:val="left"/>
        <w:rPr>
          <w:b/>
          <w:bCs w:val="0"/>
          <w:sz w:val="28"/>
          <w:szCs w:val="22"/>
          <w:lang w:eastAsia="zh-CN"/>
        </w:rPr>
      </w:pPr>
      <w:r>
        <w:rPr>
          <w:rFonts w:hint="eastAsia" w:ascii="宋体" w:hAnsi="宋体" w:cs="宋体"/>
          <w:b/>
          <w:bCs w:val="0"/>
          <w:kern w:val="0"/>
          <w:sz w:val="28"/>
          <w:szCs w:val="22"/>
          <w:lang w:val="en-US" w:eastAsia="zh-CN" w:bidi="ar"/>
        </w:rPr>
        <w:t>招 标 人</w:t>
      </w:r>
      <w:r>
        <w:rPr>
          <w:rFonts w:hint="eastAsia" w:ascii="宋体" w:hAnsi="宋体" w:eastAsia="宋体" w:cs="宋体"/>
          <w:b/>
          <w:bCs w:val="0"/>
          <w:kern w:val="0"/>
          <w:sz w:val="28"/>
          <w:szCs w:val="22"/>
          <w:lang w:val="en-US" w:eastAsia="zh-CN" w:bidi="ar"/>
        </w:rPr>
        <w:t>:</w:t>
      </w:r>
      <w:r>
        <w:rPr>
          <w:rFonts w:hint="eastAsia" w:ascii="宋体" w:hAnsi="宋体" w:eastAsia="宋体" w:cs="宋体"/>
          <w:b/>
          <w:bCs w:val="0"/>
          <w:kern w:val="0"/>
          <w:sz w:val="28"/>
          <w:szCs w:val="22"/>
          <w:u w:val="single"/>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firstLine="1968" w:firstLineChars="700"/>
        <w:jc w:val="left"/>
        <w:rPr>
          <w:b/>
          <w:bCs w:val="0"/>
          <w:sz w:val="28"/>
          <w:szCs w:val="22"/>
          <w:u w:val="single"/>
          <w:lang w:eastAsia="zh-CN"/>
        </w:rPr>
      </w:pPr>
      <w:r>
        <w:rPr>
          <w:rFonts w:hint="eastAsia" w:ascii="宋体" w:hAnsi="宋体" w:cs="宋体"/>
          <w:b/>
          <w:bCs w:val="0"/>
          <w:kern w:val="0"/>
          <w:sz w:val="28"/>
          <w:szCs w:val="22"/>
          <w:lang w:val="en-US" w:eastAsia="zh-CN" w:bidi="ar"/>
        </w:rPr>
        <w:t>投 标 人</w:t>
      </w:r>
      <w:r>
        <w:rPr>
          <w:rFonts w:hint="eastAsia" w:ascii="宋体" w:hAnsi="宋体" w:eastAsia="宋体" w:cs="宋体"/>
          <w:b/>
          <w:bCs w:val="0"/>
          <w:kern w:val="0"/>
          <w:sz w:val="28"/>
          <w:szCs w:val="22"/>
          <w:lang w:val="en-US" w:eastAsia="zh-CN" w:bidi="ar"/>
        </w:rPr>
        <w:t>：</w:t>
      </w:r>
      <w:r>
        <w:rPr>
          <w:rFonts w:hint="eastAsia" w:ascii="宋体" w:hAnsi="宋体" w:eastAsia="宋体" w:cs="宋体"/>
          <w:b/>
          <w:bCs w:val="0"/>
          <w:kern w:val="0"/>
          <w:sz w:val="28"/>
          <w:szCs w:val="22"/>
          <w:u w:val="single"/>
          <w:lang w:val="en-US" w:eastAsia="zh-CN" w:bidi="ar"/>
        </w:rPr>
        <w:t xml:space="preserve">                              </w:t>
      </w:r>
    </w:p>
    <w:p>
      <w:pPr>
        <w:keepNext w:val="0"/>
        <w:keepLines w:val="0"/>
        <w:widowControl w:val="0"/>
        <w:suppressLineNumbers w:val="0"/>
        <w:autoSpaceDE w:val="0"/>
        <w:autoSpaceDN w:val="0"/>
        <w:spacing w:before="0" w:beforeAutospacing="0" w:after="0" w:afterAutospacing="0" w:line="360" w:lineRule="auto"/>
        <w:ind w:left="0" w:right="0" w:firstLine="1968" w:firstLineChars="700"/>
        <w:jc w:val="left"/>
        <w:rPr>
          <w:b/>
          <w:bCs w:val="0"/>
          <w:sz w:val="28"/>
          <w:szCs w:val="22"/>
          <w:u w:val="single"/>
          <w:lang w:eastAsia="zh-CN"/>
        </w:rPr>
      </w:pPr>
      <w:r>
        <w:rPr>
          <w:rFonts w:hint="eastAsia" w:ascii="宋体" w:hAnsi="宋体" w:cs="宋体"/>
          <w:b/>
          <w:bCs w:val="0"/>
          <w:kern w:val="0"/>
          <w:sz w:val="28"/>
          <w:szCs w:val="22"/>
          <w:lang w:val="en-US" w:eastAsia="zh-CN" w:bidi="ar"/>
        </w:rPr>
        <w:t>招标</w:t>
      </w:r>
      <w:r>
        <w:rPr>
          <w:rFonts w:hint="eastAsia" w:ascii="宋体" w:hAnsi="宋体" w:eastAsia="宋体" w:cs="宋体"/>
          <w:b/>
          <w:bCs w:val="0"/>
          <w:kern w:val="0"/>
          <w:sz w:val="28"/>
          <w:szCs w:val="22"/>
          <w:lang w:val="en-US" w:eastAsia="zh-CN" w:bidi="ar"/>
        </w:rPr>
        <w:t>代理机构:</w:t>
      </w:r>
      <w:r>
        <w:rPr>
          <w:rFonts w:hint="eastAsia" w:ascii="宋体" w:hAnsi="宋体" w:eastAsia="宋体" w:cs="宋体"/>
          <w:b/>
          <w:bCs w:val="0"/>
          <w:kern w:val="0"/>
          <w:sz w:val="28"/>
          <w:szCs w:val="22"/>
          <w:u w:val="single"/>
          <w:lang w:val="en-US" w:eastAsia="zh-CN" w:bidi="ar"/>
        </w:rPr>
        <w:t xml:space="preserve">                           </w:t>
      </w:r>
    </w:p>
    <w:p>
      <w:pPr>
        <w:keepNext w:val="0"/>
        <w:keepLines w:val="0"/>
        <w:widowControl w:val="0"/>
        <w:suppressLineNumbers w:val="0"/>
        <w:autoSpaceDE w:val="0"/>
        <w:autoSpaceDN w:val="0"/>
        <w:snapToGrid w:val="0"/>
        <w:spacing w:before="0" w:beforeAutospacing="0" w:after="0" w:afterAutospacing="0" w:line="360" w:lineRule="auto"/>
        <w:ind w:left="0" w:right="0"/>
        <w:jc w:val="center"/>
        <w:rPr>
          <w:sz w:val="30"/>
          <w:szCs w:val="30"/>
          <w:lang w:eastAsia="zh-CN"/>
        </w:rPr>
      </w:pPr>
    </w:p>
    <w:p>
      <w:pPr>
        <w:pStyle w:val="67"/>
        <w:keepNext w:val="0"/>
        <w:keepLines w:val="0"/>
        <w:widowControl w:val="0"/>
        <w:suppressLineNumbers w:val="0"/>
        <w:autoSpaceDE w:val="0"/>
        <w:autoSpaceDN w:val="0"/>
        <w:spacing w:before="0" w:beforeAutospacing="0" w:after="120" w:afterAutospacing="0"/>
        <w:ind w:left="0" w:right="0"/>
        <w:jc w:val="left"/>
        <w:rPr>
          <w:lang w:eastAsia="zh-CN"/>
        </w:rPr>
      </w:pPr>
    </w:p>
    <w:p>
      <w:pPr>
        <w:pStyle w:val="9"/>
        <w:widowControl/>
        <w:tabs>
          <w:tab w:val="left" w:pos="6511"/>
        </w:tabs>
        <w:spacing w:before="62" w:beforeAutospacing="0"/>
        <w:jc w:val="center"/>
        <w:rPr>
          <w:rFonts w:hint="default" w:ascii="Times New Roman" w:hAnsi="楷体" w:eastAsia="Times New Roman" w:cs="楷体"/>
          <w:lang w:eastAsia="zh-CN"/>
        </w:rPr>
      </w:pPr>
      <w:r>
        <w:rPr>
          <w:rFonts w:ascii="宋体" w:hAnsi="宋体"/>
          <w:sz w:val="30"/>
          <w:szCs w:val="30"/>
          <w:lang w:eastAsia="zh-CN"/>
        </w:rPr>
        <w:t>签订时间：</w:t>
      </w:r>
      <w:bookmarkStart w:id="13" w:name="chineseContractDate"/>
      <w:r>
        <w:rPr>
          <w:rFonts w:hint="eastAsia" w:ascii="宋体" w:hAnsi="宋体" w:eastAsia="楷体" w:cs="宋体"/>
          <w:sz w:val="30"/>
          <w:szCs w:val="30"/>
          <w:lang w:val="en-US"/>
        </w:rPr>
        <w:t xml:space="preserve">  </w:t>
      </w:r>
      <w:r>
        <w:rPr>
          <w:rFonts w:ascii="宋体" w:hAnsi="宋体"/>
          <w:sz w:val="30"/>
          <w:szCs w:val="30"/>
          <w:lang w:eastAsia="zh-CN"/>
        </w:rPr>
        <w:t>年</w:t>
      </w:r>
      <w:r>
        <w:rPr>
          <w:rFonts w:hint="eastAsia" w:ascii="宋体" w:hAnsi="宋体" w:eastAsia="楷体" w:cs="宋体"/>
          <w:sz w:val="30"/>
          <w:szCs w:val="30"/>
          <w:lang w:val="en-US"/>
        </w:rPr>
        <w:t xml:space="preserve">   </w:t>
      </w:r>
      <w:r>
        <w:rPr>
          <w:rFonts w:ascii="宋体" w:hAnsi="宋体"/>
          <w:sz w:val="30"/>
          <w:szCs w:val="30"/>
          <w:lang w:eastAsia="zh-CN"/>
        </w:rPr>
        <w:t>月</w:t>
      </w:r>
      <w:r>
        <w:rPr>
          <w:rFonts w:hint="eastAsia" w:ascii="宋体" w:hAnsi="宋体" w:eastAsia="楷体" w:cs="宋体"/>
          <w:sz w:val="30"/>
          <w:szCs w:val="30"/>
          <w:lang w:val="en-US"/>
        </w:rPr>
        <w:t xml:space="preserve">   </w:t>
      </w:r>
      <w:r>
        <w:rPr>
          <w:rFonts w:ascii="宋体" w:hAnsi="宋体"/>
          <w:sz w:val="30"/>
          <w:szCs w:val="30"/>
          <w:lang w:eastAsia="zh-CN"/>
        </w:rPr>
        <w:t>日</w:t>
      </w:r>
      <w:bookmarkEnd w:id="13"/>
    </w:p>
    <w:p>
      <w:pPr>
        <w:keepNext w:val="0"/>
        <w:keepLines w:val="0"/>
        <w:widowControl w:val="0"/>
        <w:suppressLineNumbers w:val="0"/>
        <w:autoSpaceDE w:val="0"/>
        <w:autoSpaceDN w:val="0"/>
        <w:spacing w:before="0" w:beforeAutospacing="0" w:after="0" w:afterAutospacing="0"/>
        <w:ind w:left="0" w:right="0"/>
        <w:jc w:val="left"/>
        <w:rPr>
          <w:sz w:val="24"/>
          <w:szCs w:val="22"/>
          <w:lang w:eastAsia="zh-CN"/>
        </w:rPr>
      </w:pPr>
      <w:r>
        <w:rPr>
          <w:rFonts w:hint="eastAsia" w:ascii="宋体" w:hAnsi="宋体" w:eastAsia="宋体" w:cs="宋体"/>
          <w:sz w:val="24"/>
          <w:szCs w:val="22"/>
          <w:lang w:val="zh-CN" w:eastAsia="zh-CN" w:bidi="zh-CN"/>
        </w:rPr>
        <w:br w:type="page"/>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u w:val="single"/>
          <w:lang w:eastAsia="zh-CN"/>
        </w:rPr>
      </w:pP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人（全称）：</w:t>
      </w:r>
      <w:r>
        <w:rPr>
          <w:rFonts w:hint="eastAsia" w:ascii="宋体" w:hAnsi="宋体" w:eastAsia="宋体" w:cs="宋体"/>
          <w:kern w:val="0"/>
          <w:sz w:val="24"/>
          <w:szCs w:val="22"/>
          <w:u w:val="single"/>
          <w:lang w:val="en-US" w:eastAsia="zh-CN" w:bidi="ar"/>
        </w:rPr>
        <w:t xml:space="preserve">                             </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（全称）：</w:t>
      </w:r>
      <w:r>
        <w:rPr>
          <w:rFonts w:hint="eastAsia" w:ascii="宋体" w:hAnsi="宋体" w:eastAsia="宋体" w:cs="宋体"/>
          <w:kern w:val="0"/>
          <w:sz w:val="24"/>
          <w:szCs w:val="22"/>
          <w:u w:val="single"/>
          <w:lang w:val="en-US" w:eastAsia="zh-CN" w:bidi="ar"/>
        </w:rPr>
        <w:t xml:space="preserve">                             </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宋体"/>
          <w:kern w:val="0"/>
          <w:sz w:val="24"/>
          <w:szCs w:val="22"/>
          <w:lang w:val="en-US" w:eastAsia="zh-CN" w:bidi="ar"/>
        </w:rPr>
        <w:t>根据《中华人民共和国民法典》、《中华人民共和国产品质量法》及其他有关法律法规，双方经过友好协商，本着诚实守信、互惠互利的原则，就</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项目</w:t>
      </w:r>
      <w:r>
        <w:rPr>
          <w:rFonts w:hint="eastAsia" w:ascii="宋体" w:hAnsi="宋体" w:eastAsia="宋体" w:cs="宋体"/>
          <w:kern w:val="0"/>
          <w:sz w:val="24"/>
          <w:szCs w:val="22"/>
          <w:u w:val="single"/>
          <w:lang w:val="en-US" w:eastAsia="zh-CN" w:bidi="ar"/>
        </w:rPr>
        <w:t xml:space="preserve">                        </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与供应事宜签订本合同条款，</w:t>
      </w:r>
      <w:r>
        <w:rPr>
          <w:rFonts w:hint="eastAsia" w:ascii="宋体" w:hAnsi="宋体" w:eastAsia="宋体" w:cs="仿宋_GB2312"/>
          <w:kern w:val="0"/>
          <w:sz w:val="24"/>
          <w:szCs w:val="22"/>
          <w:lang w:val="en-US" w:eastAsia="zh-CN" w:bidi="ar"/>
        </w:rPr>
        <w:t>共同达成如下协议：</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一、项目概况</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1.项目名称：</w:t>
      </w:r>
      <w:r>
        <w:rPr>
          <w:rFonts w:hint="eastAsia" w:ascii="宋体" w:hAnsi="宋体" w:eastAsia="宋体" w:cs="仿宋_GB2312"/>
          <w:kern w:val="0"/>
          <w:sz w:val="24"/>
          <w:szCs w:val="22"/>
          <w:u w:val="single"/>
          <w:lang w:val="en-US" w:eastAsia="zh-CN" w:bidi="ar"/>
        </w:rPr>
        <w:t xml:space="preserve">                            </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u w:val="single"/>
          <w:lang w:eastAsia="zh-CN"/>
        </w:rPr>
      </w:pPr>
      <w:r>
        <w:rPr>
          <w:rFonts w:hint="eastAsia" w:ascii="宋体" w:hAnsi="宋体" w:eastAsia="宋体" w:cs="仿宋_GB2312"/>
          <w:kern w:val="0"/>
          <w:sz w:val="24"/>
          <w:szCs w:val="22"/>
          <w:lang w:val="en-US" w:eastAsia="zh-CN" w:bidi="ar"/>
        </w:rPr>
        <w:t>2.供货地点：</w:t>
      </w:r>
      <w:r>
        <w:rPr>
          <w:rFonts w:hint="eastAsia" w:ascii="宋体" w:hAnsi="宋体" w:eastAsia="宋体" w:cs="仿宋_GB2312"/>
          <w:kern w:val="0"/>
          <w:sz w:val="24"/>
          <w:szCs w:val="22"/>
          <w:u w:val="single"/>
          <w:lang w:val="en-US" w:eastAsia="zh-CN" w:bidi="ar"/>
        </w:rPr>
        <w:t xml:space="preserve">                            </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u w:val="single"/>
          <w:lang w:val="en-US"/>
        </w:rPr>
      </w:pPr>
      <w:r>
        <w:rPr>
          <w:rFonts w:hint="eastAsia" w:ascii="宋体" w:hAnsi="宋体" w:eastAsia="宋体" w:cs="仿宋_GB2312"/>
          <w:kern w:val="0"/>
          <w:sz w:val="24"/>
          <w:szCs w:val="22"/>
          <w:lang w:val="en-US" w:eastAsia="zh-CN" w:bidi="ar"/>
        </w:rPr>
        <w:t>3.供货内容和范围：</w:t>
      </w:r>
      <w:r>
        <w:rPr>
          <w:rFonts w:hint="eastAsia" w:ascii="宋体" w:hAnsi="宋体" w:eastAsia="宋体" w:cs="仿宋_GB2312"/>
          <w:kern w:val="0"/>
          <w:sz w:val="24"/>
          <w:szCs w:val="22"/>
          <w:u w:val="single"/>
          <w:lang w:val="en-US" w:eastAsia="zh-CN" w:bidi="ar"/>
        </w:rPr>
        <w:t xml:space="preserve">                        </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二、供货期</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u w:val="single"/>
          <w:lang w:val="en-US" w:eastAsia="zh-CN" w:bidi="ar"/>
        </w:rPr>
        <w:t xml:space="preserve">              </w:t>
      </w:r>
      <w:r>
        <w:rPr>
          <w:rFonts w:hint="eastAsia" w:ascii="宋体" w:hAnsi="宋体" w:eastAsia="宋体" w:cs="仿宋_GB2312"/>
          <w:kern w:val="0"/>
          <w:sz w:val="24"/>
          <w:szCs w:val="22"/>
          <w:lang w:val="en-US" w:eastAsia="zh-CN" w:bidi="ar"/>
        </w:rPr>
        <w:t xml:space="preserve">。 </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三、质量标准</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u w:val="single"/>
          <w:lang w:val="en-US" w:eastAsia="zh-CN" w:bidi="ar"/>
        </w:rPr>
        <w:t xml:space="preserve">                          </w:t>
      </w:r>
      <w:r>
        <w:rPr>
          <w:rFonts w:hint="eastAsia" w:ascii="宋体" w:hAnsi="宋体" w:eastAsia="宋体" w:cs="仿宋_GB2312"/>
          <w:kern w:val="0"/>
          <w:sz w:val="24"/>
          <w:szCs w:val="22"/>
          <w:lang w:val="en-US" w:eastAsia="zh-CN" w:bidi="ar"/>
        </w:rPr>
        <w:t>。</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四、签约合同价与合同价格形式</w:t>
      </w:r>
      <w:r>
        <w:rPr>
          <w:rFonts w:hint="eastAsia" w:ascii="宋体" w:hAnsi="宋体" w:eastAsia="宋体" w:cs="仿宋_GB2312"/>
          <w:kern w:val="0"/>
          <w:sz w:val="24"/>
          <w:szCs w:val="22"/>
          <w:lang w:val="en-US" w:eastAsia="zh-CN" w:bidi="ar"/>
        </w:rPr>
        <w:tab/>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1.签约合同价为：</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人民币（大写）</w:t>
      </w:r>
      <w:r>
        <w:rPr>
          <w:rFonts w:hint="eastAsia" w:ascii="宋体" w:hAnsi="宋体" w:eastAsia="宋体" w:cs="仿宋_GB2312"/>
          <w:kern w:val="0"/>
          <w:sz w:val="24"/>
          <w:szCs w:val="22"/>
          <w:u w:val="single"/>
          <w:lang w:val="en-US" w:eastAsia="zh-CN" w:bidi="ar"/>
        </w:rPr>
        <w:t xml:space="preserve">                                    </w:t>
      </w:r>
      <w:r>
        <w:rPr>
          <w:rFonts w:hint="eastAsia" w:ascii="宋体" w:hAnsi="宋体" w:eastAsia="宋体" w:cs="仿宋_GB2312"/>
          <w:kern w:val="0"/>
          <w:sz w:val="24"/>
          <w:szCs w:val="22"/>
          <w:lang w:val="en-US" w:eastAsia="zh-CN" w:bidi="ar"/>
        </w:rPr>
        <w:t>；</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2.合同价格形式：</w:t>
      </w:r>
      <w:r>
        <w:rPr>
          <w:rFonts w:hint="eastAsia" w:ascii="宋体" w:hAnsi="宋体" w:eastAsia="宋体" w:cs="仿宋_GB2312"/>
          <w:kern w:val="0"/>
          <w:sz w:val="24"/>
          <w:szCs w:val="22"/>
          <w:u w:val="single"/>
          <w:lang w:val="en-US" w:eastAsia="zh-CN" w:bidi="ar"/>
        </w:rPr>
        <w:t xml:space="preserve">                                  </w:t>
      </w:r>
      <w:r>
        <w:rPr>
          <w:rFonts w:hint="eastAsia" w:ascii="宋体" w:hAnsi="宋体" w:eastAsia="宋体" w:cs="仿宋_GB2312"/>
          <w:kern w:val="0"/>
          <w:sz w:val="24"/>
          <w:szCs w:val="22"/>
          <w:lang w:val="en-US" w:eastAsia="zh-CN" w:bidi="ar"/>
        </w:rPr>
        <w:t>。</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五、项目经理</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cs="仿宋_GB2312"/>
          <w:kern w:val="0"/>
          <w:sz w:val="24"/>
          <w:szCs w:val="22"/>
          <w:lang w:val="en-US" w:eastAsia="zh-CN" w:bidi="ar"/>
        </w:rPr>
        <w:t>投标人</w:t>
      </w:r>
      <w:r>
        <w:rPr>
          <w:rFonts w:hint="eastAsia" w:ascii="宋体" w:hAnsi="宋体" w:eastAsia="宋体" w:cs="仿宋_GB2312"/>
          <w:kern w:val="0"/>
          <w:sz w:val="24"/>
          <w:szCs w:val="22"/>
          <w:lang w:val="en-US" w:eastAsia="zh-CN" w:bidi="ar"/>
        </w:rPr>
        <w:t>项目经理：</w:t>
      </w:r>
      <w:r>
        <w:rPr>
          <w:rFonts w:hint="eastAsia" w:ascii="宋体" w:hAnsi="宋体" w:eastAsia="宋体" w:cs="宋体"/>
          <w:kern w:val="0"/>
          <w:sz w:val="22"/>
          <w:szCs w:val="22"/>
          <w:u w:val="single"/>
          <w:lang w:val="en-US" w:eastAsia="zh-CN" w:bidi="ar"/>
        </w:rPr>
        <w:t xml:space="preserve">          </w:t>
      </w:r>
      <w:r>
        <w:rPr>
          <w:rFonts w:hint="eastAsia" w:ascii="宋体" w:hAnsi="宋体" w:eastAsia="宋体" w:cs="仿宋_GB2312"/>
          <w:kern w:val="0"/>
          <w:sz w:val="24"/>
          <w:szCs w:val="22"/>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六、资金来源</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u w:val="single"/>
          <w:lang w:eastAsia="zh-CN"/>
        </w:rPr>
      </w:pPr>
      <w:r>
        <w:rPr>
          <w:rFonts w:hint="eastAsia" w:ascii="宋体" w:hAnsi="宋体" w:eastAsia="宋体" w:cs="宋体"/>
          <w:kern w:val="0"/>
          <w:sz w:val="24"/>
          <w:szCs w:val="22"/>
          <w:lang w:val="en-US" w:eastAsia="zh-CN" w:bidi="ar"/>
        </w:rPr>
        <w:t>预算内资金</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元；财政专户资金：</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元；自筹资金：</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元。</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七、付款方式</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□一次性支付方式：</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 xml:space="preserve"> </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u w:val="single"/>
          <w:lang w:eastAsia="zh-CN"/>
        </w:rPr>
      </w:pPr>
      <w:r>
        <w:rPr>
          <w:rFonts w:hint="eastAsia" w:ascii="宋体" w:hAnsi="宋体" w:eastAsia="宋体" w:cs="宋体"/>
          <w:kern w:val="0"/>
          <w:sz w:val="24"/>
          <w:szCs w:val="22"/>
          <w:u w:val="single"/>
          <w:lang w:val="en-US" w:eastAsia="zh-CN" w:bidi="ar"/>
        </w:rPr>
        <w:t xml:space="preserve">                                                                      </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u w:val="single"/>
          <w:lang w:eastAsia="zh-CN"/>
        </w:rPr>
      </w:pPr>
      <w:r>
        <w:rPr>
          <w:rFonts w:hint="default" w:ascii="宋体" w:hAnsi="宋体" w:eastAsia="Wingdings 2" w:cs="Wingdings 2"/>
          <w:kern w:val="0"/>
          <w:sz w:val="24"/>
          <w:szCs w:val="22"/>
          <w:lang w:val="en-US" w:eastAsia="zh-CN" w:bidi="ar"/>
        </w:rPr>
        <w:sym w:font="Wingdings 2" w:char="00A3"/>
      </w:r>
      <w:r>
        <w:rPr>
          <w:rFonts w:hint="eastAsia" w:ascii="宋体" w:hAnsi="宋体" w:eastAsia="宋体" w:cs="宋体"/>
          <w:kern w:val="0"/>
          <w:sz w:val="24"/>
          <w:szCs w:val="22"/>
          <w:lang w:val="en-US" w:eastAsia="zh-CN" w:bidi="ar"/>
        </w:rPr>
        <w:t>分期支付方式：</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u w:val="single"/>
          <w:lang w:eastAsia="zh-CN"/>
        </w:rPr>
      </w:pPr>
      <w:r>
        <w:rPr>
          <w:rFonts w:hint="eastAsia" w:ascii="宋体" w:hAnsi="宋体" w:eastAsia="宋体" w:cs="宋体"/>
          <w:kern w:val="0"/>
          <w:sz w:val="24"/>
          <w:szCs w:val="22"/>
          <w:lang w:val="en-US" w:eastAsia="zh-CN" w:bidi="ar"/>
        </w:rPr>
        <w:t>□其他支付方式：</w:t>
      </w:r>
      <w:r>
        <w:rPr>
          <w:rFonts w:hint="eastAsia" w:ascii="宋体" w:hAnsi="宋体" w:eastAsia="宋体" w:cs="宋体"/>
          <w:kern w:val="0"/>
          <w:sz w:val="24"/>
          <w:szCs w:val="22"/>
          <w:u w:val="single"/>
          <w:lang w:val="en-US" w:eastAsia="zh-CN" w:bidi="ar"/>
        </w:rPr>
        <w:t xml:space="preserve">                                                 </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u w:val="single"/>
          <w:lang w:eastAsia="zh-CN"/>
        </w:rPr>
      </w:pPr>
      <w:r>
        <w:rPr>
          <w:rFonts w:hint="eastAsia" w:ascii="宋体" w:hAnsi="宋体" w:eastAsia="宋体" w:cs="宋体"/>
          <w:kern w:val="0"/>
          <w:sz w:val="24"/>
          <w:szCs w:val="22"/>
          <w:u w:val="single"/>
          <w:lang w:val="en-US" w:eastAsia="zh-CN" w:bidi="ar"/>
        </w:rPr>
        <w:t xml:space="preserve">                                                                     </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八、合同融资事项</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按照《山东省财政厅关于启动山东省政府采购合同融资与履约保函服务平台有关事项的通知》【鲁财采（2020）31号】、《山东省财政厅关于加强政府采购合同付款账户管理的通知》【鲁财采（2021）4号】文件相关要求，本合同可用于“山东省政府采购合同融资与履约保函服务平台”（简称融资平台）进行质押融资，如本合同已通过融资平台质押融资，融资平台将生成“政府采购合同回款账户确认单”，回传“山东省政府采购信息公开平台”推送至</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人应根据“确认单”信息，加强合同账户及资金支付管理，确保合同资金准确支付到贷款银行确认的回款账户，未经相关贷款金融机构同意不得随意变更。</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九、合同文件构成</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本协议书与下列文件一起构成合同文件：</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（1）中标或成交通知书；</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 xml:space="preserve">（2）投标函及其附录； </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（3）合同条款；</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（4）技术标准和要求；</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（5）图纸（如果有）；</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（6）供货清单及报价表；</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（7）其他合同文件。</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在合同订立及履行过程中形成的与合同有关的文件均构成合同文件组成部分。</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上述各项合同文件包括合同当事人就该项合同文件所作出的补充和修改，属于同一类内容的文件，应以最新签署的为准。专用合同条款及其附件须经合同当事人签字或盖章。</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十、承诺</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1.</w:t>
      </w:r>
      <w:r>
        <w:rPr>
          <w:rFonts w:hint="eastAsia" w:ascii="宋体" w:hAnsi="宋体" w:cs="仿宋_GB2312"/>
          <w:kern w:val="0"/>
          <w:sz w:val="24"/>
          <w:szCs w:val="22"/>
          <w:lang w:val="en-US" w:eastAsia="zh-CN" w:bidi="ar"/>
        </w:rPr>
        <w:t>招标</w:t>
      </w:r>
      <w:r>
        <w:rPr>
          <w:rFonts w:hint="eastAsia" w:ascii="宋体" w:hAnsi="宋体" w:eastAsia="宋体" w:cs="仿宋_GB2312"/>
          <w:kern w:val="0"/>
          <w:sz w:val="24"/>
          <w:szCs w:val="22"/>
          <w:lang w:val="en-US" w:eastAsia="zh-CN" w:bidi="ar"/>
        </w:rPr>
        <w:t>人承诺按照法律规定履行项目审批手续、筹集项目资金并按照合同约定的期限和方式支付合同价款。</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2.</w:t>
      </w:r>
      <w:r>
        <w:rPr>
          <w:rFonts w:hint="eastAsia" w:ascii="宋体" w:hAnsi="宋体" w:cs="仿宋_GB2312"/>
          <w:kern w:val="0"/>
          <w:sz w:val="24"/>
          <w:szCs w:val="22"/>
          <w:lang w:val="en-US" w:eastAsia="zh-CN" w:bidi="ar"/>
        </w:rPr>
        <w:t>投标人</w:t>
      </w:r>
      <w:r>
        <w:rPr>
          <w:rFonts w:hint="eastAsia" w:ascii="宋体" w:hAnsi="宋体" w:eastAsia="宋体" w:cs="仿宋_GB2312"/>
          <w:kern w:val="0"/>
          <w:sz w:val="24"/>
          <w:szCs w:val="22"/>
          <w:lang w:val="en-US" w:eastAsia="zh-CN" w:bidi="ar"/>
        </w:rPr>
        <w:t>承诺按照法律规定及合同约定供货，确保质量和安全，不进行转包及违法分包，并在缺陷责任期及保修期内承担相应的责任。</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3.</w:t>
      </w:r>
      <w:r>
        <w:rPr>
          <w:rFonts w:hint="eastAsia" w:ascii="宋体" w:hAnsi="宋体" w:cs="仿宋_GB2312"/>
          <w:kern w:val="0"/>
          <w:sz w:val="24"/>
          <w:szCs w:val="22"/>
          <w:lang w:val="en-US" w:eastAsia="zh-CN" w:bidi="ar"/>
        </w:rPr>
        <w:t>招标</w:t>
      </w:r>
      <w:r>
        <w:rPr>
          <w:rFonts w:hint="eastAsia" w:ascii="宋体" w:hAnsi="宋体" w:eastAsia="宋体" w:cs="仿宋_GB2312"/>
          <w:kern w:val="0"/>
          <w:sz w:val="24"/>
          <w:szCs w:val="22"/>
          <w:lang w:val="en-US" w:eastAsia="zh-CN" w:bidi="ar"/>
        </w:rPr>
        <w:t>人和</w:t>
      </w:r>
      <w:r>
        <w:rPr>
          <w:rFonts w:hint="eastAsia" w:ascii="宋体" w:hAnsi="宋体" w:cs="仿宋_GB2312"/>
          <w:kern w:val="0"/>
          <w:sz w:val="24"/>
          <w:szCs w:val="22"/>
          <w:lang w:val="en-US" w:eastAsia="zh-CN" w:bidi="ar"/>
        </w:rPr>
        <w:t>投标人</w:t>
      </w:r>
      <w:r>
        <w:rPr>
          <w:rFonts w:hint="eastAsia" w:ascii="宋体" w:hAnsi="宋体" w:eastAsia="宋体" w:cs="仿宋_GB2312"/>
          <w:kern w:val="0"/>
          <w:sz w:val="24"/>
          <w:szCs w:val="22"/>
          <w:lang w:val="en-US" w:eastAsia="zh-CN" w:bidi="ar"/>
        </w:rPr>
        <w:t>通过招投标形式签订合同的，双方理解并承诺不再就同一项目另行签订与合同实质性内容相背离的协议。</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十一、签订时间</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本合同于</w:t>
      </w:r>
      <w:r>
        <w:rPr>
          <w:rFonts w:hint="eastAsia" w:ascii="宋体" w:hAnsi="宋体" w:eastAsia="宋体" w:cs="仿宋_GB2312"/>
          <w:kern w:val="0"/>
          <w:sz w:val="24"/>
          <w:szCs w:val="22"/>
          <w:u w:val="single"/>
          <w:lang w:val="en-US" w:eastAsia="zh-CN" w:bidi="ar"/>
        </w:rPr>
        <w:t xml:space="preserve">                  </w:t>
      </w:r>
      <w:r>
        <w:rPr>
          <w:rFonts w:hint="eastAsia" w:ascii="宋体" w:hAnsi="宋体" w:eastAsia="宋体" w:cs="仿宋_GB2312"/>
          <w:kern w:val="0"/>
          <w:sz w:val="24"/>
          <w:szCs w:val="22"/>
          <w:lang w:val="en-US" w:eastAsia="zh-CN" w:bidi="ar"/>
        </w:rPr>
        <w:t>签订。</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十二、签订地点</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本合同在</w:t>
      </w:r>
      <w:r>
        <w:rPr>
          <w:rFonts w:hint="eastAsia" w:ascii="宋体" w:hAnsi="宋体" w:eastAsia="宋体" w:cs="仿宋_GB2312"/>
          <w:kern w:val="0"/>
          <w:sz w:val="24"/>
          <w:szCs w:val="22"/>
          <w:u w:val="single"/>
          <w:lang w:val="en-US" w:eastAsia="zh-CN" w:bidi="ar"/>
        </w:rPr>
        <w:t xml:space="preserve">               </w:t>
      </w:r>
      <w:r>
        <w:rPr>
          <w:rFonts w:hint="eastAsia" w:ascii="宋体" w:hAnsi="宋体" w:eastAsia="宋体" w:cs="仿宋_GB2312"/>
          <w:kern w:val="0"/>
          <w:sz w:val="24"/>
          <w:szCs w:val="22"/>
          <w:lang w:val="en-US" w:eastAsia="zh-CN" w:bidi="ar"/>
        </w:rPr>
        <w:t>签订。</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十三、补充协议</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合同未尽事宜，合同当事人另行签订补充协议，补充协议是合同的组成部分。</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十四、合同生效</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本合同自</w:t>
      </w:r>
      <w:r>
        <w:rPr>
          <w:rFonts w:hint="eastAsia" w:ascii="宋体" w:hAnsi="宋体" w:eastAsia="宋体" w:cs="仿宋_GB2312"/>
          <w:kern w:val="0"/>
          <w:sz w:val="24"/>
          <w:szCs w:val="22"/>
          <w:u w:val="single"/>
          <w:lang w:val="en-US" w:eastAsia="zh-CN" w:bidi="ar"/>
        </w:rPr>
        <w:t xml:space="preserve">                      </w:t>
      </w:r>
      <w:r>
        <w:rPr>
          <w:rFonts w:hint="eastAsia" w:ascii="宋体" w:hAnsi="宋体" w:eastAsia="宋体" w:cs="仿宋_GB2312"/>
          <w:kern w:val="0"/>
          <w:sz w:val="24"/>
          <w:szCs w:val="22"/>
          <w:lang w:val="en-US" w:eastAsia="zh-CN" w:bidi="ar"/>
        </w:rPr>
        <w:t>生效。</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十五、合同份数</w:t>
      </w:r>
    </w:p>
    <w:p>
      <w:pPr>
        <w:keepNext w:val="0"/>
        <w:keepLines w:val="0"/>
        <w:pageBreakBefore w:val="0"/>
        <w:widowControl/>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rFonts w:cs="仿宋_GB2312"/>
          <w:sz w:val="24"/>
          <w:szCs w:val="22"/>
          <w:lang w:eastAsia="zh-CN"/>
        </w:rPr>
      </w:pPr>
      <w:r>
        <w:rPr>
          <w:rFonts w:hint="eastAsia" w:ascii="宋体" w:hAnsi="宋体" w:eastAsia="宋体" w:cs="仿宋_GB2312"/>
          <w:kern w:val="0"/>
          <w:sz w:val="24"/>
          <w:szCs w:val="22"/>
          <w:lang w:val="en-US" w:eastAsia="zh-CN" w:bidi="ar"/>
        </w:rPr>
        <w:t>本合同一式陆份，均具有同等法律效力，</w:t>
      </w:r>
      <w:r>
        <w:rPr>
          <w:rFonts w:hint="eastAsia" w:ascii="宋体" w:hAnsi="宋体" w:cs="仿宋_GB2312"/>
          <w:kern w:val="0"/>
          <w:sz w:val="24"/>
          <w:szCs w:val="22"/>
          <w:lang w:val="en-US" w:eastAsia="zh-CN" w:bidi="ar"/>
        </w:rPr>
        <w:t>招标</w:t>
      </w:r>
      <w:r>
        <w:rPr>
          <w:rFonts w:hint="eastAsia" w:ascii="宋体" w:hAnsi="宋体" w:eastAsia="宋体" w:cs="仿宋_GB2312"/>
          <w:kern w:val="0"/>
          <w:sz w:val="24"/>
          <w:szCs w:val="22"/>
          <w:lang w:val="en-US" w:eastAsia="zh-CN" w:bidi="ar"/>
        </w:rPr>
        <w:t>人执贰份，</w:t>
      </w:r>
      <w:r>
        <w:rPr>
          <w:rFonts w:hint="eastAsia" w:ascii="宋体" w:hAnsi="宋体" w:cs="仿宋_GB2312"/>
          <w:kern w:val="0"/>
          <w:sz w:val="24"/>
          <w:szCs w:val="22"/>
          <w:lang w:val="en-US" w:eastAsia="zh-CN" w:bidi="ar"/>
        </w:rPr>
        <w:t>投标人</w:t>
      </w:r>
      <w:r>
        <w:rPr>
          <w:rFonts w:hint="eastAsia" w:ascii="宋体" w:hAnsi="宋体" w:eastAsia="宋体" w:cs="仿宋_GB2312"/>
          <w:kern w:val="0"/>
          <w:sz w:val="24"/>
          <w:szCs w:val="22"/>
          <w:lang w:val="en-US" w:eastAsia="zh-CN" w:bidi="ar"/>
        </w:rPr>
        <w:t>执贰份，监督部门壹份，代理机构壹份。</w:t>
      </w:r>
    </w:p>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lang w:eastAsia="zh-CN"/>
        </w:rPr>
      </w:pPr>
    </w:p>
    <w:tbl>
      <w:tblPr>
        <w:tblStyle w:val="74"/>
        <w:tblW w:w="10020"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shd w:val="clear" w:color="auto" w:fill="auto"/>
        <w:tblLayout w:type="fixed"/>
        <w:tblCellMar>
          <w:top w:w="0" w:type="dxa"/>
          <w:left w:w="108" w:type="dxa"/>
          <w:bottom w:w="0" w:type="dxa"/>
          <w:right w:w="108" w:type="dxa"/>
        </w:tblCellMar>
      </w:tblPr>
      <w:tblGrid>
        <w:gridCol w:w="4576"/>
        <w:gridCol w:w="240"/>
        <w:gridCol w:w="5204"/>
      </w:tblGrid>
      <w:tr>
        <w:tblPrEx>
          <w:tblBorders>
            <w:top w:val="none" w:color="auto" w:sz="4" w:space="0"/>
            <w:left w:val="none" w:color="auto" w:sz="4" w:space="0"/>
            <w:bottom w:val="none" w:color="auto" w:sz="4" w:space="0"/>
            <w:right w:val="none" w:color="auto" w:sz="4" w:space="0"/>
            <w:insideH w:val="none" w:color="auto" w:sz="4" w:space="0"/>
            <w:insideV w:val="none" w:color="auto" w:sz="4" w:space="0"/>
          </w:tblBorders>
          <w:shd w:val="clear" w:color="auto" w:fill="auto"/>
          <w:tblCellMar>
            <w:top w:w="0" w:type="dxa"/>
            <w:left w:w="108" w:type="dxa"/>
            <w:bottom w:w="0" w:type="dxa"/>
            <w:right w:w="108" w:type="dxa"/>
          </w:tblCellMar>
        </w:tblPrEx>
        <w:trPr>
          <w:trHeight w:val="742" w:hRule="atLeast"/>
          <w:jc w:val="center"/>
        </w:trPr>
        <w:tc>
          <w:tcPr>
            <w:tcW w:w="4576"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p>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cs="宋体"/>
                <w:color w:val="000000"/>
                <w:kern w:val="0"/>
                <w:sz w:val="24"/>
                <w:szCs w:val="24"/>
                <w:lang w:val="en-US" w:eastAsia="zh-CN" w:bidi="ar"/>
              </w:rPr>
              <w:t>招标</w:t>
            </w:r>
            <w:r>
              <w:rPr>
                <w:rFonts w:hint="eastAsia" w:ascii="宋体" w:hAnsi="宋体" w:eastAsia="宋体" w:cs="宋体"/>
                <w:color w:val="000000"/>
                <w:kern w:val="0"/>
                <w:sz w:val="24"/>
                <w:szCs w:val="24"/>
                <w:lang w:val="en-US" w:eastAsia="zh-CN" w:bidi="ar"/>
              </w:rPr>
              <w:t>人： (公章)</w:t>
            </w:r>
            <w:r>
              <w:rPr>
                <w:rFonts w:hint="eastAsia" w:ascii="宋体" w:hAnsi="宋体" w:eastAsia="宋体" w:cs="宋体"/>
                <w:kern w:val="0"/>
                <w:sz w:val="24"/>
                <w:szCs w:val="22"/>
                <w:lang w:val="en-US" w:eastAsia="zh-CN" w:bidi="ar"/>
              </w:rPr>
              <w:t xml:space="preserve"> </w:t>
            </w:r>
          </w:p>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p>
        </w:tc>
        <w:tc>
          <w:tcPr>
            <w:tcW w:w="240" w:type="dxa"/>
            <w:shd w:val="clear" w:color="auto" w:fill="auto"/>
            <w:vAlign w:val="center"/>
          </w:tcPr>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sz w:val="24"/>
                <w:szCs w:val="22"/>
              </w:rPr>
            </w:pPr>
          </w:p>
        </w:tc>
        <w:tc>
          <w:tcPr>
            <w:tcW w:w="5204" w:type="dxa"/>
            <w:shd w:val="clear" w:color="auto" w:fill="auto"/>
            <w:vAlign w:val="center"/>
          </w:tcPr>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sz w:val="24"/>
                <w:szCs w:val="22"/>
              </w:rPr>
            </w:pPr>
            <w:r>
              <w:rPr>
                <w:rFonts w:hint="eastAsia" w:ascii="宋体" w:hAnsi="宋体" w:cs="宋体"/>
                <w:color w:val="000000"/>
                <w:kern w:val="0"/>
                <w:sz w:val="24"/>
                <w:szCs w:val="22"/>
                <w:lang w:val="en-US" w:eastAsia="zh-CN" w:bidi="ar"/>
              </w:rPr>
              <w:t>投标人</w:t>
            </w:r>
            <w:r>
              <w:rPr>
                <w:rFonts w:hint="eastAsia" w:ascii="宋体" w:hAnsi="宋体" w:eastAsia="宋体" w:cs="宋体"/>
                <w:color w:val="000000"/>
                <w:kern w:val="0"/>
                <w:sz w:val="24"/>
                <w:szCs w:val="22"/>
                <w:lang w:val="en-US" w:eastAsia="zh-CN" w:bidi="ar"/>
              </w:rPr>
              <w:t>： (公章)</w:t>
            </w:r>
            <w:r>
              <w:rPr>
                <w:rFonts w:hint="eastAsia" w:ascii="宋体" w:hAnsi="宋体" w:eastAsia="宋体" w:cs="宋体"/>
                <w:color w:val="000000"/>
                <w:kern w:val="0"/>
                <w:sz w:val="24"/>
                <w:szCs w:val="24"/>
                <w:lang w:val="en-US" w:eastAsia="zh-CN" w:bidi="ar"/>
              </w:rPr>
              <w:t xml:space="preserve"> </w:t>
            </w:r>
          </w:p>
        </w:tc>
      </w:tr>
      <w:tr>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742" w:hRule="atLeast"/>
          <w:jc w:val="center"/>
        </w:trPr>
        <w:tc>
          <w:tcPr>
            <w:tcW w:w="4576"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法定代表人或其委托代理人：</w:t>
            </w:r>
          </w:p>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（签字）</w:t>
            </w:r>
          </w:p>
        </w:tc>
        <w:tc>
          <w:tcPr>
            <w:tcW w:w="240" w:type="dxa"/>
            <w:shd w:val="clear" w:color="auto" w:fill="auto"/>
            <w:vAlign w:val="center"/>
          </w:tcPr>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sz w:val="24"/>
                <w:szCs w:val="22"/>
              </w:rPr>
            </w:pPr>
          </w:p>
        </w:tc>
        <w:tc>
          <w:tcPr>
            <w:tcW w:w="5204"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法定代表人或其委托代理人：</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sz w:val="24"/>
                <w:szCs w:val="22"/>
              </w:rPr>
            </w:pPr>
            <w:r>
              <w:rPr>
                <w:rFonts w:hint="eastAsia" w:ascii="宋体" w:hAnsi="宋体" w:eastAsia="宋体" w:cs="宋体"/>
                <w:color w:val="000000"/>
                <w:kern w:val="0"/>
                <w:sz w:val="24"/>
                <w:szCs w:val="22"/>
                <w:lang w:val="en-US" w:eastAsia="zh-CN" w:bidi="ar"/>
              </w:rPr>
              <w:t>（签字）</w:t>
            </w:r>
          </w:p>
        </w:tc>
      </w:tr>
      <w:tr>
        <w:tblPrEx>
          <w:tblBorders>
            <w:top w:val="none" w:color="auto" w:sz="4" w:space="0"/>
            <w:left w:val="none" w:color="auto" w:sz="4" w:space="0"/>
            <w:bottom w:val="none" w:color="auto" w:sz="4" w:space="0"/>
            <w:right w:val="none" w:color="auto" w:sz="4" w:space="0"/>
            <w:insideH w:val="none" w:color="auto" w:sz="4" w:space="0"/>
            <w:insideV w:val="none" w:color="auto" w:sz="4" w:space="0"/>
          </w:tblBorders>
          <w:shd w:val="clear" w:color="auto" w:fill="auto"/>
          <w:tblCellMar>
            <w:top w:w="0" w:type="dxa"/>
            <w:left w:w="108" w:type="dxa"/>
            <w:bottom w:w="0" w:type="dxa"/>
            <w:right w:w="108" w:type="dxa"/>
          </w:tblCellMar>
        </w:tblPrEx>
        <w:trPr>
          <w:trHeight w:val="742" w:hRule="atLeast"/>
          <w:jc w:val="center"/>
        </w:trPr>
        <w:tc>
          <w:tcPr>
            <w:tcW w:w="4576"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 xml:space="preserve">住所：  </w:t>
            </w:r>
          </w:p>
        </w:tc>
        <w:tc>
          <w:tcPr>
            <w:tcW w:w="240"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p>
        </w:tc>
        <w:tc>
          <w:tcPr>
            <w:tcW w:w="5204"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 xml:space="preserve">住所： </w:t>
            </w:r>
          </w:p>
        </w:tc>
      </w:tr>
      <w:tr>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779" w:hRule="atLeast"/>
          <w:jc w:val="center"/>
        </w:trPr>
        <w:tc>
          <w:tcPr>
            <w:tcW w:w="4576"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法定代表人：</w:t>
            </w:r>
          </w:p>
        </w:tc>
        <w:tc>
          <w:tcPr>
            <w:tcW w:w="240"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p>
        </w:tc>
        <w:tc>
          <w:tcPr>
            <w:tcW w:w="5204"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法定代表人：</w:t>
            </w:r>
          </w:p>
        </w:tc>
      </w:tr>
      <w:tr>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779" w:hRule="atLeast"/>
          <w:jc w:val="center"/>
        </w:trPr>
        <w:tc>
          <w:tcPr>
            <w:tcW w:w="4576"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委托代理人：</w:t>
            </w:r>
          </w:p>
        </w:tc>
        <w:tc>
          <w:tcPr>
            <w:tcW w:w="240"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p>
        </w:tc>
        <w:tc>
          <w:tcPr>
            <w:tcW w:w="5204"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委托代理人：</w:t>
            </w:r>
          </w:p>
        </w:tc>
      </w:tr>
      <w:tr>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742" w:hRule="atLeast"/>
          <w:jc w:val="center"/>
        </w:trPr>
        <w:tc>
          <w:tcPr>
            <w:tcW w:w="4576"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 xml:space="preserve">电 话： </w:t>
            </w:r>
          </w:p>
        </w:tc>
        <w:tc>
          <w:tcPr>
            <w:tcW w:w="240"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p>
        </w:tc>
        <w:tc>
          <w:tcPr>
            <w:tcW w:w="5204"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 xml:space="preserve">电 话： </w:t>
            </w:r>
          </w:p>
        </w:tc>
      </w:tr>
      <w:tr>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17" w:hRule="atLeast"/>
          <w:jc w:val="center"/>
        </w:trPr>
        <w:tc>
          <w:tcPr>
            <w:tcW w:w="4576"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传真：</w:t>
            </w:r>
          </w:p>
        </w:tc>
        <w:tc>
          <w:tcPr>
            <w:tcW w:w="240"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p>
        </w:tc>
        <w:tc>
          <w:tcPr>
            <w:tcW w:w="5204"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传真：</w:t>
            </w:r>
            <w:r>
              <w:rPr>
                <w:rFonts w:hint="eastAsia" w:ascii="宋体" w:hAnsi="宋体" w:eastAsia="宋体" w:cs="宋体"/>
                <w:kern w:val="0"/>
                <w:sz w:val="24"/>
                <w:szCs w:val="22"/>
                <w:lang w:val="en-US" w:eastAsia="zh-CN" w:bidi="ar"/>
              </w:rPr>
              <w:t xml:space="preserve"> </w:t>
            </w:r>
          </w:p>
        </w:tc>
      </w:tr>
      <w:tr>
        <w:tblPrEx>
          <w:tblBorders>
            <w:top w:val="none" w:color="auto" w:sz="4" w:space="0"/>
            <w:left w:val="none" w:color="auto" w:sz="4" w:space="0"/>
            <w:bottom w:val="none" w:color="auto" w:sz="4" w:space="0"/>
            <w:right w:val="none" w:color="auto" w:sz="4" w:space="0"/>
            <w:insideH w:val="none" w:color="auto" w:sz="4" w:space="0"/>
            <w:insideV w:val="none" w:color="auto" w:sz="4" w:space="0"/>
          </w:tblBorders>
          <w:shd w:val="clear" w:color="auto" w:fill="auto"/>
          <w:tblCellMar>
            <w:top w:w="0" w:type="dxa"/>
            <w:left w:w="108" w:type="dxa"/>
            <w:bottom w:w="0" w:type="dxa"/>
            <w:right w:w="108" w:type="dxa"/>
          </w:tblCellMar>
        </w:tblPrEx>
        <w:trPr>
          <w:trHeight w:val="742" w:hRule="atLeast"/>
          <w:jc w:val="center"/>
        </w:trPr>
        <w:tc>
          <w:tcPr>
            <w:tcW w:w="4576"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开户银行：</w:t>
            </w:r>
          </w:p>
        </w:tc>
        <w:tc>
          <w:tcPr>
            <w:tcW w:w="240"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p>
        </w:tc>
        <w:tc>
          <w:tcPr>
            <w:tcW w:w="5204"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 xml:space="preserve">开户银行： </w:t>
            </w:r>
          </w:p>
        </w:tc>
      </w:tr>
      <w:tr>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742" w:hRule="atLeast"/>
          <w:jc w:val="center"/>
        </w:trPr>
        <w:tc>
          <w:tcPr>
            <w:tcW w:w="4576"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账号：</w:t>
            </w:r>
          </w:p>
        </w:tc>
        <w:tc>
          <w:tcPr>
            <w:tcW w:w="240"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p>
        </w:tc>
        <w:tc>
          <w:tcPr>
            <w:tcW w:w="5204"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 xml:space="preserve">账号： </w:t>
            </w:r>
          </w:p>
        </w:tc>
      </w:tr>
      <w:tr>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742" w:hRule="atLeast"/>
          <w:jc w:val="center"/>
        </w:trPr>
        <w:tc>
          <w:tcPr>
            <w:tcW w:w="4576"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邮政编码：</w:t>
            </w:r>
          </w:p>
        </w:tc>
        <w:tc>
          <w:tcPr>
            <w:tcW w:w="240"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p>
        </w:tc>
        <w:tc>
          <w:tcPr>
            <w:tcW w:w="5204" w:type="dxa"/>
            <w:shd w:val="clear" w:color="auto" w:fill="auto"/>
            <w:vAlign w:val="center"/>
          </w:tcPr>
          <w:p>
            <w:pPr>
              <w:pStyle w:val="6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left"/>
              <w:textAlignment w:val="auto"/>
              <w:rPr>
                <w:rFonts w:hint="default"/>
                <w:color w:val="000000"/>
              </w:rPr>
            </w:pPr>
            <w:r>
              <w:rPr>
                <w:rFonts w:hint="eastAsia" w:ascii="宋体" w:hAnsi="宋体" w:eastAsia="宋体" w:cs="宋体"/>
                <w:color w:val="000000"/>
                <w:kern w:val="0"/>
                <w:sz w:val="24"/>
                <w:szCs w:val="24"/>
                <w:lang w:val="en-US" w:eastAsia="zh-CN" w:bidi="ar"/>
              </w:rPr>
              <w:t>邮政编码：</w:t>
            </w:r>
            <w:r>
              <w:rPr>
                <w:rFonts w:hint="eastAsia" w:ascii="宋体" w:hAnsi="宋体" w:eastAsia="宋体" w:cs="宋体"/>
                <w:kern w:val="0"/>
                <w:sz w:val="24"/>
                <w:szCs w:val="22"/>
                <w:lang w:val="en-US" w:eastAsia="zh-CN" w:bidi="ar"/>
              </w:rPr>
              <w:t xml:space="preserve"> </w:t>
            </w:r>
          </w:p>
        </w:tc>
      </w:tr>
    </w:tbl>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sz w:val="24"/>
          <w:szCs w:val="22"/>
          <w:lang w:val="zh-CN" w:eastAsia="zh-CN" w:bidi="zh-CN"/>
        </w:rPr>
        <w:br w:type="page"/>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合同条款</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与供应</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1.1 本合同价款最终双方以实际验收的数量结算。</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1.2 本合同所</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与供应设备的数量为暂定量，</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按附件1《计划采购与供应设备清单》所列品种和规格供货，最终以经</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人验收合格实际数量为准。</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1.3 本合同所</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与供应设备的计价、结算和支付货币均为人民币。</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1.4 本合同所</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与供应设备的计量单位，为中华人民共和国法定公制计量单位（除技术规范标准另有规定外）。</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1.5 本合同所</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与供应设备的单价，指运抵本项目现场指定地点交货综合价，包括设备费、加工费、包装费、检测费、装卸费、运输费、税金、</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合理的利润、管理费、市场价格波动带来的风险、向有关部门缴纳的各项费用以及政策性文件所规定的各项应有费用等</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履行本合同规定义务的全部价款与费税，除本合同第1.6条规定的因素外，不得因政府政策变动、市场环境改变、税率调整等而调整。</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1.6本合同综合单价按下列第（1）种办法进行调整。</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（1）综合单价包干，价格不可调整。</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（2）具体调价办法：</w:t>
      </w:r>
      <w:r>
        <w:rPr>
          <w:rFonts w:hint="eastAsia" w:ascii="宋体" w:hAnsi="宋体" w:eastAsia="宋体" w:cs="宋体"/>
          <w:kern w:val="0"/>
          <w:sz w:val="22"/>
          <w:szCs w:val="22"/>
          <w:u w:val="single"/>
          <w:lang w:val="en-US" w:eastAsia="zh-CN" w:bidi="ar"/>
        </w:rPr>
        <w:t xml:space="preserve">                  </w:t>
      </w:r>
      <w:r>
        <w:rPr>
          <w:rFonts w:hint="eastAsia" w:ascii="宋体" w:hAnsi="宋体" w:eastAsia="宋体" w:cs="宋体"/>
          <w:kern w:val="0"/>
          <w:sz w:val="24"/>
          <w:szCs w:val="22"/>
          <w:lang w:val="en-US" w:eastAsia="zh-CN" w:bidi="ar"/>
        </w:rPr>
        <w:t xml:space="preserve">。  </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2．质量要求</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 xml:space="preserve">2.1 </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应在交货同时向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人提供本合同所</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与供应设备制造商出具的书面质量保证书。</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2.2 本合同所</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与供应的设备，应符合现行中华人民共和国国家标准及行业标准，各项技术性能指标经本项目所在地具有相应检测资质的专业机构或单位检测中心检验必须符合国标要求。合同执行过程中，若出现新的国家标准，则以更新后的标准为准。</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 xml:space="preserve">2.3 </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的设备供应与管理应符合国家有关环保法律、法规和ISO9000质量体系标准。</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2.4 本合同所</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与供应设备的质量保证期自验收合格之日起</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年。</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2.5质量保证期内，</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无条件的向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人提供缺陷产品的免费维修、更换等服务。针对</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人提出的书面要求，</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必须在3日内给予书面答复。如有必要，</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在3日内指派专人到现场解决，因此产生的所有费用均由</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承担。</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2.6 不论任何原因，</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借故推脱或拒绝</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人提出的维修、更换等服务请求，</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人有权自行解决，实际发生的维修或更换等费用，从应支付给</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的货款中扣除，并保留进一步索赔的权利。维修或更换设备的质量保证期相应延长6个月。</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2.7质量保证期内，如因</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产品质量导致出现项目质量问题，由此造成的一切损失由</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承担。</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2.8其他质量要求：</w:t>
      </w:r>
      <w:r>
        <w:rPr>
          <w:rFonts w:hint="eastAsia" w:ascii="宋体" w:hAnsi="宋体" w:eastAsia="宋体" w:cs="宋体"/>
          <w:kern w:val="0"/>
          <w:sz w:val="22"/>
          <w:szCs w:val="22"/>
          <w:u w:val="single"/>
          <w:lang w:val="en-US" w:eastAsia="zh-CN" w:bidi="ar"/>
        </w:rPr>
        <w:t xml:space="preserve">       </w:t>
      </w:r>
      <w:r>
        <w:rPr>
          <w:rFonts w:hint="eastAsia" w:ascii="宋体" w:hAnsi="宋体" w:eastAsia="宋体" w:cs="宋体"/>
          <w:kern w:val="0"/>
          <w:sz w:val="24"/>
          <w:szCs w:val="22"/>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3．供货时间及地点</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3.1供货及通知方式：</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3.2供货地点：</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负责送货至项目现场卸至</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人指定的卸货地点，并承担费用。</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4．验收标准、方法、地点及期限</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4.1数量验收：甲乙双方在交货现场以过磅、点数、检尺等约定方式进行数量验收，</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人应保证设备随到随验。</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应对在</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人现场的计量数据进行确认。</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4.2质量验收：</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（1）进行数量验收的同时，</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人按要求进行尺寸和外观质量验收，尺寸和外观质量符合要求方可卸车，否则不得卸车。</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（2）外观质量符合要求的，</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人及时按规定取样送本项目所在地具有相应检测资质的专业机构或单位进行检测。检测合格视为最终合格。如</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人、本项目建设单位或监督单位提出异议，参照有关标准规范，结合现场情况解决，</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必须满足上述三方的有关质量的意见。</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（3）经双方验收合格后，由</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人开具签收单作为最终结算依据。</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（4）抽检未发现不合格产品不代表</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供应产品全部合格，如因</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产品问题造成</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人供货期、质量、劳务等损失，全部责任均由</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承担。</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（5）外观及检验不合格的设备，</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应在接</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人通知后24小时内清理出项目现场，并承担本次的检测费用，造成的一切损失由</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承担。</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（6）其他：现场现货检验，</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人如有异议3日内提出，</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24小时内负责处理。</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4.3标的物所有权自卸货完毕时起转移，但经验收确认为不合格的，</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必须根据</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人要求无条件退换。</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5．安全文明施工与环境保护</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5.1安全文明施工</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5.1.1 项目安全生产的达标目标及相应事项的约定：_</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5.1.2 文明施工</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合同当事人对文明施工的要求：</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 xml:space="preserve">。  </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 xml:space="preserve">5.1.3 </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负责在设备供货、指导安装、调试、售后服务整个过程中现场全部人员、设备的安全。供货服务期间发生的一切安全事故，由</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承担全部责任，并承担由此发生的一切费用。</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人不承担</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和其单位雇佣的工人或其他人员的伤亡赔偿或补偿责任，承包方必须为现场服务人员办理危险作业意外伤害保险，费用自行承担。本项目需特殊防护的内容:针对施工现场情况及迎检等需要，应采取不同的防护措施，费用自行承担。</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6．预付款</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6.1 预付款的支付时间和金额（或占合同价款的比例）</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6.2 扣回预付款的时间、比例</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b/>
          <w:bCs w:val="0"/>
          <w:sz w:val="24"/>
          <w:szCs w:val="22"/>
          <w:u w:val="single"/>
          <w:lang w:eastAsia="zh-CN"/>
        </w:rPr>
      </w:pPr>
      <w:r>
        <w:rPr>
          <w:rFonts w:hint="eastAsia" w:ascii="宋体" w:hAnsi="宋体" w:eastAsia="宋体" w:cs="宋体"/>
          <w:kern w:val="0"/>
          <w:sz w:val="24"/>
          <w:szCs w:val="22"/>
          <w:lang w:val="en-US" w:eastAsia="zh-CN" w:bidi="ar"/>
        </w:rPr>
        <w:t>7．货款支付：</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7.</w:t>
      </w:r>
      <w:r>
        <w:rPr>
          <w:rFonts w:hint="eastAsia" w:ascii="宋体" w:hAnsi="宋体" w:cs="宋体"/>
          <w:kern w:val="0"/>
          <w:sz w:val="24"/>
          <w:szCs w:val="22"/>
          <w:lang w:val="en-US" w:eastAsia="zh-CN" w:bidi="ar"/>
        </w:rPr>
        <w:t>1投标人</w:t>
      </w:r>
      <w:r>
        <w:rPr>
          <w:rFonts w:hint="eastAsia" w:ascii="宋体" w:hAnsi="宋体" w:eastAsia="宋体" w:cs="宋体"/>
          <w:kern w:val="0"/>
          <w:sz w:val="24"/>
          <w:szCs w:val="22"/>
          <w:lang w:val="en-US" w:eastAsia="zh-CN" w:bidi="ar"/>
        </w:rPr>
        <w:t>按照</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人要求的时间，依据甲乙双方共同确认的结算金额和结算明细向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人开具结算100%的增值税发票，否则</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人有权拒绝支付货款且不构成违约。</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7.</w:t>
      </w:r>
      <w:r>
        <w:rPr>
          <w:rFonts w:hint="eastAsia" w:ascii="宋体" w:hAnsi="宋体" w:cs="宋体"/>
          <w:kern w:val="0"/>
          <w:sz w:val="24"/>
          <w:szCs w:val="22"/>
          <w:lang w:val="en-US" w:eastAsia="zh-CN" w:bidi="ar"/>
        </w:rPr>
        <w:t>2</w:t>
      </w:r>
      <w:r>
        <w:rPr>
          <w:rFonts w:hint="eastAsia" w:ascii="宋体" w:hAnsi="宋体" w:eastAsia="宋体" w:cs="宋体"/>
          <w:kern w:val="0"/>
          <w:sz w:val="24"/>
          <w:szCs w:val="22"/>
          <w:lang w:val="en-US" w:eastAsia="zh-CN" w:bidi="ar"/>
        </w:rPr>
        <w:t xml:space="preserve"> 货款支付方式可选择银行转账支票、网银转账、银行承兑汇票等常规支付方式的付款方式，具体付款方式以双方每次付款前协商确定为准。</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7.</w:t>
      </w:r>
      <w:r>
        <w:rPr>
          <w:rFonts w:hint="eastAsia" w:ascii="宋体" w:hAnsi="宋体" w:cs="宋体"/>
          <w:kern w:val="0"/>
          <w:sz w:val="24"/>
          <w:szCs w:val="22"/>
          <w:lang w:val="en-US" w:eastAsia="zh-CN" w:bidi="ar"/>
        </w:rPr>
        <w:t>3</w:t>
      </w:r>
      <w:r>
        <w:rPr>
          <w:rFonts w:hint="eastAsia" w:ascii="宋体" w:hAnsi="宋体" w:eastAsia="宋体" w:cs="宋体"/>
          <w:kern w:val="0"/>
          <w:sz w:val="24"/>
          <w:szCs w:val="22"/>
          <w:lang w:val="en-US" w:eastAsia="zh-CN" w:bidi="ar"/>
        </w:rPr>
        <w:t>其他</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由于不可抗力等原因导致资金不到位的，致使</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人不能按合同付款，</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人不承担延期付款利息及违约金。</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若</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不按要求开立银行账户，导致货款或项目款延期支付，</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人不承担延期付款利息及违约金，</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不得因此停止合同的履行。</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8．合同变更</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8.1 由于项目变更，</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人向</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提出书面合同变更，</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应予以接受。甲乙双方共同修订的合同条款，构成本合同的有效组成部分，与本合同具有同等效力。</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8.2 根据项目需要，</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人对所</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设备的数量和送货时间如有变更，及时书面通知</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按变更后的数量和送货时间供货，新增或减少的设备价格不变。</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9．双方责任</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9.1 双方指定现场收货及交货代表。</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人收货代表：</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，联系电话:</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交货代表：</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，联系电话:</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双方更换各自代表时，应及时通知对方，以确保设备顺利交接。</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 xml:space="preserve">9.2 </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应将设备按合同约定时间运至</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人指定地点，并经</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人指定收货代表和</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人项目所属其他2人及以上签字验收确认后有效。</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9.3 本合同履行过程中，如果</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不能按时交货，应在24小时内以书面形式通报</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人视情况确定是否同意变更供货时间。如</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人不同意变更供货时间，可自行</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部分或全部设备。</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人在自行</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和接收该违约部分设备时实际发生的所有额外费用和因此给</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人造成的损失，从应支付给</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的货款中扣除，</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人同时保留进一步索赔的权利。</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9.4 除另有规定和协议要求外，</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提供的全部设备须采用国家、企业、行业标准要求包装，并同时满足方便所供设备长途及短途运输的要求，并有良好的防潮、防震、防锈、防爆等措施。</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9.5 装箱单应注明设备的名称、规格、型号、数量、质量、生产商、发货地、</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、收货人、交货地、承运人等，并在显著位置标明装卸警示标志。</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 xml:space="preserve">9.6 </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应对项目现场情况和当地政府运输时限和通道限制的正常及临时规定有充分了解和理解，不应因此提出索赔、要求延长或变更供货期限等。</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 xml:space="preserve">9.7 </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应提供本合同所</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与供应设备制造商的名称、法定地址、联系方法等，如果</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是本合同所</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与供应设备生产厂商的指定代理销售单位，</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还应向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人提供生产厂商的销售代理委托书或其他证明文件。</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 xml:space="preserve">9.8 </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运抵</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人指定现场的设备，交货单据上应详细列明当次供应设备的名称、品牌、产地、生产厂家、规格型号、计量单位、单价、数量、合计金额。</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9.9 本合同所</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与供应设备在使用过程中，</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人打开包装进行质量、性能等的检验时，发现质量问题告知</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应在三日内予以维修、更换或退货。</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 xml:space="preserve">9.10 </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应向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人提交本合同所</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与供应设备的技术文件，包括材质报告（设备质量检验报告）和生产合格检验报告，以及按照项目竣工验收规定及</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人要求，提供所有相关符合要求的资料。</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 xml:space="preserve">9.11 </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人、设计、相关内部监督单位审核</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提交的资料仅是一般性的监督，并不减少</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与此有关的合同责任。</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9.12 未经</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人同意，</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不得将本合同项下的任何权利义务（包含债权、债务）转让给第三人。</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即使向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人发送了权利义务（包含债权、债务）转让通知书，</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承诺该转让通知书对</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人不发生任何效力，</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承担因其转让行为给</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人造成的一切经济损失。</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9.13当一方纳税人信息等关键企业信息发生变化时，必须书面通知对方，否则应承担因此给对方造成的损失。</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9.14</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人依据本合同（</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纳税人相关信息）约定收款单位（</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公司名称）、开户银行、账号向</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支付货款。</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10．违约与赔偿</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10.1 除本合同中规定的不可抗力外，其他不论任何原因，本合同所</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与供应设备，</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若不能按规定期限送至</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人指定现场存货地点，有权因</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违约终止合同。</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10.2 对本合同所</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与供应的设备，</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人有权邀请当地有关质量监督管理部门进行检验，并出具检验证书，发现</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所供设备不符合要求，</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人向</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提出索赔，</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应予以接受。</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10.3 本合同所</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与供应的设备，在规定质量保证期限内</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人向</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提出索赔，</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应按下列条款向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人赔偿：</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（1）同意</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人拒收设备，并把被拒收设备的预付货款返还</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（2）承担退货过程中发生的一切损失和费用，包括利息、银行费用、运输和保险费、检验费、仓储和装卸费以及为保管和保护退货设备所需的其它费用。</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（3）根据设备的质量缺陷和受损程度以及</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人遭受损失，经双方协商同意降低设备价格。</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（4）更换或修理有缺陷的设备，以达到合同约定的质量和性能，</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承担一切费用和风险，并承担</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人因此而造成的损失。同时相应延长被更换或修理设备的质量保证期。</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 xml:space="preserve">10.4 </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人提出索赔通知后，</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应在28日内答复，如果在28日内未答复，视为</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已接受该索赔，同时</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人保留进一步要求赔偿的权利。</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 xml:space="preserve">10.5 </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应按</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人要求及时提供符合本合同约定的增值税发票，</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必须确保发票票面信息全部真实，相关设备品类、价款等内容与本合同相一致。</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因</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开具的发票不规范、不合法等导致发票不能抵扣税款或涉嫌虚开发票引起税务问题的，</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应向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人重新开具发票，并向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人承担赔偿责任，包括但不限于税款、滞纳金、罚款及相关损失等。</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因</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开具发票不及时给</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人造成无法及时认证、抵扣发票等情形的，</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应向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人承担赔偿责任，包括但不限于税款、滞纳金、罚款及相关损失等。</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不得擅自作废或冲红已向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人提供的发票，否则</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须按发票金额（含增值税）的20%向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人支付违约金，并向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人承担赔偿责任，包括但不限于税款、滞纳金、罚款及相关损失等。</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10.6 如</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未按</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人要求的时间内足额足量供应设备，对</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人造成影响达3天及以上，则</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人有权单方面终止合同，另选择</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，由此造成的一切损失由</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承担，同时</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人保留向</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进一步索赔的权利。</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10.7 未经</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人同意，如</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单方面终止供货，除承担给</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人造成的经济损失外，还应向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人支付未供货货款总额（含增值税）20%的违约金。</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11．不可抗力</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11.1 不可抗力系指签约双方在缔结合同时所不能预见，并且对其发生及后果无法避免和克服的事件。任何一方由于受到诸如战争、严重火灾、洪水、台风、地震等不可抗力的影响而不能执行合同时，履行合同的期限应予以延长，延长期限相当于不可抗力所影响的时间。</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11.2 受阻方应在不可抗力事件发生后尽快用电报、传真或电传等书面形式通知对方，并于事件发生后14日内将有关当局出具的证明文件用特快专递或挂号信寄给对方审阅确认，同时，受阻方应尽可能继续履行合同义务，积极采取合理的方案履行不受不可抗力影响的其他事项。</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11.3 不可抗力事件影响持续60日以上，双方通过友好协商，在合理时间内达成进一步履行或解除合同的协议。</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11.4 本条款所定义的不可抗力是指不能预见、不能避免并不能克服的客观情况，对于经营状况严重恶化、安排不周及税收政策的调整等情形，无论严重程度如何，均不理解为不可抗力。</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12．知识产权和专利权</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12.1 涉及到知识产权（或专利权）标记的产品，</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应提供知识产权（或专利权）及其权属的有效证明材料。</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承诺其提供的设备不侵犯他人的知识产权（或专利权），若</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提供设备侵犯他人知识产权（或专利权）导致他人向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人索赔的，以及</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违反本合同其他约定的，</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承担由此给</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人造成的一切损失，包括但不限于</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人处理此纠纷发生的律师费、诉讼费、仲裁费、差旅费等一切损失。</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人针对上述一切损失有权从</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结算货款中扣除或依法追索。</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13．争议解决</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13.1 遇争议问题双方协商解决，协商不能达成一致意见时，提交下列第2程序解决：</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人所在地仲裁委员会申请仲裁。</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（2）向</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人所在地人民法院起诉。</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14．其他</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14.1 本合同是双方合作的法律文件，对双方具有法律约束力。本合同解除的条件：按《合同法》有关条款执行。</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14.2 本合同包括合同履行过程中有关确定和变更合同实质性条件的会议纪要、往来信函、资料等。</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14.3.本合同中</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注明的电子邮箱需是有效（须保证能够正常使用），若使用电子邮件等数据电文形式的，此数据电文进入</w:t>
      </w: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提供的电子邮箱运营商服务器即视为收到。</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cs="宋体"/>
          <w:kern w:val="0"/>
          <w:sz w:val="24"/>
          <w:szCs w:val="22"/>
          <w:lang w:val="en-US" w:eastAsia="zh-CN" w:bidi="ar"/>
        </w:rPr>
        <w:t>投标人</w:t>
      </w:r>
      <w:r>
        <w:rPr>
          <w:rFonts w:hint="eastAsia" w:ascii="宋体" w:hAnsi="宋体" w:eastAsia="宋体" w:cs="宋体"/>
          <w:kern w:val="0"/>
          <w:sz w:val="24"/>
          <w:szCs w:val="22"/>
          <w:lang w:val="en-US" w:eastAsia="zh-CN" w:bidi="ar"/>
        </w:rPr>
        <w:t>电子邮箱（必填）：</w:t>
      </w:r>
      <w:r>
        <w:rPr>
          <w:rFonts w:hint="eastAsia" w:ascii="宋体" w:hAnsi="宋体" w:eastAsia="宋体" w:cs="宋体"/>
          <w:kern w:val="0"/>
          <w:sz w:val="24"/>
          <w:szCs w:val="22"/>
          <w:u w:val="single"/>
          <w:lang w:val="en-US" w:eastAsia="zh-CN" w:bidi="ar"/>
        </w:rPr>
        <w:t xml:space="preserve">                          </w:t>
      </w:r>
      <w:r>
        <w:rPr>
          <w:rFonts w:hint="eastAsia" w:ascii="宋体" w:hAnsi="宋体" w:eastAsia="宋体" w:cs="宋体"/>
          <w:kern w:val="0"/>
          <w:sz w:val="24"/>
          <w:szCs w:val="22"/>
          <w:lang w:val="en-US" w:eastAsia="zh-CN" w:bidi="ar"/>
        </w:rPr>
        <w:t>。</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14.4未尽事宜经</w:t>
      </w:r>
      <w:r>
        <w:rPr>
          <w:rFonts w:hint="eastAsia" w:ascii="宋体" w:hAnsi="宋体" w:cs="宋体"/>
          <w:kern w:val="0"/>
          <w:sz w:val="24"/>
          <w:szCs w:val="22"/>
          <w:lang w:val="en-US" w:eastAsia="zh-CN" w:bidi="ar"/>
        </w:rPr>
        <w:t>招标</w:t>
      </w:r>
      <w:r>
        <w:rPr>
          <w:rFonts w:hint="eastAsia" w:ascii="宋体" w:hAnsi="宋体" w:eastAsia="宋体" w:cs="宋体"/>
          <w:kern w:val="0"/>
          <w:sz w:val="24"/>
          <w:szCs w:val="22"/>
          <w:lang w:val="en-US" w:eastAsia="zh-CN" w:bidi="ar"/>
        </w:rPr>
        <w:t>人上级部门同意后，可签订补充协议，与本合同具有同等法律效力。</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Autospacing="0" w:line="360" w:lineRule="auto"/>
        <w:ind w:left="0" w:leftChars="0" w:right="0" w:firstLine="480" w:firstLineChars="200"/>
        <w:jc w:val="left"/>
        <w:textAlignment w:val="auto"/>
        <w:rPr>
          <w:sz w:val="24"/>
          <w:szCs w:val="22"/>
          <w:lang w:eastAsia="zh-CN"/>
        </w:rPr>
      </w:pPr>
      <w:r>
        <w:rPr>
          <w:rFonts w:hint="eastAsia" w:ascii="宋体" w:hAnsi="宋体" w:eastAsia="宋体" w:cs="宋体"/>
          <w:kern w:val="0"/>
          <w:sz w:val="24"/>
          <w:szCs w:val="22"/>
          <w:lang w:val="en-US" w:eastAsia="zh-CN" w:bidi="ar"/>
        </w:rPr>
        <w:t xml:space="preserve"> 本合同经双方签字盖章后即行生效，至双方履行完全部合同规定条款后失效。</w:t>
      </w:r>
    </w:p>
    <w:p>
      <w:pPr>
        <w:tabs>
          <w:tab w:val="left" w:pos="1260"/>
        </w:tabs>
        <w:spacing w:line="500" w:lineRule="exact"/>
        <w:ind w:firstLine="482"/>
        <w:textAlignment w:val="center"/>
        <w:rPr>
          <w:b/>
          <w:color w:val="auto"/>
          <w:sz w:val="36"/>
          <w:szCs w:val="36"/>
          <w:highlight w:val="none"/>
        </w:rPr>
      </w:pPr>
      <w:r>
        <w:rPr>
          <w:rFonts w:hint="eastAsia" w:ascii="宋体" w:hAnsi="宋体" w:eastAsia="宋体" w:cs="宋体"/>
          <w:kern w:val="0"/>
          <w:sz w:val="24"/>
          <w:szCs w:val="22"/>
          <w:lang w:val="en-US" w:eastAsia="zh-CN" w:bidi="ar"/>
        </w:rPr>
        <w:t>14.5补充条款：____________________________________。</w:t>
      </w:r>
    </w:p>
    <w:p>
      <w:pPr>
        <w:tabs>
          <w:tab w:val="left" w:pos="1260"/>
        </w:tabs>
        <w:spacing w:line="500" w:lineRule="exact"/>
        <w:ind w:firstLine="482"/>
        <w:textAlignment w:val="center"/>
        <w:rPr>
          <w:b/>
          <w:color w:val="auto"/>
          <w:sz w:val="36"/>
          <w:szCs w:val="36"/>
          <w:highlight w:val="none"/>
        </w:rPr>
      </w:pPr>
    </w:p>
    <w:p>
      <w:pPr>
        <w:spacing w:line="500" w:lineRule="exact"/>
        <w:ind w:left="105" w:firstLine="480" w:firstLineChars="200"/>
        <w:jc w:val="left"/>
        <w:rPr>
          <w:rFonts w:hint="eastAsia"/>
          <w:b/>
          <w:color w:val="auto"/>
          <w:sz w:val="36"/>
          <w:highlight w:val="none"/>
        </w:rPr>
      </w:pPr>
      <w:r>
        <w:rPr>
          <w:color w:val="auto"/>
          <w:sz w:val="24"/>
          <w:szCs w:val="24"/>
          <w:highlight w:val="none"/>
        </w:rPr>
        <w:br w:type="page"/>
      </w:r>
      <w:bookmarkEnd w:id="11"/>
      <w:bookmarkEnd w:id="12"/>
      <w:bookmarkStart w:id="14" w:name="_Toc499564662"/>
      <w:bookmarkStart w:id="15" w:name="_Toc437856508"/>
    </w:p>
    <w:p>
      <w:pPr>
        <w:spacing w:line="500" w:lineRule="exact"/>
        <w:jc w:val="center"/>
        <w:outlineLvl w:val="0"/>
        <w:rPr>
          <w:rFonts w:hint="eastAsia"/>
          <w:b/>
          <w:color w:val="auto"/>
          <w:sz w:val="36"/>
          <w:highlight w:val="none"/>
        </w:rPr>
      </w:pPr>
      <w:r>
        <w:rPr>
          <w:b/>
          <w:color w:val="auto"/>
          <w:sz w:val="36"/>
          <w:highlight w:val="none"/>
        </w:rPr>
        <w:t>第六部分  投标书格式</w:t>
      </w:r>
      <w:bookmarkEnd w:id="14"/>
      <w:bookmarkEnd w:id="15"/>
    </w:p>
    <w:p>
      <w:pPr>
        <w:spacing w:line="500" w:lineRule="exact"/>
        <w:jc w:val="center"/>
        <w:outlineLvl w:val="0"/>
        <w:rPr>
          <w:b/>
          <w:color w:val="auto"/>
          <w:sz w:val="36"/>
          <w:highlight w:val="none"/>
        </w:rPr>
      </w:pPr>
    </w:p>
    <w:p>
      <w:pPr>
        <w:jc w:val="right"/>
        <w:rPr>
          <w:rFonts w:hint="eastAsia" w:ascii="宋体" w:hAnsi="宋体" w:cs="宋体"/>
          <w:color w:val="auto"/>
          <w:highlight w:val="none"/>
        </w:rPr>
      </w:pPr>
      <w:bookmarkStart w:id="16" w:name="_Toc353257304"/>
      <w:bookmarkStart w:id="17" w:name="_Toc171496381"/>
      <w:r>
        <w:rPr>
          <w:rFonts w:hint="eastAsia" w:ascii="宋体" w:hAnsi="宋体" w:cs="宋体"/>
          <w:color w:val="auto"/>
          <w:highlight w:val="none"/>
        </w:rPr>
        <w:t>正（副）本</w:t>
      </w:r>
    </w:p>
    <w:p>
      <w:pPr>
        <w:rPr>
          <w:rFonts w:hint="eastAsia" w:ascii="宋体" w:hAnsi="宋体" w:cs="宋体"/>
          <w:b/>
          <w:bCs/>
          <w:color w:val="auto"/>
          <w:szCs w:val="21"/>
          <w:highlight w:val="none"/>
        </w:rPr>
      </w:pPr>
    </w:p>
    <w:p>
      <w:pPr>
        <w:rPr>
          <w:rFonts w:hint="eastAsia" w:ascii="宋体" w:hAnsi="宋体" w:cs="宋体"/>
          <w:b/>
          <w:bCs/>
          <w:color w:val="auto"/>
          <w:szCs w:val="21"/>
          <w:highlight w:val="none"/>
        </w:rPr>
      </w:pPr>
    </w:p>
    <w:p>
      <w:pPr>
        <w:rPr>
          <w:rFonts w:hint="eastAsia" w:ascii="宋体" w:hAnsi="宋体" w:cs="宋体"/>
          <w:b/>
          <w:bCs/>
          <w:color w:val="auto"/>
          <w:szCs w:val="21"/>
          <w:highlight w:val="none"/>
        </w:rPr>
      </w:pPr>
    </w:p>
    <w:p>
      <w:pPr>
        <w:rPr>
          <w:rFonts w:hint="eastAsia" w:ascii="宋体" w:hAnsi="宋体" w:cs="宋体"/>
          <w:b/>
          <w:bCs/>
          <w:color w:val="auto"/>
          <w:szCs w:val="21"/>
          <w:highlight w:val="none"/>
        </w:rPr>
      </w:pP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招标</w:t>
      </w:r>
    </w:p>
    <w:p>
      <w:pPr>
        <w:jc w:val="center"/>
        <w:rPr>
          <w:rFonts w:hint="eastAsia" w:ascii="宋体" w:hAnsi="宋体" w:cs="宋体"/>
          <w:color w:val="auto"/>
          <w:sz w:val="20"/>
          <w:highlight w:val="none"/>
          <w:u w:val="single"/>
        </w:rPr>
      </w:pPr>
      <w:r>
        <w:rPr>
          <w:rFonts w:hint="eastAsia" w:ascii="宋体" w:hAnsi="宋体" w:cs="宋体"/>
          <w:color w:val="auto"/>
          <w:sz w:val="28"/>
          <w:szCs w:val="28"/>
          <w:highlight w:val="none"/>
        </w:rPr>
        <w:t xml:space="preserve"> </w:t>
      </w:r>
    </w:p>
    <w:p>
      <w:pPr>
        <w:pStyle w:val="67"/>
        <w:wordWrap w:val="0"/>
        <w:jc w:val="center"/>
        <w:rPr>
          <w:rFonts w:hint="eastAsia" w:cs="宋体"/>
          <w:color w:val="auto"/>
          <w:kern w:val="2"/>
          <w:sz w:val="28"/>
          <w:szCs w:val="28"/>
          <w:highlight w:val="none"/>
        </w:rPr>
      </w:pPr>
    </w:p>
    <w:p>
      <w:pPr>
        <w:jc w:val="center"/>
        <w:rPr>
          <w:rFonts w:hint="eastAsia" w:ascii="宋体" w:hAnsi="宋体" w:cs="宋体"/>
          <w:color w:val="auto"/>
          <w:sz w:val="20"/>
          <w:highlight w:val="none"/>
          <w:u w:val="single"/>
        </w:rPr>
      </w:pPr>
    </w:p>
    <w:p>
      <w:pPr>
        <w:rPr>
          <w:rFonts w:hint="eastAsia" w:ascii="宋体" w:hAnsi="宋体" w:cs="宋体"/>
          <w:b/>
          <w:bCs/>
          <w:color w:val="auto"/>
          <w:szCs w:val="21"/>
          <w:highlight w:val="none"/>
        </w:rPr>
      </w:pPr>
    </w:p>
    <w:p>
      <w:pPr>
        <w:rPr>
          <w:rFonts w:hint="eastAsia" w:ascii="宋体" w:hAnsi="宋体" w:cs="宋体"/>
          <w:b/>
          <w:bCs/>
          <w:color w:val="auto"/>
          <w:szCs w:val="21"/>
          <w:highlight w:val="none"/>
        </w:rPr>
      </w:pP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投  标  文  件</w:t>
      </w:r>
    </w:p>
    <w:p>
      <w:pPr>
        <w:rPr>
          <w:rFonts w:hint="eastAsia" w:ascii="宋体" w:hAnsi="宋体" w:cs="宋体"/>
          <w:color w:val="auto"/>
          <w:sz w:val="28"/>
          <w:szCs w:val="28"/>
          <w:highlight w:val="none"/>
        </w:rPr>
      </w:pPr>
    </w:p>
    <w:p>
      <w:pPr>
        <w:rPr>
          <w:rFonts w:hint="eastAsia" w:ascii="宋体" w:hAnsi="宋体" w:cs="宋体"/>
          <w:color w:val="auto"/>
          <w:sz w:val="28"/>
          <w:szCs w:val="28"/>
          <w:highlight w:val="none"/>
        </w:rPr>
      </w:pPr>
    </w:p>
    <w:p>
      <w:pPr>
        <w:rPr>
          <w:rFonts w:hint="eastAsia" w:ascii="宋体" w:hAnsi="宋体" w:cs="宋体"/>
          <w:color w:val="auto"/>
          <w:sz w:val="28"/>
          <w:szCs w:val="28"/>
          <w:highlight w:val="none"/>
        </w:rPr>
      </w:pPr>
    </w:p>
    <w:p>
      <w:pPr>
        <w:rPr>
          <w:rFonts w:hint="eastAsia" w:ascii="宋体" w:hAnsi="宋体" w:cs="宋体"/>
          <w:color w:val="auto"/>
          <w:sz w:val="28"/>
          <w:szCs w:val="28"/>
          <w:highlight w:val="none"/>
        </w:rPr>
      </w:pPr>
    </w:p>
    <w:p>
      <w:pPr>
        <w:ind w:firstLine="1540" w:firstLineChars="55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（盖单位公章）</w:t>
      </w:r>
    </w:p>
    <w:p>
      <w:pPr>
        <w:rPr>
          <w:rFonts w:hint="eastAsia" w:ascii="宋体" w:hAnsi="宋体" w:cs="宋体"/>
          <w:color w:val="auto"/>
          <w:sz w:val="28"/>
          <w:szCs w:val="28"/>
          <w:highlight w:val="none"/>
        </w:rPr>
      </w:pPr>
    </w:p>
    <w:p>
      <w:pPr>
        <w:ind w:firstLine="1540" w:firstLineChars="550"/>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法定代表人或其委托代理人：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（签字或</w:t>
      </w:r>
      <w:r>
        <w:rPr>
          <w:rFonts w:hint="eastAsia" w:ascii="宋体" w:hAnsi="宋体" w:cs="宋体"/>
          <w:color w:val="auto"/>
          <w:sz w:val="28"/>
          <w:szCs w:val="28"/>
          <w:highlight w:val="none"/>
          <w:lang w:val="en-US" w:eastAsia="zh-CN"/>
        </w:rPr>
        <w:t>签</w:t>
      </w:r>
      <w:r>
        <w:rPr>
          <w:rFonts w:hint="eastAsia" w:ascii="宋体" w:hAnsi="宋体" w:cs="宋体"/>
          <w:color w:val="auto"/>
          <w:sz w:val="28"/>
          <w:szCs w:val="28"/>
          <w:highlight w:val="none"/>
        </w:rPr>
        <w:t>章）</w:t>
      </w:r>
    </w:p>
    <w:p>
      <w:pPr>
        <w:rPr>
          <w:rFonts w:hint="eastAsia" w:ascii="宋体" w:hAnsi="宋体" w:cs="宋体"/>
          <w:color w:val="auto"/>
          <w:sz w:val="28"/>
          <w:szCs w:val="28"/>
          <w:highlight w:val="none"/>
          <w:u w:val="single"/>
        </w:rPr>
      </w:pPr>
    </w:p>
    <w:p>
      <w:pPr>
        <w:ind w:firstLine="1680" w:firstLineChars="600"/>
        <w:rPr>
          <w:rFonts w:hint="eastAsia" w:ascii="宋体" w:hAnsi="宋体" w:cs="宋体"/>
          <w:color w:val="auto"/>
          <w:sz w:val="28"/>
          <w:szCs w:val="28"/>
          <w:highlight w:val="none"/>
        </w:rPr>
      </w:pPr>
      <w:r>
        <w:rPr>
          <w:rFonts w:hint="eastAsia" w:ascii="宋体" w:hAnsi="宋体" w:cs="宋体"/>
          <w:color w:val="auto"/>
          <w:sz w:val="28"/>
          <w:szCs w:val="28"/>
          <w:highlight w:val="none"/>
        </w:rPr>
        <w:t>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pPr>
        <w:spacing w:line="500" w:lineRule="exact"/>
        <w:jc w:val="center"/>
        <w:rPr>
          <w:rFonts w:hint="eastAsia" w:ascii="宋体" w:hAnsi="宋体" w:cs="宋体"/>
          <w:b/>
          <w:color w:val="auto"/>
          <w:sz w:val="30"/>
          <w:szCs w:val="30"/>
          <w:highlight w:val="none"/>
        </w:rPr>
      </w:pPr>
    </w:p>
    <w:p>
      <w:pPr>
        <w:spacing w:line="500" w:lineRule="exact"/>
        <w:jc w:val="center"/>
        <w:rPr>
          <w:rFonts w:hint="eastAsia" w:ascii="宋体" w:hAnsi="宋体" w:cs="宋体"/>
          <w:b/>
          <w:color w:val="auto"/>
          <w:sz w:val="30"/>
          <w:szCs w:val="30"/>
          <w:highlight w:val="none"/>
        </w:rPr>
      </w:pPr>
    </w:p>
    <w:p>
      <w:pPr>
        <w:spacing w:line="500" w:lineRule="exact"/>
        <w:jc w:val="center"/>
        <w:rPr>
          <w:rFonts w:hint="eastAsia" w:ascii="宋体" w:hAnsi="宋体" w:cs="宋体"/>
          <w:b/>
          <w:color w:val="auto"/>
          <w:sz w:val="30"/>
          <w:szCs w:val="30"/>
          <w:highlight w:val="none"/>
        </w:rPr>
      </w:pPr>
    </w:p>
    <w:p>
      <w:pPr>
        <w:pStyle w:val="2"/>
        <w:ind w:firstLine="602"/>
        <w:rPr>
          <w:rFonts w:hint="eastAsia" w:ascii="宋体" w:hAnsi="宋体" w:cs="宋体"/>
          <w:b/>
          <w:color w:val="auto"/>
          <w:sz w:val="30"/>
          <w:szCs w:val="30"/>
          <w:highlight w:val="none"/>
        </w:rPr>
      </w:pPr>
    </w:p>
    <w:p>
      <w:pPr>
        <w:rPr>
          <w:rFonts w:hint="eastAsia" w:ascii="宋体" w:hAnsi="宋体" w:cs="宋体"/>
          <w:b/>
          <w:color w:val="auto"/>
          <w:sz w:val="30"/>
          <w:szCs w:val="30"/>
          <w:highlight w:val="none"/>
        </w:rPr>
      </w:pPr>
    </w:p>
    <w:p>
      <w:pPr>
        <w:pStyle w:val="2"/>
        <w:ind w:firstLine="602"/>
        <w:rPr>
          <w:rFonts w:hint="eastAsia" w:ascii="宋体" w:hAnsi="宋体" w:cs="宋体"/>
          <w:b/>
          <w:color w:val="auto"/>
          <w:sz w:val="30"/>
          <w:szCs w:val="30"/>
          <w:highlight w:val="none"/>
        </w:rPr>
      </w:pPr>
    </w:p>
    <w:p>
      <w:pPr>
        <w:rPr>
          <w:rFonts w:hint="eastAsia"/>
          <w:color w:val="auto"/>
          <w:highlight w:val="none"/>
        </w:rPr>
      </w:pPr>
    </w:p>
    <w:p>
      <w:pPr>
        <w:spacing w:line="500" w:lineRule="exact"/>
        <w:rPr>
          <w:rFonts w:hint="eastAsia" w:ascii="宋体" w:hAnsi="宋体" w:cs="宋体"/>
          <w:b/>
          <w:color w:val="auto"/>
          <w:sz w:val="30"/>
          <w:szCs w:val="30"/>
          <w:highlight w:val="none"/>
        </w:rPr>
      </w:pPr>
    </w:p>
    <w:p>
      <w:pPr>
        <w:rPr>
          <w:rFonts w:hint="eastAsia" w:ascii="宋体" w:hAnsi="宋体" w:cs="宋体"/>
          <w:b/>
          <w:bCs/>
          <w:color w:val="auto"/>
          <w:szCs w:val="24"/>
          <w:highlight w:val="none"/>
        </w:rPr>
      </w:pPr>
      <w:r>
        <w:rPr>
          <w:rFonts w:hint="eastAsia" w:ascii="宋体" w:hAnsi="宋体" w:cs="宋体"/>
          <w:b/>
          <w:bCs/>
          <w:color w:val="auto"/>
          <w:szCs w:val="24"/>
          <w:highlight w:val="none"/>
        </w:rPr>
        <w:br w:type="page"/>
      </w:r>
    </w:p>
    <w:p>
      <w:pPr>
        <w:tabs>
          <w:tab w:val="left" w:pos="0"/>
          <w:tab w:val="left" w:pos="180"/>
          <w:tab w:val="left" w:pos="360"/>
        </w:tabs>
        <w:spacing w:line="520" w:lineRule="exact"/>
        <w:rPr>
          <w:rFonts w:hint="eastAsia" w:ascii="宋体" w:hAnsi="宋体" w:cs="宋体"/>
          <w:b/>
          <w:bCs/>
          <w:color w:val="auto"/>
          <w:szCs w:val="24"/>
          <w:highlight w:val="none"/>
        </w:rPr>
      </w:pPr>
      <w:r>
        <w:rPr>
          <w:rFonts w:hint="eastAsia" w:ascii="宋体" w:hAnsi="宋体" w:cs="宋体"/>
          <w:b/>
          <w:bCs/>
          <w:color w:val="auto"/>
          <w:szCs w:val="24"/>
          <w:highlight w:val="none"/>
        </w:rPr>
        <w:t>1、开标一览表及投标函</w:t>
      </w:r>
    </w:p>
    <w:p>
      <w:pPr>
        <w:tabs>
          <w:tab w:val="left" w:pos="0"/>
          <w:tab w:val="left" w:pos="180"/>
          <w:tab w:val="left" w:pos="360"/>
        </w:tabs>
        <w:spacing w:line="520" w:lineRule="exact"/>
        <w:rPr>
          <w:rFonts w:hint="eastAsia" w:ascii="宋体" w:hAnsi="宋体" w:cs="宋体"/>
          <w:color w:val="auto"/>
          <w:szCs w:val="24"/>
          <w:highlight w:val="none"/>
        </w:rPr>
      </w:pPr>
      <w:r>
        <w:rPr>
          <w:rFonts w:hint="eastAsia" w:ascii="宋体" w:hAnsi="宋体" w:cs="宋体"/>
          <w:color w:val="auto"/>
          <w:szCs w:val="24"/>
          <w:highlight w:val="none"/>
        </w:rPr>
        <w:t>开标一览表</w:t>
      </w:r>
    </w:p>
    <w:p>
      <w:pPr>
        <w:tabs>
          <w:tab w:val="left" w:pos="0"/>
          <w:tab w:val="left" w:pos="180"/>
          <w:tab w:val="left" w:pos="360"/>
        </w:tabs>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投标函          </w:t>
      </w:r>
    </w:p>
    <w:p>
      <w:pPr>
        <w:tabs>
          <w:tab w:val="left" w:pos="0"/>
          <w:tab w:val="left" w:pos="180"/>
          <w:tab w:val="left" w:pos="360"/>
        </w:tabs>
        <w:spacing w:line="520" w:lineRule="exact"/>
        <w:rPr>
          <w:rFonts w:hint="eastAsia" w:ascii="宋体" w:hAnsi="宋体" w:cs="宋体"/>
          <w:b/>
          <w:bCs/>
          <w:color w:val="auto"/>
          <w:szCs w:val="24"/>
          <w:highlight w:val="none"/>
        </w:rPr>
      </w:pPr>
      <w:r>
        <w:rPr>
          <w:rFonts w:hint="eastAsia" w:ascii="宋体" w:hAnsi="宋体" w:cs="宋体"/>
          <w:b/>
          <w:bCs/>
          <w:color w:val="auto"/>
          <w:szCs w:val="24"/>
          <w:highlight w:val="none"/>
        </w:rPr>
        <w:t xml:space="preserve">2、资信标  </w:t>
      </w:r>
    </w:p>
    <w:p>
      <w:pPr>
        <w:tabs>
          <w:tab w:val="left" w:pos="0"/>
          <w:tab w:val="left" w:pos="180"/>
          <w:tab w:val="left" w:pos="360"/>
        </w:tabs>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法定代表人身份证明      </w:t>
      </w:r>
    </w:p>
    <w:p>
      <w:pPr>
        <w:tabs>
          <w:tab w:val="left" w:pos="0"/>
          <w:tab w:val="left" w:pos="180"/>
          <w:tab w:val="left" w:pos="360"/>
        </w:tabs>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授权委托书        </w:t>
      </w:r>
    </w:p>
    <w:p>
      <w:pPr>
        <w:tabs>
          <w:tab w:val="left" w:pos="0"/>
          <w:tab w:val="left" w:pos="180"/>
          <w:tab w:val="left" w:pos="360"/>
        </w:tabs>
        <w:spacing w:line="520" w:lineRule="exact"/>
        <w:rPr>
          <w:rFonts w:hint="eastAsia" w:ascii="宋体" w:hAnsi="宋体" w:cs="宋体"/>
          <w:color w:val="auto"/>
          <w:szCs w:val="24"/>
          <w:highlight w:val="none"/>
        </w:rPr>
      </w:pPr>
      <w:r>
        <w:rPr>
          <w:rFonts w:hint="eastAsia" w:ascii="宋体" w:hAnsi="宋体" w:cs="宋体"/>
          <w:color w:val="auto"/>
          <w:szCs w:val="24"/>
          <w:highlight w:val="none"/>
        </w:rPr>
        <w:t xml:space="preserve">联合体协议书（本项目不适用）   </w:t>
      </w:r>
    </w:p>
    <w:p>
      <w:pPr>
        <w:tabs>
          <w:tab w:val="left" w:pos="0"/>
          <w:tab w:val="left" w:pos="180"/>
          <w:tab w:val="left" w:pos="360"/>
        </w:tabs>
        <w:spacing w:line="520" w:lineRule="exact"/>
        <w:rPr>
          <w:rFonts w:hint="eastAsia" w:ascii="宋体" w:hAnsi="宋体" w:cs="宋体"/>
          <w:b/>
          <w:bCs/>
          <w:color w:val="auto"/>
          <w:szCs w:val="24"/>
          <w:highlight w:val="none"/>
        </w:rPr>
      </w:pPr>
      <w:r>
        <w:rPr>
          <w:rFonts w:hint="eastAsia" w:ascii="宋体" w:hAnsi="宋体" w:cs="宋体"/>
          <w:b/>
          <w:bCs/>
          <w:color w:val="auto"/>
          <w:szCs w:val="24"/>
          <w:highlight w:val="none"/>
        </w:rPr>
        <w:t xml:space="preserve">3、资格审查资料    </w:t>
      </w:r>
    </w:p>
    <w:p>
      <w:pPr>
        <w:tabs>
          <w:tab w:val="left" w:pos="0"/>
          <w:tab w:val="left" w:pos="180"/>
          <w:tab w:val="left" w:pos="360"/>
        </w:tabs>
        <w:spacing w:line="520" w:lineRule="exact"/>
        <w:rPr>
          <w:rFonts w:hint="eastAsia" w:ascii="宋体" w:hAnsi="宋体" w:cs="宋体"/>
          <w:b/>
          <w:bCs/>
          <w:color w:val="auto"/>
          <w:szCs w:val="24"/>
          <w:highlight w:val="none"/>
        </w:rPr>
      </w:pPr>
      <w:r>
        <w:rPr>
          <w:rFonts w:hint="eastAsia" w:ascii="宋体" w:hAnsi="宋体" w:cs="宋体"/>
          <w:b/>
          <w:bCs/>
          <w:color w:val="auto"/>
          <w:szCs w:val="24"/>
          <w:highlight w:val="none"/>
        </w:rPr>
        <w:t xml:space="preserve">4、企业获奖  </w:t>
      </w:r>
    </w:p>
    <w:p>
      <w:pPr>
        <w:tabs>
          <w:tab w:val="left" w:pos="0"/>
          <w:tab w:val="left" w:pos="180"/>
          <w:tab w:val="left" w:pos="360"/>
        </w:tabs>
        <w:spacing w:line="520" w:lineRule="exact"/>
        <w:rPr>
          <w:rFonts w:hint="eastAsia" w:ascii="宋体" w:hAnsi="宋体" w:cs="宋体"/>
          <w:b/>
          <w:bCs/>
          <w:color w:val="auto"/>
          <w:szCs w:val="24"/>
          <w:highlight w:val="none"/>
        </w:rPr>
      </w:pPr>
      <w:r>
        <w:rPr>
          <w:rFonts w:hint="eastAsia" w:ascii="宋体" w:hAnsi="宋体" w:cs="宋体"/>
          <w:b/>
          <w:bCs/>
          <w:color w:val="auto"/>
          <w:szCs w:val="24"/>
          <w:highlight w:val="none"/>
        </w:rPr>
        <w:t xml:space="preserve">5、企业各类证书   </w:t>
      </w:r>
    </w:p>
    <w:p>
      <w:pPr>
        <w:tabs>
          <w:tab w:val="left" w:pos="0"/>
          <w:tab w:val="left" w:pos="180"/>
          <w:tab w:val="left" w:pos="360"/>
        </w:tabs>
        <w:spacing w:line="520" w:lineRule="exact"/>
        <w:rPr>
          <w:rFonts w:hint="eastAsia" w:ascii="宋体" w:hAnsi="宋体" w:cs="宋体"/>
          <w:b/>
          <w:bCs/>
          <w:color w:val="auto"/>
          <w:szCs w:val="24"/>
          <w:highlight w:val="none"/>
        </w:rPr>
      </w:pPr>
      <w:r>
        <w:rPr>
          <w:rFonts w:hint="eastAsia" w:ascii="宋体" w:hAnsi="宋体" w:cs="宋体"/>
          <w:b/>
          <w:bCs/>
          <w:color w:val="auto"/>
          <w:szCs w:val="24"/>
          <w:highlight w:val="none"/>
        </w:rPr>
        <w:t xml:space="preserve">6、近年来完成业绩      </w:t>
      </w:r>
    </w:p>
    <w:p>
      <w:pPr>
        <w:tabs>
          <w:tab w:val="left" w:pos="0"/>
          <w:tab w:val="left" w:pos="180"/>
          <w:tab w:val="left" w:pos="360"/>
        </w:tabs>
        <w:spacing w:line="520" w:lineRule="exact"/>
        <w:rPr>
          <w:rFonts w:hint="eastAsia" w:ascii="宋体" w:hAnsi="宋体" w:cs="宋体"/>
          <w:b/>
          <w:bCs/>
          <w:color w:val="auto"/>
          <w:szCs w:val="24"/>
          <w:highlight w:val="none"/>
        </w:rPr>
      </w:pPr>
      <w:r>
        <w:rPr>
          <w:rFonts w:hint="eastAsia" w:ascii="宋体" w:hAnsi="宋体" w:cs="宋体"/>
          <w:b/>
          <w:bCs/>
          <w:color w:val="auto"/>
          <w:szCs w:val="24"/>
          <w:highlight w:val="none"/>
        </w:rPr>
        <w:t xml:space="preserve">7、拟投入本项目从业人员   </w:t>
      </w:r>
    </w:p>
    <w:p>
      <w:pPr>
        <w:tabs>
          <w:tab w:val="left" w:pos="0"/>
          <w:tab w:val="left" w:pos="180"/>
          <w:tab w:val="left" w:pos="360"/>
        </w:tabs>
        <w:spacing w:line="520" w:lineRule="exact"/>
        <w:rPr>
          <w:rFonts w:hint="eastAsia" w:ascii="宋体" w:hAnsi="宋体" w:cs="宋体"/>
          <w:b/>
          <w:bCs/>
          <w:color w:val="auto"/>
          <w:szCs w:val="24"/>
          <w:highlight w:val="none"/>
        </w:rPr>
      </w:pPr>
      <w:r>
        <w:rPr>
          <w:rFonts w:hint="eastAsia" w:ascii="宋体" w:hAnsi="宋体" w:cs="宋体"/>
          <w:b/>
          <w:bCs/>
          <w:color w:val="auto"/>
          <w:szCs w:val="24"/>
          <w:highlight w:val="none"/>
        </w:rPr>
        <w:t xml:space="preserve">8、商务和技术偏差表  </w:t>
      </w:r>
    </w:p>
    <w:p>
      <w:pPr>
        <w:tabs>
          <w:tab w:val="left" w:pos="0"/>
          <w:tab w:val="left" w:pos="180"/>
          <w:tab w:val="left" w:pos="360"/>
        </w:tabs>
        <w:spacing w:line="520" w:lineRule="exact"/>
        <w:rPr>
          <w:rFonts w:hint="eastAsia" w:ascii="宋体" w:hAnsi="宋体" w:cs="宋体"/>
          <w:b/>
          <w:bCs/>
          <w:color w:val="auto"/>
          <w:szCs w:val="24"/>
          <w:highlight w:val="none"/>
        </w:rPr>
      </w:pPr>
      <w:r>
        <w:rPr>
          <w:rFonts w:hint="eastAsia" w:ascii="宋体" w:hAnsi="宋体" w:cs="宋体"/>
          <w:b/>
          <w:bCs/>
          <w:color w:val="auto"/>
          <w:szCs w:val="24"/>
          <w:highlight w:val="none"/>
        </w:rPr>
        <w:t xml:space="preserve">9、商务标    </w:t>
      </w:r>
    </w:p>
    <w:p>
      <w:pPr>
        <w:tabs>
          <w:tab w:val="left" w:pos="0"/>
          <w:tab w:val="left" w:pos="180"/>
          <w:tab w:val="left" w:pos="360"/>
        </w:tabs>
        <w:spacing w:line="520" w:lineRule="exact"/>
        <w:rPr>
          <w:rFonts w:hint="eastAsia" w:ascii="宋体" w:hAnsi="宋体" w:cs="宋体"/>
          <w:color w:val="auto"/>
          <w:szCs w:val="24"/>
          <w:highlight w:val="none"/>
        </w:rPr>
      </w:pPr>
      <w:r>
        <w:rPr>
          <w:rFonts w:hint="eastAsia" w:ascii="宋体" w:hAnsi="宋体" w:cs="宋体"/>
          <w:color w:val="auto"/>
          <w:szCs w:val="24"/>
          <w:highlight w:val="none"/>
        </w:rPr>
        <w:t>分项报价表</w:t>
      </w:r>
    </w:p>
    <w:p>
      <w:pPr>
        <w:tabs>
          <w:tab w:val="left" w:pos="0"/>
          <w:tab w:val="left" w:pos="180"/>
          <w:tab w:val="left" w:pos="360"/>
        </w:tabs>
        <w:spacing w:line="520" w:lineRule="exact"/>
        <w:rPr>
          <w:rFonts w:hint="eastAsia" w:ascii="宋体" w:hAnsi="宋体" w:cs="宋体"/>
          <w:b/>
          <w:bCs/>
          <w:color w:val="auto"/>
          <w:szCs w:val="24"/>
          <w:highlight w:val="none"/>
        </w:rPr>
      </w:pPr>
      <w:r>
        <w:rPr>
          <w:rFonts w:hint="eastAsia" w:ascii="宋体" w:hAnsi="宋体" w:cs="宋体"/>
          <w:b/>
          <w:bCs/>
          <w:color w:val="auto"/>
          <w:szCs w:val="24"/>
          <w:highlight w:val="none"/>
        </w:rPr>
        <w:t xml:space="preserve">10、技术标 </w:t>
      </w:r>
    </w:p>
    <w:p>
      <w:pPr>
        <w:tabs>
          <w:tab w:val="left" w:pos="0"/>
          <w:tab w:val="left" w:pos="180"/>
          <w:tab w:val="left" w:pos="360"/>
        </w:tabs>
        <w:spacing w:line="520" w:lineRule="exact"/>
        <w:rPr>
          <w:rFonts w:hint="eastAsia" w:ascii="宋体" w:hAnsi="宋体" w:cs="宋体"/>
          <w:b/>
          <w:bCs/>
          <w:color w:val="auto"/>
          <w:szCs w:val="24"/>
          <w:highlight w:val="none"/>
        </w:rPr>
      </w:pPr>
      <w:r>
        <w:rPr>
          <w:rFonts w:hint="eastAsia" w:ascii="宋体" w:hAnsi="宋体" w:cs="宋体"/>
          <w:b/>
          <w:bCs/>
          <w:color w:val="auto"/>
          <w:szCs w:val="24"/>
          <w:highlight w:val="none"/>
        </w:rPr>
        <w:t>11、投标人需要加以说明的其他材料</w:t>
      </w:r>
    </w:p>
    <w:p>
      <w:pPr>
        <w:spacing w:line="500" w:lineRule="exact"/>
        <w:jc w:val="center"/>
        <w:rPr>
          <w:rFonts w:hint="eastAsia" w:ascii="宋体" w:hAnsi="宋体" w:cs="宋体"/>
          <w:b/>
          <w:color w:val="auto"/>
          <w:sz w:val="30"/>
          <w:szCs w:val="30"/>
          <w:highlight w:val="none"/>
        </w:rPr>
      </w:pPr>
    </w:p>
    <w:p>
      <w:pPr>
        <w:spacing w:line="500" w:lineRule="exact"/>
        <w:jc w:val="center"/>
        <w:rPr>
          <w:rFonts w:hint="eastAsia" w:ascii="宋体" w:hAnsi="宋体" w:cs="宋体"/>
          <w:b/>
          <w:color w:val="auto"/>
          <w:sz w:val="30"/>
          <w:szCs w:val="30"/>
          <w:highlight w:val="none"/>
        </w:rPr>
      </w:pPr>
    </w:p>
    <w:p>
      <w:pPr>
        <w:spacing w:line="500" w:lineRule="exact"/>
        <w:jc w:val="center"/>
        <w:rPr>
          <w:rFonts w:hint="eastAsia" w:ascii="宋体" w:hAnsi="宋体" w:cs="宋体"/>
          <w:b/>
          <w:color w:val="auto"/>
          <w:sz w:val="30"/>
          <w:szCs w:val="30"/>
          <w:highlight w:val="none"/>
        </w:rPr>
      </w:pPr>
    </w:p>
    <w:p>
      <w:pPr>
        <w:spacing w:line="500" w:lineRule="exact"/>
        <w:jc w:val="center"/>
        <w:rPr>
          <w:rFonts w:hint="eastAsia" w:ascii="宋体" w:hAnsi="宋体" w:cs="宋体"/>
          <w:b/>
          <w:color w:val="auto"/>
          <w:sz w:val="30"/>
          <w:szCs w:val="30"/>
          <w:highlight w:val="none"/>
        </w:rPr>
      </w:pPr>
    </w:p>
    <w:p>
      <w:pPr>
        <w:spacing w:line="500" w:lineRule="exact"/>
        <w:jc w:val="center"/>
        <w:rPr>
          <w:rFonts w:hint="eastAsia" w:ascii="宋体" w:hAnsi="宋体" w:cs="宋体"/>
          <w:b/>
          <w:color w:val="auto"/>
          <w:sz w:val="30"/>
          <w:szCs w:val="30"/>
          <w:highlight w:val="none"/>
        </w:rPr>
      </w:pPr>
    </w:p>
    <w:p>
      <w:pPr>
        <w:spacing w:line="500" w:lineRule="exact"/>
        <w:jc w:val="center"/>
        <w:rPr>
          <w:rFonts w:hint="eastAsia" w:ascii="宋体" w:hAnsi="宋体" w:cs="宋体"/>
          <w:b/>
          <w:color w:val="auto"/>
          <w:sz w:val="30"/>
          <w:szCs w:val="30"/>
          <w:highlight w:val="none"/>
        </w:rPr>
      </w:pPr>
    </w:p>
    <w:p>
      <w:pPr>
        <w:spacing w:line="500" w:lineRule="exact"/>
        <w:rPr>
          <w:rFonts w:hint="eastAsia" w:ascii="宋体" w:hAnsi="宋体" w:cs="宋体"/>
          <w:b/>
          <w:color w:val="auto"/>
          <w:sz w:val="30"/>
          <w:szCs w:val="30"/>
          <w:highlight w:val="none"/>
        </w:rPr>
      </w:pPr>
    </w:p>
    <w:p>
      <w:pP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br w:type="page"/>
      </w:r>
    </w:p>
    <w:p>
      <w:pPr>
        <w:spacing w:before="60" w:after="60" w:line="500" w:lineRule="exact"/>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附件：报价一览表</w:t>
      </w:r>
    </w:p>
    <w:p>
      <w:pPr>
        <w:spacing w:before="60" w:after="60"/>
        <w:rPr>
          <w:rFonts w:hint="eastAsia" w:ascii="宋体" w:hAnsi="宋体" w:cs="宋体"/>
          <w:color w:val="auto"/>
          <w:szCs w:val="24"/>
          <w:highlight w:val="none"/>
        </w:rPr>
      </w:pPr>
    </w:p>
    <w:p>
      <w:pPr>
        <w:spacing w:before="60" w:after="60"/>
        <w:rPr>
          <w:rFonts w:hint="eastAsia" w:ascii="宋体" w:hAnsi="宋体" w:cs="宋体"/>
          <w:color w:val="auto"/>
          <w:szCs w:val="24"/>
          <w:highlight w:val="none"/>
        </w:rPr>
      </w:pPr>
    </w:p>
    <w:p>
      <w:pPr>
        <w:pStyle w:val="90"/>
        <w:ind w:left="0" w:leftChars="0" w:firstLine="0" w:firstLineChars="0"/>
        <w:jc w:val="center"/>
        <w:rPr>
          <w:rFonts w:hint="eastAsia"/>
          <w:color w:val="auto"/>
          <w:highlight w:val="none"/>
        </w:rPr>
      </w:pPr>
      <w:r>
        <w:rPr>
          <w:rFonts w:hint="eastAsia" w:ascii="宋体" w:hAnsi="宋体" w:cs="宋体"/>
          <w:b/>
          <w:bCs/>
          <w:color w:val="auto"/>
          <w:sz w:val="30"/>
          <w:szCs w:val="30"/>
          <w:highlight w:val="none"/>
        </w:rPr>
        <w:t>（以电子标系统内生成格式为准填写并签章）</w:t>
      </w:r>
    </w:p>
    <w:p>
      <w:pPr>
        <w:spacing w:before="60" w:after="60"/>
        <w:rPr>
          <w:rFonts w:hint="eastAsia" w:ascii="宋体" w:hAnsi="宋体" w:cs="宋体"/>
          <w:color w:val="auto"/>
          <w:szCs w:val="24"/>
          <w:highlight w:val="none"/>
        </w:rPr>
      </w:pPr>
    </w:p>
    <w:p>
      <w:pPr>
        <w:spacing w:before="60" w:after="60"/>
        <w:rPr>
          <w:rFonts w:hint="eastAsia" w:ascii="宋体" w:hAnsi="宋体" w:cs="宋体"/>
          <w:color w:val="auto"/>
          <w:szCs w:val="24"/>
          <w:highlight w:val="none"/>
        </w:rPr>
      </w:pPr>
      <w:r>
        <w:rPr>
          <w:rFonts w:hint="eastAsia" w:ascii="宋体" w:hAnsi="宋体" w:cs="宋体"/>
          <w:color w:val="auto"/>
          <w:szCs w:val="24"/>
          <w:highlight w:val="none"/>
        </w:rPr>
        <w:t xml:space="preserve">项目编号： </w:t>
      </w:r>
    </w:p>
    <w:p>
      <w:pPr>
        <w:spacing w:before="60" w:after="60"/>
        <w:rPr>
          <w:rFonts w:hint="eastAsia" w:ascii="宋体" w:hAnsi="宋体" w:cs="宋体"/>
          <w:color w:val="auto"/>
          <w:szCs w:val="24"/>
          <w:highlight w:val="none"/>
        </w:rPr>
      </w:pPr>
      <w:r>
        <w:rPr>
          <w:rFonts w:hint="eastAsia" w:ascii="宋体" w:hAnsi="宋体" w:cs="宋体"/>
          <w:color w:val="auto"/>
          <w:szCs w:val="24"/>
          <w:highlight w:val="none"/>
        </w:rPr>
        <w:t xml:space="preserve">项目名称：                                </w:t>
      </w:r>
    </w:p>
    <w:tbl>
      <w:tblPr>
        <w:tblStyle w:val="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3"/>
        <w:gridCol w:w="3744"/>
        <w:gridCol w:w="51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jc w:val="center"/>
        </w:trPr>
        <w:tc>
          <w:tcPr>
            <w:tcW w:w="101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b/>
                <w:color w:val="auto"/>
                <w:szCs w:val="24"/>
                <w:highlight w:val="none"/>
              </w:rPr>
            </w:pPr>
            <w:r>
              <w:rPr>
                <w:rFonts w:hint="eastAsia" w:ascii="宋体" w:hAnsi="宋体" w:cs="宋体"/>
                <w:b/>
                <w:color w:val="auto"/>
                <w:szCs w:val="24"/>
                <w:highlight w:val="none"/>
              </w:rPr>
              <w:t>序号</w:t>
            </w:r>
          </w:p>
        </w:tc>
        <w:tc>
          <w:tcPr>
            <w:tcW w:w="3744"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b/>
                <w:color w:val="auto"/>
                <w:szCs w:val="24"/>
                <w:highlight w:val="none"/>
              </w:rPr>
            </w:pPr>
            <w:r>
              <w:rPr>
                <w:rFonts w:hint="eastAsia" w:ascii="宋体" w:hAnsi="宋体" w:cs="宋体"/>
                <w:b/>
                <w:color w:val="auto"/>
                <w:szCs w:val="24"/>
                <w:highlight w:val="none"/>
              </w:rPr>
              <w:t xml:space="preserve"> 标题</w:t>
            </w:r>
          </w:p>
        </w:tc>
        <w:tc>
          <w:tcPr>
            <w:tcW w:w="51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b/>
                <w:color w:val="auto"/>
                <w:szCs w:val="24"/>
                <w:highlight w:val="none"/>
              </w:rPr>
            </w:pPr>
            <w:r>
              <w:rPr>
                <w:rFonts w:hint="eastAsia" w:ascii="宋体" w:hAnsi="宋体" w:cs="宋体"/>
                <w:b/>
                <w:color w:val="auto"/>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8" w:hRule="atLeast"/>
          <w:jc w:val="center"/>
        </w:trPr>
        <w:tc>
          <w:tcPr>
            <w:tcW w:w="1013"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b/>
                <w:color w:val="auto"/>
                <w:szCs w:val="24"/>
                <w:highlight w:val="none"/>
              </w:rPr>
            </w:pPr>
            <w:r>
              <w:rPr>
                <w:rFonts w:hint="eastAsia" w:ascii="宋体" w:hAnsi="宋体" w:cs="宋体"/>
                <w:b/>
                <w:color w:val="auto"/>
                <w:szCs w:val="24"/>
                <w:highlight w:val="none"/>
              </w:rPr>
              <w:t>1</w:t>
            </w:r>
          </w:p>
        </w:tc>
        <w:tc>
          <w:tcPr>
            <w:tcW w:w="3744" w:type="dxa"/>
            <w:noWrap w:val="0"/>
            <w:vAlign w:val="center"/>
          </w:tcPr>
          <w:p>
            <w:pPr>
              <w:keepNext w:val="0"/>
              <w:keepLines w:val="0"/>
              <w:suppressLineNumbers w:val="0"/>
              <w:spacing w:before="0" w:beforeAutospacing="0" w:after="0" w:afterAutospacing="0" w:line="500" w:lineRule="exact"/>
              <w:ind w:left="105" w:right="0" w:hanging="105" w:hangingChars="50"/>
              <w:jc w:val="center"/>
              <w:textAlignment w:val="baseline"/>
              <w:rPr>
                <w:rFonts w:hint="default" w:ascii="宋体" w:hAnsi="宋体" w:eastAsia="宋体" w:cs="宋体"/>
                <w:color w:val="auto"/>
                <w:szCs w:val="24"/>
                <w:highlight w:val="none"/>
                <w:lang w:val="en-US" w:eastAsia="zh-CN"/>
              </w:rPr>
            </w:pPr>
          </w:p>
        </w:tc>
        <w:tc>
          <w:tcPr>
            <w:tcW w:w="5123" w:type="dxa"/>
            <w:noWrap w:val="0"/>
            <w:vAlign w:val="center"/>
          </w:tcPr>
          <w:p>
            <w:pPr>
              <w:pStyle w:val="8"/>
              <w:keepNext w:val="0"/>
              <w:keepLines w:val="0"/>
              <w:suppressLineNumbers w:val="0"/>
              <w:spacing w:beforeAutospacing="0" w:afterAutospacing="0"/>
              <w:ind w:left="0" w:right="0"/>
              <w:rPr>
                <w:rFonts w:hint="default"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0" w:hRule="atLeast"/>
          <w:jc w:val="center"/>
        </w:trPr>
        <w:tc>
          <w:tcPr>
            <w:tcW w:w="1013" w:type="dxa"/>
            <w:noWrap w:val="0"/>
            <w:vAlign w:val="center"/>
          </w:tcPr>
          <w:p>
            <w:pPr>
              <w:keepNext w:val="0"/>
              <w:keepLines w:val="0"/>
              <w:suppressLineNumbers w:val="0"/>
              <w:spacing w:before="0" w:beforeAutospacing="0" w:after="0" w:afterAutospacing="0" w:line="500" w:lineRule="exact"/>
              <w:ind w:left="0" w:right="0"/>
              <w:jc w:val="center"/>
              <w:rPr>
                <w:rFonts w:hint="eastAsia" w:ascii="宋体" w:hAnsi="宋体" w:cs="宋体"/>
                <w:b/>
                <w:color w:val="auto"/>
                <w:szCs w:val="24"/>
                <w:highlight w:val="none"/>
              </w:rPr>
            </w:pPr>
            <w:r>
              <w:rPr>
                <w:rFonts w:hint="eastAsia" w:ascii="宋体" w:hAnsi="宋体" w:cs="宋体"/>
                <w:b/>
                <w:color w:val="auto"/>
                <w:szCs w:val="24"/>
                <w:highlight w:val="none"/>
              </w:rPr>
              <w:t>2</w:t>
            </w:r>
          </w:p>
        </w:tc>
        <w:tc>
          <w:tcPr>
            <w:tcW w:w="3744" w:type="dxa"/>
            <w:noWrap w:val="0"/>
            <w:vAlign w:val="center"/>
          </w:tcPr>
          <w:p>
            <w:pPr>
              <w:keepNext w:val="0"/>
              <w:keepLines w:val="0"/>
              <w:suppressLineNumbers w:val="0"/>
              <w:spacing w:before="0" w:beforeAutospacing="0" w:after="0" w:afterAutospacing="0" w:line="500" w:lineRule="exact"/>
              <w:ind w:left="0" w:right="0"/>
              <w:jc w:val="center"/>
              <w:rPr>
                <w:rFonts w:hint="default" w:ascii="宋体" w:hAnsi="宋体" w:eastAsia="宋体" w:cs="宋体"/>
                <w:color w:val="auto"/>
                <w:szCs w:val="24"/>
                <w:highlight w:val="none"/>
                <w:lang w:val="en-US" w:eastAsia="zh-CN"/>
              </w:rPr>
            </w:pPr>
          </w:p>
        </w:tc>
        <w:tc>
          <w:tcPr>
            <w:tcW w:w="5123" w:type="dxa"/>
            <w:noWrap w:val="0"/>
            <w:vAlign w:val="center"/>
          </w:tcPr>
          <w:p>
            <w:pPr>
              <w:keepNext w:val="0"/>
              <w:keepLines w:val="0"/>
              <w:suppressLineNumbers w:val="0"/>
              <w:spacing w:before="0" w:beforeAutospacing="0" w:after="0" w:afterAutospacing="0" w:line="500" w:lineRule="exact"/>
              <w:ind w:left="0" w:right="0"/>
              <w:rPr>
                <w:rFonts w:hint="default" w:ascii="宋体" w:hAnsi="宋体" w:eastAsia="宋体" w:cs="宋体"/>
                <w:b/>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0" w:hRule="atLeast"/>
          <w:jc w:val="center"/>
        </w:trPr>
        <w:tc>
          <w:tcPr>
            <w:tcW w:w="1013" w:type="dxa"/>
            <w:noWrap w:val="0"/>
            <w:vAlign w:val="center"/>
          </w:tcPr>
          <w:p>
            <w:pPr>
              <w:keepNext w:val="0"/>
              <w:keepLines w:val="0"/>
              <w:suppressLineNumbers w:val="0"/>
              <w:spacing w:before="0" w:beforeAutospacing="0" w:after="0" w:afterAutospacing="0" w:line="500" w:lineRule="exact"/>
              <w:ind w:left="0" w:right="0"/>
              <w:jc w:val="center"/>
              <w:rPr>
                <w:rFonts w:hint="eastAsia" w:ascii="宋体" w:hAnsi="宋体" w:cs="宋体"/>
                <w:b/>
                <w:color w:val="auto"/>
                <w:szCs w:val="24"/>
                <w:highlight w:val="none"/>
              </w:rPr>
            </w:pPr>
            <w:r>
              <w:rPr>
                <w:rFonts w:hint="eastAsia" w:ascii="宋体" w:hAnsi="宋体" w:cs="宋体"/>
                <w:b/>
                <w:color w:val="auto"/>
                <w:szCs w:val="24"/>
                <w:highlight w:val="none"/>
              </w:rPr>
              <w:t>3</w:t>
            </w:r>
          </w:p>
        </w:tc>
        <w:tc>
          <w:tcPr>
            <w:tcW w:w="3744" w:type="dxa"/>
            <w:noWrap w:val="0"/>
            <w:vAlign w:val="center"/>
          </w:tcPr>
          <w:p>
            <w:pPr>
              <w:keepNext w:val="0"/>
              <w:keepLines w:val="0"/>
              <w:suppressLineNumbers w:val="0"/>
              <w:spacing w:before="0" w:beforeAutospacing="0" w:after="0" w:afterAutospacing="0" w:line="500" w:lineRule="exact"/>
              <w:ind w:left="105" w:right="0" w:hanging="105" w:hangingChars="50"/>
              <w:jc w:val="center"/>
              <w:textAlignment w:val="baseline"/>
              <w:rPr>
                <w:rFonts w:hint="eastAsia" w:ascii="宋体" w:hAnsi="宋体" w:cs="宋体"/>
                <w:color w:val="auto"/>
                <w:szCs w:val="24"/>
                <w:highlight w:val="none"/>
              </w:rPr>
            </w:pPr>
          </w:p>
        </w:tc>
        <w:tc>
          <w:tcPr>
            <w:tcW w:w="5123" w:type="dxa"/>
            <w:noWrap w:val="0"/>
            <w:vAlign w:val="center"/>
          </w:tcPr>
          <w:p>
            <w:pPr>
              <w:keepNext w:val="0"/>
              <w:keepLines w:val="0"/>
              <w:suppressLineNumbers w:val="0"/>
              <w:spacing w:before="0" w:beforeAutospacing="0" w:after="0" w:afterAutospacing="0" w:line="500" w:lineRule="exact"/>
              <w:ind w:left="0" w:right="0"/>
              <w:rPr>
                <w:rFonts w:hint="eastAsia" w:ascii="宋体" w:hAnsi="宋体" w:cs="宋体"/>
                <w:b/>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0" w:hRule="atLeast"/>
          <w:jc w:val="center"/>
        </w:trPr>
        <w:tc>
          <w:tcPr>
            <w:tcW w:w="1013" w:type="dxa"/>
            <w:noWrap w:val="0"/>
            <w:vAlign w:val="center"/>
          </w:tcPr>
          <w:p>
            <w:pPr>
              <w:keepNext w:val="0"/>
              <w:keepLines w:val="0"/>
              <w:suppressLineNumbers w:val="0"/>
              <w:spacing w:before="0" w:beforeAutospacing="0" w:after="0" w:afterAutospacing="0" w:line="500" w:lineRule="exact"/>
              <w:ind w:left="0" w:right="0"/>
              <w:jc w:val="center"/>
              <w:rPr>
                <w:rFonts w:hint="eastAsia" w:ascii="宋体" w:hAnsi="宋体" w:cs="宋体"/>
                <w:b/>
                <w:color w:val="auto"/>
                <w:szCs w:val="24"/>
                <w:highlight w:val="none"/>
              </w:rPr>
            </w:pPr>
            <w:r>
              <w:rPr>
                <w:rFonts w:hint="eastAsia" w:ascii="宋体" w:hAnsi="宋体" w:cs="宋体"/>
                <w:b/>
                <w:color w:val="auto"/>
                <w:szCs w:val="24"/>
                <w:highlight w:val="none"/>
              </w:rPr>
              <w:t>...</w:t>
            </w:r>
          </w:p>
        </w:tc>
        <w:tc>
          <w:tcPr>
            <w:tcW w:w="374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cs="宋体"/>
                <w:color w:val="auto"/>
                <w:szCs w:val="24"/>
                <w:highlight w:val="none"/>
              </w:rPr>
            </w:pPr>
          </w:p>
        </w:tc>
        <w:tc>
          <w:tcPr>
            <w:tcW w:w="5123" w:type="dxa"/>
            <w:noWrap w:val="0"/>
            <w:vAlign w:val="center"/>
          </w:tcPr>
          <w:p>
            <w:pPr>
              <w:keepNext w:val="0"/>
              <w:keepLines w:val="0"/>
              <w:suppressLineNumbers w:val="0"/>
              <w:spacing w:before="0" w:beforeAutospacing="0" w:after="0" w:afterAutospacing="0" w:line="500" w:lineRule="exact"/>
              <w:ind w:left="0" w:right="0"/>
              <w:jc w:val="center"/>
              <w:rPr>
                <w:rFonts w:hint="eastAsia" w:ascii="宋体" w:hAnsi="宋体" w:cs="宋体"/>
                <w:b/>
                <w:color w:val="auto"/>
                <w:szCs w:val="24"/>
                <w:highlight w:val="none"/>
              </w:rPr>
            </w:pPr>
          </w:p>
        </w:tc>
      </w:tr>
    </w:tbl>
    <w:p>
      <w:pPr>
        <w:spacing w:line="500" w:lineRule="exact"/>
        <w:jc w:val="center"/>
        <w:rPr>
          <w:rFonts w:hint="eastAsia" w:ascii="宋体" w:hAnsi="宋体" w:cs="宋体"/>
          <w:b/>
          <w:color w:val="auto"/>
          <w:sz w:val="30"/>
          <w:szCs w:val="30"/>
          <w:highlight w:val="none"/>
        </w:rPr>
      </w:pPr>
    </w:p>
    <w:p>
      <w:pPr>
        <w:spacing w:line="500" w:lineRule="exact"/>
        <w:jc w:val="center"/>
        <w:rPr>
          <w:rFonts w:hint="eastAsia" w:ascii="宋体" w:hAnsi="宋体" w:cs="宋体"/>
          <w:b/>
          <w:color w:val="auto"/>
          <w:sz w:val="30"/>
          <w:szCs w:val="30"/>
          <w:highlight w:val="none"/>
        </w:rPr>
      </w:pPr>
    </w:p>
    <w:p>
      <w:pPr>
        <w:spacing w:line="500" w:lineRule="exact"/>
        <w:jc w:val="center"/>
        <w:rPr>
          <w:rFonts w:hint="eastAsia" w:ascii="宋体" w:hAnsi="宋体" w:cs="宋体"/>
          <w:b/>
          <w:color w:val="auto"/>
          <w:sz w:val="30"/>
          <w:szCs w:val="30"/>
          <w:highlight w:val="none"/>
        </w:rPr>
      </w:pPr>
    </w:p>
    <w:p>
      <w:pPr>
        <w:spacing w:line="500" w:lineRule="exact"/>
        <w:jc w:val="center"/>
        <w:rPr>
          <w:rFonts w:hint="eastAsia" w:ascii="宋体" w:hAnsi="宋体" w:cs="宋体"/>
          <w:b/>
          <w:color w:val="auto"/>
          <w:sz w:val="30"/>
          <w:szCs w:val="30"/>
          <w:highlight w:val="none"/>
        </w:rPr>
      </w:pPr>
      <w:r>
        <w:rPr>
          <w:rFonts w:hint="eastAsia"/>
          <w:b/>
          <w:bCs/>
          <w:color w:val="auto"/>
          <w:highlight w:val="none"/>
        </w:rPr>
        <w:t>注：签章和盖章具有同等法律效力。</w:t>
      </w:r>
    </w:p>
    <w:p>
      <w:pPr>
        <w:spacing w:line="500" w:lineRule="exact"/>
        <w:jc w:val="center"/>
        <w:rPr>
          <w:rFonts w:hint="eastAsia" w:ascii="宋体" w:hAnsi="宋体" w:cs="宋体"/>
          <w:b/>
          <w:color w:val="auto"/>
          <w:sz w:val="30"/>
          <w:szCs w:val="30"/>
          <w:highlight w:val="none"/>
        </w:rPr>
      </w:pPr>
    </w:p>
    <w:p>
      <w:pPr>
        <w:spacing w:line="500" w:lineRule="exact"/>
        <w:jc w:val="center"/>
        <w:rPr>
          <w:rFonts w:hint="eastAsia" w:ascii="宋体" w:hAnsi="宋体" w:cs="宋体"/>
          <w:b/>
          <w:color w:val="auto"/>
          <w:sz w:val="30"/>
          <w:szCs w:val="30"/>
          <w:highlight w:val="none"/>
        </w:rPr>
      </w:pPr>
    </w:p>
    <w:p>
      <w:pPr>
        <w:spacing w:line="500" w:lineRule="exact"/>
        <w:jc w:val="center"/>
        <w:rPr>
          <w:rFonts w:hint="eastAsia" w:ascii="宋体" w:hAnsi="宋体" w:cs="宋体"/>
          <w:b/>
          <w:color w:val="auto"/>
          <w:sz w:val="30"/>
          <w:szCs w:val="30"/>
          <w:highlight w:val="none"/>
        </w:rPr>
      </w:pPr>
    </w:p>
    <w:p>
      <w:pPr>
        <w:spacing w:line="500" w:lineRule="exact"/>
        <w:jc w:val="center"/>
        <w:rPr>
          <w:rFonts w:hint="eastAsia" w:ascii="宋体" w:hAnsi="宋体" w:cs="宋体"/>
          <w:b/>
          <w:color w:val="auto"/>
          <w:sz w:val="30"/>
          <w:szCs w:val="30"/>
          <w:highlight w:val="none"/>
        </w:rPr>
      </w:pPr>
    </w:p>
    <w:p>
      <w:pPr>
        <w:spacing w:line="500" w:lineRule="exact"/>
        <w:jc w:val="center"/>
        <w:rPr>
          <w:rFonts w:hint="eastAsia" w:ascii="宋体" w:hAnsi="宋体" w:cs="宋体"/>
          <w:b/>
          <w:color w:val="auto"/>
          <w:sz w:val="30"/>
          <w:szCs w:val="30"/>
          <w:highlight w:val="none"/>
        </w:rPr>
      </w:pPr>
    </w:p>
    <w:p>
      <w:pPr>
        <w:spacing w:line="500" w:lineRule="exact"/>
        <w:jc w:val="both"/>
        <w:rPr>
          <w:rFonts w:hint="eastAsia" w:ascii="宋体" w:hAnsi="宋体" w:cs="宋体"/>
          <w:b/>
          <w:color w:val="auto"/>
          <w:sz w:val="30"/>
          <w:szCs w:val="30"/>
          <w:highlight w:val="none"/>
        </w:rPr>
      </w:pP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r>
    </w:p>
    <w:p>
      <w:pPr>
        <w:spacing w:line="500" w:lineRule="exact"/>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投 标 函</w:t>
      </w:r>
    </w:p>
    <w:p>
      <w:pPr>
        <w:pStyle w:val="39"/>
        <w:spacing w:line="480" w:lineRule="exact"/>
        <w:ind w:firstLine="420"/>
        <w:textAlignment w:val="center"/>
        <w:rPr>
          <w:rFonts w:hint="eastAsia" w:hAnsi="宋体" w:cs="宋体"/>
          <w:color w:val="auto"/>
          <w:highlight w:val="none"/>
          <w:u w:val="single"/>
        </w:rPr>
      </w:pPr>
    </w:p>
    <w:p>
      <w:pPr>
        <w:pStyle w:val="39"/>
        <w:spacing w:line="480" w:lineRule="exact"/>
        <w:ind w:firstLine="420"/>
        <w:textAlignment w:val="center"/>
        <w:rPr>
          <w:rFonts w:hint="eastAsia" w:hAnsi="宋体" w:cs="宋体"/>
          <w:color w:val="auto"/>
          <w:highlight w:val="none"/>
        </w:rPr>
      </w:pPr>
      <w:r>
        <w:rPr>
          <w:rFonts w:hint="eastAsia" w:hAnsi="宋体" w:cs="宋体"/>
          <w:color w:val="auto"/>
          <w:highlight w:val="none"/>
        </w:rPr>
        <w:t>（代理机构名称）：</w:t>
      </w:r>
    </w:p>
    <w:p>
      <w:pPr>
        <w:pStyle w:val="39"/>
        <w:spacing w:line="480" w:lineRule="exact"/>
        <w:ind w:firstLine="420"/>
        <w:textAlignment w:val="center"/>
        <w:rPr>
          <w:rFonts w:hint="eastAsia" w:hAnsi="宋体" w:cs="宋体"/>
          <w:color w:val="auto"/>
          <w:highlight w:val="none"/>
        </w:rPr>
      </w:pPr>
      <w:r>
        <w:rPr>
          <w:rFonts w:hint="eastAsia" w:hAnsi="宋体" w:cs="宋体"/>
          <w:color w:val="auto"/>
          <w:highlight w:val="none"/>
        </w:rPr>
        <w:t>（投标人全称）授权（投标人授权代表姓名）（职务、职称）为投标人授权代表，参加贵方组织的（项目编号）采购项目招标的有关活动，并进行投标。为此：</w:t>
      </w:r>
    </w:p>
    <w:p>
      <w:pPr>
        <w:pStyle w:val="39"/>
        <w:spacing w:line="480" w:lineRule="exact"/>
        <w:ind w:firstLine="420"/>
        <w:textAlignment w:val="center"/>
        <w:rPr>
          <w:rFonts w:hint="eastAsia" w:hAnsi="宋体" w:cs="宋体"/>
          <w:color w:val="auto"/>
          <w:highlight w:val="none"/>
        </w:rPr>
      </w:pPr>
      <w:r>
        <w:rPr>
          <w:rFonts w:hint="eastAsia" w:hAnsi="宋体" w:cs="宋体"/>
          <w:color w:val="auto"/>
          <w:highlight w:val="none"/>
        </w:rPr>
        <w:t>1、我单位提供</w:t>
      </w:r>
      <w:r>
        <w:rPr>
          <w:rFonts w:hint="eastAsia" w:hAnsi="宋体" w:cs="宋体"/>
          <w:color w:val="auto"/>
          <w:highlight w:val="none"/>
          <w:lang w:eastAsia="zh-CN"/>
        </w:rPr>
        <w:t>招标</w:t>
      </w:r>
      <w:r>
        <w:rPr>
          <w:rFonts w:hint="eastAsia" w:hAnsi="宋体" w:cs="宋体"/>
          <w:color w:val="auto"/>
          <w:highlight w:val="none"/>
        </w:rPr>
        <w:t xml:space="preserve">文件规定的全部投标文件：电子投标文件：加密文件1份，为.lctf文件，在会员系统中上传； </w:t>
      </w:r>
    </w:p>
    <w:p>
      <w:pPr>
        <w:pStyle w:val="39"/>
        <w:spacing w:line="480" w:lineRule="exact"/>
        <w:ind w:firstLine="420"/>
        <w:textAlignment w:val="center"/>
        <w:rPr>
          <w:rFonts w:hint="eastAsia" w:hAnsi="宋体" w:cs="宋体"/>
          <w:color w:val="auto"/>
          <w:highlight w:val="none"/>
        </w:rPr>
      </w:pPr>
      <w:r>
        <w:rPr>
          <w:rFonts w:hint="eastAsia" w:hAnsi="宋体" w:cs="宋体"/>
          <w:color w:val="auto"/>
          <w:highlight w:val="none"/>
        </w:rPr>
        <w:t>2、总投标价格详见开标一览表（如有，须分包填写）。</w:t>
      </w:r>
    </w:p>
    <w:p>
      <w:pPr>
        <w:pStyle w:val="39"/>
        <w:spacing w:line="480" w:lineRule="exact"/>
        <w:ind w:firstLine="420"/>
        <w:textAlignment w:val="center"/>
        <w:rPr>
          <w:rFonts w:hint="eastAsia" w:hAnsi="宋体" w:cs="宋体"/>
          <w:color w:val="auto"/>
          <w:highlight w:val="none"/>
        </w:rPr>
      </w:pPr>
      <w:r>
        <w:rPr>
          <w:rFonts w:hint="eastAsia" w:hAnsi="宋体" w:cs="宋体"/>
          <w:color w:val="auto"/>
          <w:highlight w:val="none"/>
        </w:rPr>
        <w:t>3、我单位保证遵守</w:t>
      </w:r>
      <w:r>
        <w:rPr>
          <w:rFonts w:hint="eastAsia" w:hAnsi="宋体" w:cs="宋体"/>
          <w:color w:val="auto"/>
          <w:highlight w:val="none"/>
          <w:lang w:val="en-US" w:eastAsia="zh-CN"/>
        </w:rPr>
        <w:t>招标</w:t>
      </w:r>
      <w:r>
        <w:rPr>
          <w:rFonts w:hint="eastAsia" w:hAnsi="宋体" w:cs="宋体"/>
          <w:color w:val="auto"/>
          <w:highlight w:val="none"/>
        </w:rPr>
        <w:t>文件中的有关规定，并保证忠实地执行买卖双方所签的经济合同，并承担合同规定的责任义务。</w:t>
      </w:r>
    </w:p>
    <w:p>
      <w:pPr>
        <w:pStyle w:val="39"/>
        <w:spacing w:line="480" w:lineRule="exact"/>
        <w:ind w:firstLine="420"/>
        <w:textAlignment w:val="center"/>
        <w:rPr>
          <w:rFonts w:hint="eastAsia" w:hAnsi="宋体" w:cs="宋体"/>
          <w:color w:val="auto"/>
          <w:highlight w:val="none"/>
        </w:rPr>
      </w:pPr>
      <w:r>
        <w:rPr>
          <w:rFonts w:hint="eastAsia" w:hAnsi="宋体" w:cs="宋体"/>
          <w:color w:val="auto"/>
          <w:highlight w:val="none"/>
        </w:rPr>
        <w:t>4、我单位同意按采购人要求提供任何与本项投标有关的数据、情况和资料。</w:t>
      </w:r>
    </w:p>
    <w:p>
      <w:pPr>
        <w:pStyle w:val="39"/>
        <w:spacing w:line="480" w:lineRule="exact"/>
        <w:ind w:firstLine="420"/>
        <w:textAlignment w:val="center"/>
        <w:rPr>
          <w:rFonts w:hint="eastAsia" w:hAnsi="宋体" w:cs="宋体"/>
          <w:color w:val="auto"/>
          <w:highlight w:val="none"/>
        </w:rPr>
      </w:pPr>
      <w:r>
        <w:rPr>
          <w:rFonts w:hint="eastAsia" w:hAnsi="宋体" w:cs="宋体"/>
          <w:color w:val="auto"/>
          <w:highlight w:val="none"/>
        </w:rPr>
        <w:t>5、我单位保证按本项目</w:t>
      </w:r>
      <w:r>
        <w:rPr>
          <w:rFonts w:hint="eastAsia" w:hAnsi="宋体" w:cs="宋体"/>
          <w:color w:val="auto"/>
          <w:highlight w:val="none"/>
          <w:lang w:val="en-US" w:eastAsia="zh-CN"/>
        </w:rPr>
        <w:t>招标</w:t>
      </w:r>
      <w:r>
        <w:rPr>
          <w:rFonts w:hint="eastAsia" w:hAnsi="宋体" w:cs="宋体"/>
          <w:color w:val="auto"/>
          <w:highlight w:val="none"/>
        </w:rPr>
        <w:t>文件中规定的条款参与投标活动，并为自身的行为承担相应的责任。我单位出现违反国家法律法规和本项目</w:t>
      </w:r>
      <w:r>
        <w:rPr>
          <w:rFonts w:hint="eastAsia" w:hAnsi="宋体" w:cs="宋体"/>
          <w:color w:val="auto"/>
          <w:highlight w:val="none"/>
          <w:lang w:val="en-US" w:eastAsia="zh-CN"/>
        </w:rPr>
        <w:t>招标</w:t>
      </w:r>
      <w:r>
        <w:rPr>
          <w:rFonts w:hint="eastAsia" w:hAnsi="宋体" w:cs="宋体"/>
          <w:color w:val="auto"/>
          <w:highlight w:val="none"/>
        </w:rPr>
        <w:t>文件规定的行为，愿意接受相应的处罚并承担由此引起的赔偿责任。</w:t>
      </w:r>
    </w:p>
    <w:p>
      <w:pPr>
        <w:pStyle w:val="39"/>
        <w:spacing w:line="480" w:lineRule="exact"/>
        <w:ind w:firstLine="420"/>
        <w:textAlignment w:val="center"/>
        <w:rPr>
          <w:rFonts w:hint="eastAsia" w:hAnsi="宋体" w:cs="宋体"/>
          <w:color w:val="auto"/>
          <w:highlight w:val="none"/>
        </w:rPr>
      </w:pPr>
      <w:r>
        <w:rPr>
          <w:rFonts w:hint="eastAsia" w:hAnsi="宋体" w:cs="宋体"/>
          <w:color w:val="auto"/>
          <w:highlight w:val="none"/>
        </w:rPr>
        <w:t>6、本次投标有效期按</w:t>
      </w:r>
      <w:r>
        <w:rPr>
          <w:rFonts w:hint="eastAsia" w:hAnsi="宋体" w:cs="宋体"/>
          <w:color w:val="auto"/>
          <w:highlight w:val="none"/>
          <w:lang w:val="en-US" w:eastAsia="zh-CN"/>
        </w:rPr>
        <w:t>招标</w:t>
      </w:r>
      <w:r>
        <w:rPr>
          <w:rFonts w:hint="eastAsia" w:hAnsi="宋体" w:cs="宋体"/>
          <w:color w:val="auto"/>
          <w:highlight w:val="none"/>
        </w:rPr>
        <w:t>文件要求执行。</w:t>
      </w:r>
    </w:p>
    <w:p>
      <w:pPr>
        <w:pStyle w:val="39"/>
        <w:spacing w:line="480" w:lineRule="exact"/>
        <w:ind w:firstLine="420"/>
        <w:textAlignment w:val="center"/>
        <w:rPr>
          <w:rFonts w:hint="eastAsia" w:hAnsi="宋体" w:cs="宋体"/>
          <w:color w:val="auto"/>
          <w:highlight w:val="none"/>
        </w:rPr>
      </w:pPr>
      <w:r>
        <w:rPr>
          <w:rFonts w:hint="eastAsia" w:hAnsi="宋体" w:cs="宋体"/>
          <w:color w:val="auto"/>
          <w:highlight w:val="none"/>
        </w:rPr>
        <w:t>7、我单位已经详细审查全部</w:t>
      </w:r>
      <w:r>
        <w:rPr>
          <w:rFonts w:hint="eastAsia" w:hAnsi="宋体" w:cs="宋体"/>
          <w:color w:val="auto"/>
          <w:highlight w:val="none"/>
          <w:lang w:val="en-US" w:eastAsia="zh-CN"/>
        </w:rPr>
        <w:t>招标</w:t>
      </w:r>
      <w:r>
        <w:rPr>
          <w:rFonts w:hint="eastAsia" w:hAnsi="宋体" w:cs="宋体"/>
          <w:color w:val="auto"/>
          <w:highlight w:val="none"/>
        </w:rPr>
        <w:t>文件，包括修改、补充文件（如有的话）以及全部参考资料和有关附件，我们完全理解并同意放弃对这方面有不明及误解的权力。</w:t>
      </w:r>
    </w:p>
    <w:p>
      <w:pPr>
        <w:pStyle w:val="39"/>
        <w:spacing w:line="480" w:lineRule="exact"/>
        <w:ind w:firstLine="420"/>
        <w:textAlignment w:val="center"/>
        <w:rPr>
          <w:rFonts w:hint="eastAsia" w:hAnsi="宋体" w:cs="宋体"/>
          <w:color w:val="auto"/>
          <w:highlight w:val="none"/>
        </w:rPr>
      </w:pPr>
      <w:r>
        <w:rPr>
          <w:rFonts w:hint="eastAsia" w:hAnsi="宋体" w:cs="宋体"/>
          <w:color w:val="auto"/>
          <w:highlight w:val="none"/>
        </w:rPr>
        <w:t>8、我单位完全理解贵方不一定要接受最低价的投标或收到的任何投标。</w:t>
      </w:r>
    </w:p>
    <w:p>
      <w:pPr>
        <w:pStyle w:val="39"/>
        <w:spacing w:line="480" w:lineRule="exact"/>
        <w:ind w:firstLine="420"/>
        <w:textAlignment w:val="center"/>
        <w:rPr>
          <w:rFonts w:hint="eastAsia" w:hAnsi="宋体" w:cs="宋体"/>
          <w:color w:val="auto"/>
          <w:highlight w:val="none"/>
        </w:rPr>
      </w:pPr>
      <w:r>
        <w:rPr>
          <w:rFonts w:hint="eastAsia" w:hAnsi="宋体" w:cs="宋体"/>
          <w:color w:val="auto"/>
          <w:highlight w:val="none"/>
        </w:rPr>
        <w:t>与本投标有关的一切往来通讯请寄：</w:t>
      </w:r>
    </w:p>
    <w:p>
      <w:pPr>
        <w:pStyle w:val="39"/>
        <w:spacing w:line="480" w:lineRule="exact"/>
        <w:ind w:firstLine="420"/>
        <w:textAlignment w:val="center"/>
        <w:rPr>
          <w:rFonts w:hint="eastAsia" w:hAnsi="宋体" w:cs="宋体"/>
          <w:color w:val="auto"/>
          <w:highlight w:val="none"/>
        </w:rPr>
      </w:pPr>
      <w:r>
        <w:rPr>
          <w:rFonts w:hint="eastAsia" w:hAnsi="宋体" w:cs="宋体"/>
          <w:color w:val="auto"/>
          <w:highlight w:val="none"/>
        </w:rPr>
        <w:t>地址：</w:t>
      </w:r>
    </w:p>
    <w:p>
      <w:pPr>
        <w:pStyle w:val="39"/>
        <w:spacing w:line="480" w:lineRule="exact"/>
        <w:ind w:firstLine="420"/>
        <w:textAlignment w:val="center"/>
        <w:rPr>
          <w:rFonts w:hint="eastAsia" w:hAnsi="宋体" w:cs="宋体"/>
          <w:color w:val="auto"/>
          <w:highlight w:val="none"/>
        </w:rPr>
      </w:pPr>
      <w:r>
        <w:rPr>
          <w:rFonts w:hint="eastAsia" w:hAnsi="宋体" w:cs="宋体"/>
          <w:color w:val="auto"/>
          <w:highlight w:val="none"/>
        </w:rPr>
        <w:t>邮编：                 电话：                  传真：</w:t>
      </w:r>
    </w:p>
    <w:p>
      <w:pPr>
        <w:pStyle w:val="39"/>
        <w:spacing w:line="480" w:lineRule="exact"/>
        <w:ind w:firstLine="420"/>
        <w:textAlignment w:val="center"/>
        <w:rPr>
          <w:rFonts w:hint="eastAsia" w:hAnsi="宋体" w:cs="宋体"/>
          <w:color w:val="auto"/>
          <w:highlight w:val="none"/>
        </w:rPr>
      </w:pPr>
      <w:r>
        <w:rPr>
          <w:rFonts w:hint="eastAsia" w:hAnsi="宋体" w:cs="宋体"/>
          <w:color w:val="auto"/>
          <w:highlight w:val="none"/>
        </w:rPr>
        <w:t>投标人单位名称（盖章）：</w:t>
      </w:r>
    </w:p>
    <w:p>
      <w:pPr>
        <w:pStyle w:val="39"/>
        <w:spacing w:line="480" w:lineRule="exact"/>
        <w:ind w:firstLine="420"/>
        <w:textAlignment w:val="center"/>
        <w:rPr>
          <w:rFonts w:hint="eastAsia" w:hAnsi="宋体" w:cs="宋体"/>
          <w:color w:val="auto"/>
          <w:highlight w:val="none"/>
        </w:rPr>
      </w:pPr>
      <w:r>
        <w:rPr>
          <w:rFonts w:hint="eastAsia" w:hAnsi="宋体" w:cs="宋体"/>
          <w:color w:val="auto"/>
          <w:highlight w:val="none"/>
        </w:rPr>
        <w:t>法定代表人或授权代表（签字或</w:t>
      </w:r>
      <w:r>
        <w:rPr>
          <w:rFonts w:hint="eastAsia" w:hAnsi="宋体" w:cs="宋体"/>
          <w:color w:val="auto"/>
          <w:highlight w:val="none"/>
          <w:lang w:val="en-US" w:eastAsia="zh-CN"/>
        </w:rPr>
        <w:t>签</w:t>
      </w:r>
      <w:r>
        <w:rPr>
          <w:rFonts w:hint="eastAsia" w:hAnsi="宋体" w:cs="宋体"/>
          <w:color w:val="auto"/>
          <w:highlight w:val="none"/>
        </w:rPr>
        <w:t>章）：                     日    期：</w:t>
      </w:r>
    </w:p>
    <w:p>
      <w:pPr>
        <w:spacing w:line="600" w:lineRule="exact"/>
        <w:rPr>
          <w:rFonts w:hint="eastAsia" w:ascii="宋体" w:hAnsi="宋体" w:cs="宋体"/>
          <w:b/>
          <w:color w:val="auto"/>
          <w:sz w:val="30"/>
          <w:szCs w:val="30"/>
          <w:highlight w:val="none"/>
        </w:rPr>
      </w:pPr>
      <w:r>
        <w:rPr>
          <w:rFonts w:hint="eastAsia"/>
          <w:b/>
          <w:bCs/>
          <w:color w:val="auto"/>
          <w:highlight w:val="none"/>
        </w:rPr>
        <w:t>注：签章和盖章具有同等法律效力。</w:t>
      </w:r>
      <w:r>
        <w:rPr>
          <w:rFonts w:hint="eastAsia" w:ascii="宋体" w:hAnsi="宋体" w:cs="宋体"/>
          <w:b/>
          <w:color w:val="auto"/>
          <w:sz w:val="30"/>
          <w:szCs w:val="30"/>
          <w:highlight w:val="none"/>
        </w:rPr>
        <w:br w:type="page"/>
      </w:r>
      <w:bookmarkStart w:id="18" w:name="_Toc353257311"/>
    </w:p>
    <w:p>
      <w:pPr>
        <w:spacing w:line="600" w:lineRule="exact"/>
        <w:jc w:val="center"/>
        <w:rPr>
          <w:rFonts w:hint="eastAsia" w:ascii="宋体" w:hAnsi="宋体" w:cs="宋体"/>
          <w:b/>
          <w:bCs/>
          <w:color w:val="auto"/>
          <w:szCs w:val="24"/>
          <w:highlight w:val="none"/>
        </w:rPr>
      </w:pPr>
      <w:r>
        <w:rPr>
          <w:rFonts w:hint="eastAsia" w:ascii="宋体" w:hAnsi="宋体" w:cs="宋体"/>
          <w:b/>
          <w:bCs/>
          <w:color w:val="auto"/>
          <w:sz w:val="36"/>
          <w:szCs w:val="36"/>
          <w:highlight w:val="none"/>
        </w:rPr>
        <w:t>资信标</w:t>
      </w:r>
    </w:p>
    <w:p>
      <w:pPr>
        <w:spacing w:line="600" w:lineRule="exact"/>
        <w:jc w:val="center"/>
        <w:rPr>
          <w:rFonts w:hint="eastAsia" w:ascii="宋体" w:hAnsi="宋体" w:cs="宋体"/>
          <w:b/>
          <w:color w:val="auto"/>
          <w:sz w:val="30"/>
          <w:szCs w:val="30"/>
          <w:highlight w:val="none"/>
        </w:rPr>
      </w:pPr>
    </w:p>
    <w:p>
      <w:pPr>
        <w:spacing w:line="600" w:lineRule="exact"/>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法定代表人身份证明</w:t>
      </w:r>
    </w:p>
    <w:p>
      <w:pPr>
        <w:spacing w:line="360" w:lineRule="auto"/>
        <w:textAlignment w:val="center"/>
        <w:rPr>
          <w:rFonts w:hint="eastAsia" w:ascii="宋体" w:hAnsi="宋体" w:cs="宋体"/>
          <w:color w:val="auto"/>
          <w:highlight w:val="none"/>
        </w:rPr>
      </w:pPr>
    </w:p>
    <w:p>
      <w:pPr>
        <w:spacing w:line="600" w:lineRule="exact"/>
        <w:rPr>
          <w:color w:val="auto"/>
          <w:sz w:val="22"/>
          <w:szCs w:val="21"/>
          <w:highlight w:val="none"/>
          <w:u w:val="single"/>
        </w:rPr>
      </w:pPr>
      <w:r>
        <w:rPr>
          <w:rFonts w:hAnsi="宋体"/>
          <w:color w:val="auto"/>
          <w:sz w:val="22"/>
          <w:szCs w:val="21"/>
          <w:highlight w:val="none"/>
        </w:rPr>
        <w:t>供</w:t>
      </w:r>
      <w:r>
        <w:rPr>
          <w:color w:val="auto"/>
          <w:sz w:val="22"/>
          <w:szCs w:val="21"/>
          <w:highlight w:val="none"/>
        </w:rPr>
        <w:t xml:space="preserve"> </w:t>
      </w:r>
      <w:r>
        <w:rPr>
          <w:rFonts w:hAnsi="宋体"/>
          <w:color w:val="auto"/>
          <w:sz w:val="22"/>
          <w:szCs w:val="21"/>
          <w:highlight w:val="none"/>
        </w:rPr>
        <w:t>应</w:t>
      </w:r>
      <w:r>
        <w:rPr>
          <w:color w:val="auto"/>
          <w:sz w:val="22"/>
          <w:szCs w:val="21"/>
          <w:highlight w:val="none"/>
        </w:rPr>
        <w:t xml:space="preserve"> </w:t>
      </w:r>
      <w:r>
        <w:rPr>
          <w:rFonts w:hAnsi="宋体"/>
          <w:color w:val="auto"/>
          <w:sz w:val="22"/>
          <w:szCs w:val="21"/>
          <w:highlight w:val="none"/>
        </w:rPr>
        <w:t>商：</w:t>
      </w:r>
      <w:r>
        <w:rPr>
          <w:rFonts w:hint="eastAsia" w:hAnsi="宋体"/>
          <w:color w:val="auto"/>
          <w:sz w:val="22"/>
          <w:szCs w:val="21"/>
          <w:highlight w:val="none"/>
          <w:u w:val="single"/>
        </w:rPr>
        <w:t xml:space="preserve">                                      </w:t>
      </w:r>
    </w:p>
    <w:p>
      <w:pPr>
        <w:spacing w:line="600" w:lineRule="exact"/>
        <w:rPr>
          <w:color w:val="auto"/>
          <w:sz w:val="22"/>
          <w:szCs w:val="21"/>
          <w:highlight w:val="none"/>
          <w:u w:val="single"/>
        </w:rPr>
      </w:pPr>
      <w:r>
        <w:rPr>
          <w:rFonts w:hAnsi="宋体"/>
          <w:color w:val="auto"/>
          <w:sz w:val="22"/>
          <w:szCs w:val="21"/>
          <w:highlight w:val="none"/>
        </w:rPr>
        <w:t>单位性质：</w:t>
      </w:r>
      <w:r>
        <w:rPr>
          <w:rFonts w:hint="eastAsia" w:hAnsi="宋体"/>
          <w:color w:val="auto"/>
          <w:sz w:val="22"/>
          <w:szCs w:val="21"/>
          <w:highlight w:val="none"/>
          <w:u w:val="single"/>
        </w:rPr>
        <w:t xml:space="preserve">                                     </w:t>
      </w:r>
    </w:p>
    <w:p>
      <w:pPr>
        <w:spacing w:line="600" w:lineRule="exact"/>
        <w:rPr>
          <w:color w:val="auto"/>
          <w:sz w:val="22"/>
          <w:szCs w:val="21"/>
          <w:highlight w:val="none"/>
          <w:u w:val="single"/>
        </w:rPr>
      </w:pPr>
      <w:r>
        <w:rPr>
          <w:rFonts w:hAnsi="宋体"/>
          <w:color w:val="auto"/>
          <w:sz w:val="22"/>
          <w:szCs w:val="21"/>
          <w:highlight w:val="none"/>
        </w:rPr>
        <w:t>地</w:t>
      </w:r>
      <w:r>
        <w:rPr>
          <w:color w:val="auto"/>
          <w:sz w:val="22"/>
          <w:szCs w:val="21"/>
          <w:highlight w:val="none"/>
        </w:rPr>
        <w:t xml:space="preserve">    </w:t>
      </w:r>
      <w:r>
        <w:rPr>
          <w:rFonts w:hAnsi="宋体"/>
          <w:color w:val="auto"/>
          <w:sz w:val="22"/>
          <w:szCs w:val="21"/>
          <w:highlight w:val="none"/>
        </w:rPr>
        <w:t>址：</w:t>
      </w:r>
      <w:r>
        <w:rPr>
          <w:rFonts w:hint="eastAsia" w:hAnsi="宋体"/>
          <w:color w:val="auto"/>
          <w:sz w:val="22"/>
          <w:szCs w:val="21"/>
          <w:highlight w:val="none"/>
          <w:u w:val="single"/>
        </w:rPr>
        <w:t xml:space="preserve">                                     </w:t>
      </w:r>
    </w:p>
    <w:p>
      <w:pPr>
        <w:spacing w:line="600" w:lineRule="exact"/>
        <w:rPr>
          <w:color w:val="auto"/>
          <w:sz w:val="22"/>
          <w:szCs w:val="21"/>
          <w:highlight w:val="none"/>
        </w:rPr>
      </w:pPr>
      <w:r>
        <w:rPr>
          <w:rFonts w:hAnsi="宋体"/>
          <w:color w:val="auto"/>
          <w:sz w:val="22"/>
          <w:szCs w:val="21"/>
          <w:highlight w:val="none"/>
        </w:rPr>
        <w:t>成立时间：</w:t>
      </w:r>
      <w:r>
        <w:rPr>
          <w:rFonts w:hint="eastAsia" w:ascii="宋体" w:hAnsi="宋体"/>
          <w:color w:val="auto"/>
          <w:sz w:val="22"/>
          <w:szCs w:val="21"/>
          <w:highlight w:val="none"/>
          <w:u w:val="single"/>
        </w:rPr>
        <w:t xml:space="preserve">          </w:t>
      </w:r>
      <w:r>
        <w:rPr>
          <w:rFonts w:hint="eastAsia" w:ascii="宋体" w:hAnsi="宋体"/>
          <w:color w:val="auto"/>
          <w:sz w:val="22"/>
          <w:szCs w:val="21"/>
          <w:highlight w:val="none"/>
        </w:rPr>
        <w:t>年</w:t>
      </w:r>
      <w:r>
        <w:rPr>
          <w:rFonts w:hint="eastAsia" w:ascii="宋体" w:hAnsi="宋体"/>
          <w:color w:val="auto"/>
          <w:sz w:val="22"/>
          <w:szCs w:val="21"/>
          <w:highlight w:val="none"/>
          <w:u w:val="single"/>
        </w:rPr>
        <w:t xml:space="preserve">           </w:t>
      </w:r>
      <w:r>
        <w:rPr>
          <w:rFonts w:hint="eastAsia" w:ascii="宋体" w:hAnsi="宋体"/>
          <w:color w:val="auto"/>
          <w:sz w:val="22"/>
          <w:szCs w:val="21"/>
          <w:highlight w:val="none"/>
        </w:rPr>
        <w:t>月</w:t>
      </w:r>
      <w:r>
        <w:rPr>
          <w:rFonts w:hint="eastAsia" w:ascii="宋体" w:hAnsi="宋体"/>
          <w:color w:val="auto"/>
          <w:sz w:val="22"/>
          <w:szCs w:val="21"/>
          <w:highlight w:val="none"/>
          <w:u w:val="single"/>
        </w:rPr>
        <w:t xml:space="preserve">          </w:t>
      </w:r>
      <w:r>
        <w:rPr>
          <w:rFonts w:hint="eastAsia" w:ascii="宋体" w:hAnsi="宋体"/>
          <w:color w:val="auto"/>
          <w:sz w:val="22"/>
          <w:szCs w:val="21"/>
          <w:highlight w:val="none"/>
        </w:rPr>
        <w:t>日</w:t>
      </w:r>
    </w:p>
    <w:p>
      <w:pPr>
        <w:spacing w:line="600" w:lineRule="exact"/>
        <w:rPr>
          <w:color w:val="auto"/>
          <w:sz w:val="22"/>
          <w:szCs w:val="21"/>
          <w:highlight w:val="none"/>
          <w:u w:val="single"/>
        </w:rPr>
      </w:pPr>
      <w:r>
        <w:rPr>
          <w:rFonts w:hAnsi="宋体"/>
          <w:color w:val="auto"/>
          <w:sz w:val="22"/>
          <w:szCs w:val="21"/>
          <w:highlight w:val="none"/>
        </w:rPr>
        <w:t>经营期限：</w:t>
      </w:r>
      <w:r>
        <w:rPr>
          <w:rFonts w:hint="eastAsia" w:hAnsi="宋体"/>
          <w:color w:val="auto"/>
          <w:sz w:val="22"/>
          <w:szCs w:val="21"/>
          <w:highlight w:val="none"/>
          <w:u w:val="single"/>
        </w:rPr>
        <w:t xml:space="preserve">                                    </w:t>
      </w:r>
    </w:p>
    <w:p>
      <w:pPr>
        <w:spacing w:line="600" w:lineRule="exact"/>
        <w:rPr>
          <w:color w:val="auto"/>
          <w:sz w:val="22"/>
          <w:szCs w:val="21"/>
          <w:highlight w:val="none"/>
          <w:u w:val="single"/>
        </w:rPr>
      </w:pPr>
      <w:r>
        <w:rPr>
          <w:rFonts w:hAnsi="宋体"/>
          <w:color w:val="auto"/>
          <w:sz w:val="22"/>
          <w:szCs w:val="21"/>
          <w:highlight w:val="none"/>
        </w:rPr>
        <w:t>姓</w:t>
      </w:r>
      <w:r>
        <w:rPr>
          <w:color w:val="auto"/>
          <w:sz w:val="22"/>
          <w:szCs w:val="21"/>
          <w:highlight w:val="none"/>
        </w:rPr>
        <w:t xml:space="preserve">    </w:t>
      </w:r>
      <w:r>
        <w:rPr>
          <w:rFonts w:hAnsi="宋体"/>
          <w:color w:val="auto"/>
          <w:sz w:val="22"/>
          <w:szCs w:val="21"/>
          <w:highlight w:val="none"/>
        </w:rPr>
        <w:t>名：</w:t>
      </w:r>
      <w:r>
        <w:rPr>
          <w:rFonts w:hint="eastAsia" w:hAnsi="宋体"/>
          <w:color w:val="auto"/>
          <w:sz w:val="22"/>
          <w:szCs w:val="21"/>
          <w:highlight w:val="none"/>
          <w:u w:val="single"/>
        </w:rPr>
        <w:t xml:space="preserve">           </w:t>
      </w:r>
      <w:r>
        <w:rPr>
          <w:rFonts w:hAnsi="宋体"/>
          <w:color w:val="auto"/>
          <w:sz w:val="22"/>
          <w:szCs w:val="21"/>
          <w:highlight w:val="none"/>
        </w:rPr>
        <w:t>性</w:t>
      </w:r>
      <w:r>
        <w:rPr>
          <w:color w:val="auto"/>
          <w:sz w:val="22"/>
          <w:szCs w:val="21"/>
          <w:highlight w:val="none"/>
        </w:rPr>
        <w:t xml:space="preserve">        </w:t>
      </w:r>
      <w:r>
        <w:rPr>
          <w:rFonts w:hAnsi="宋体"/>
          <w:color w:val="auto"/>
          <w:sz w:val="22"/>
          <w:szCs w:val="21"/>
          <w:highlight w:val="none"/>
        </w:rPr>
        <w:t>别：</w:t>
      </w:r>
      <w:r>
        <w:rPr>
          <w:rFonts w:hint="eastAsia" w:hAnsi="宋体"/>
          <w:color w:val="auto"/>
          <w:sz w:val="22"/>
          <w:szCs w:val="21"/>
          <w:highlight w:val="none"/>
          <w:u w:val="single"/>
        </w:rPr>
        <w:t xml:space="preserve">           </w:t>
      </w:r>
    </w:p>
    <w:p>
      <w:pPr>
        <w:spacing w:line="600" w:lineRule="exact"/>
        <w:rPr>
          <w:color w:val="auto"/>
          <w:sz w:val="22"/>
          <w:szCs w:val="21"/>
          <w:highlight w:val="none"/>
          <w:u w:val="single"/>
        </w:rPr>
      </w:pPr>
      <w:r>
        <w:rPr>
          <w:rFonts w:hAnsi="宋体"/>
          <w:color w:val="auto"/>
          <w:sz w:val="22"/>
          <w:szCs w:val="21"/>
          <w:highlight w:val="none"/>
        </w:rPr>
        <w:t>年</w:t>
      </w:r>
      <w:r>
        <w:rPr>
          <w:color w:val="auto"/>
          <w:sz w:val="22"/>
          <w:szCs w:val="21"/>
          <w:highlight w:val="none"/>
        </w:rPr>
        <w:t xml:space="preserve">    </w:t>
      </w:r>
      <w:r>
        <w:rPr>
          <w:rFonts w:hAnsi="宋体"/>
          <w:color w:val="auto"/>
          <w:sz w:val="22"/>
          <w:szCs w:val="21"/>
          <w:highlight w:val="none"/>
        </w:rPr>
        <w:t>龄：</w:t>
      </w:r>
      <w:r>
        <w:rPr>
          <w:rFonts w:hint="eastAsia" w:hAnsi="宋体"/>
          <w:color w:val="auto"/>
          <w:sz w:val="22"/>
          <w:szCs w:val="21"/>
          <w:highlight w:val="none"/>
          <w:u w:val="single"/>
        </w:rPr>
        <w:t xml:space="preserve">           </w:t>
      </w:r>
      <w:r>
        <w:rPr>
          <w:rFonts w:hAnsi="宋体"/>
          <w:color w:val="auto"/>
          <w:sz w:val="22"/>
          <w:szCs w:val="21"/>
          <w:highlight w:val="none"/>
        </w:rPr>
        <w:t>职</w:t>
      </w:r>
      <w:r>
        <w:rPr>
          <w:color w:val="auto"/>
          <w:sz w:val="22"/>
          <w:szCs w:val="21"/>
          <w:highlight w:val="none"/>
        </w:rPr>
        <w:t xml:space="preserve">        </w:t>
      </w:r>
      <w:r>
        <w:rPr>
          <w:rFonts w:hAnsi="宋体"/>
          <w:color w:val="auto"/>
          <w:sz w:val="22"/>
          <w:szCs w:val="21"/>
          <w:highlight w:val="none"/>
        </w:rPr>
        <w:t>务：</w:t>
      </w:r>
      <w:r>
        <w:rPr>
          <w:rFonts w:hint="eastAsia" w:hAnsi="宋体"/>
          <w:color w:val="auto"/>
          <w:sz w:val="22"/>
          <w:szCs w:val="21"/>
          <w:highlight w:val="none"/>
          <w:u w:val="single"/>
        </w:rPr>
        <w:t xml:space="preserve">           </w:t>
      </w:r>
    </w:p>
    <w:p>
      <w:pPr>
        <w:spacing w:line="600" w:lineRule="exact"/>
        <w:rPr>
          <w:color w:val="auto"/>
          <w:sz w:val="22"/>
          <w:szCs w:val="21"/>
          <w:highlight w:val="none"/>
        </w:rPr>
      </w:pPr>
      <w:r>
        <w:rPr>
          <w:rFonts w:hAnsi="宋体"/>
          <w:color w:val="auto"/>
          <w:sz w:val="22"/>
          <w:szCs w:val="21"/>
          <w:highlight w:val="none"/>
        </w:rPr>
        <w:t>系</w:t>
      </w:r>
      <w:r>
        <w:rPr>
          <w:rFonts w:hint="eastAsia" w:hAnsi="宋体"/>
          <w:color w:val="auto"/>
          <w:sz w:val="22"/>
          <w:szCs w:val="21"/>
          <w:highlight w:val="none"/>
          <w:u w:val="single"/>
        </w:rPr>
        <w:t xml:space="preserve">                                    </w:t>
      </w:r>
      <w:r>
        <w:rPr>
          <w:rFonts w:hAnsi="宋体"/>
          <w:color w:val="auto"/>
          <w:sz w:val="22"/>
          <w:szCs w:val="21"/>
          <w:highlight w:val="none"/>
        </w:rPr>
        <w:t>（</w:t>
      </w:r>
      <w:r>
        <w:rPr>
          <w:rFonts w:hint="eastAsia" w:hAnsi="宋体"/>
          <w:color w:val="auto"/>
          <w:sz w:val="22"/>
          <w:szCs w:val="21"/>
          <w:highlight w:val="none"/>
        </w:rPr>
        <w:t>投标人</w:t>
      </w:r>
      <w:r>
        <w:rPr>
          <w:rFonts w:hAnsi="宋体"/>
          <w:color w:val="auto"/>
          <w:sz w:val="22"/>
          <w:szCs w:val="21"/>
          <w:highlight w:val="none"/>
        </w:rPr>
        <w:t>名称）的法定代表人。</w:t>
      </w:r>
    </w:p>
    <w:p>
      <w:pPr>
        <w:spacing w:line="600" w:lineRule="exact"/>
        <w:rPr>
          <w:color w:val="auto"/>
          <w:sz w:val="22"/>
          <w:szCs w:val="21"/>
          <w:highlight w:val="none"/>
        </w:rPr>
      </w:pPr>
      <w:r>
        <w:rPr>
          <w:rFonts w:hAnsi="宋体"/>
          <w:color w:val="auto"/>
          <w:sz w:val="22"/>
          <w:szCs w:val="21"/>
          <w:highlight w:val="none"/>
        </w:rPr>
        <w:t>特此证明。</w:t>
      </w:r>
    </w:p>
    <w:p>
      <w:pPr>
        <w:spacing w:line="600" w:lineRule="exact"/>
        <w:rPr>
          <w:color w:val="auto"/>
          <w:sz w:val="22"/>
          <w:szCs w:val="21"/>
          <w:highlight w:val="none"/>
        </w:rPr>
      </w:pPr>
    </w:p>
    <w:p>
      <w:pPr>
        <w:spacing w:line="600" w:lineRule="exact"/>
        <w:rPr>
          <w:color w:val="auto"/>
          <w:sz w:val="22"/>
          <w:szCs w:val="21"/>
          <w:highlight w:val="none"/>
        </w:rPr>
      </w:pPr>
    </w:p>
    <w:p>
      <w:pPr>
        <w:spacing w:line="600" w:lineRule="exact"/>
        <w:ind w:right="420"/>
        <w:jc w:val="center"/>
        <w:rPr>
          <w:color w:val="auto"/>
          <w:sz w:val="22"/>
          <w:szCs w:val="21"/>
          <w:highlight w:val="none"/>
        </w:rPr>
      </w:pPr>
      <w:r>
        <w:rPr>
          <w:rFonts w:hint="eastAsia" w:hAnsi="宋体"/>
          <w:color w:val="auto"/>
          <w:sz w:val="22"/>
          <w:szCs w:val="21"/>
          <w:highlight w:val="none"/>
        </w:rPr>
        <w:t xml:space="preserve">                                          投标人</w:t>
      </w:r>
      <w:r>
        <w:rPr>
          <w:rFonts w:hAnsi="宋体"/>
          <w:color w:val="auto"/>
          <w:sz w:val="22"/>
          <w:szCs w:val="21"/>
          <w:highlight w:val="none"/>
        </w:rPr>
        <w:t>：</w:t>
      </w:r>
      <w:r>
        <w:rPr>
          <w:rFonts w:hint="eastAsia" w:hAnsi="宋体"/>
          <w:color w:val="auto"/>
          <w:sz w:val="22"/>
          <w:szCs w:val="21"/>
          <w:highlight w:val="none"/>
          <w:u w:val="single"/>
        </w:rPr>
        <w:t xml:space="preserve">                   </w:t>
      </w:r>
      <w:r>
        <w:rPr>
          <w:rFonts w:hAnsi="宋体"/>
          <w:color w:val="auto"/>
          <w:sz w:val="22"/>
          <w:szCs w:val="21"/>
          <w:highlight w:val="none"/>
        </w:rPr>
        <w:t>（盖单位章）</w:t>
      </w:r>
    </w:p>
    <w:p>
      <w:pPr>
        <w:spacing w:line="600" w:lineRule="exact"/>
        <w:jc w:val="right"/>
        <w:rPr>
          <w:color w:val="auto"/>
          <w:szCs w:val="21"/>
          <w:highlight w:val="none"/>
          <w:u w:val="single"/>
        </w:rPr>
      </w:pPr>
    </w:p>
    <w:p>
      <w:pPr>
        <w:pStyle w:val="495"/>
        <w:jc w:val="right"/>
        <w:rPr>
          <w:color w:val="auto"/>
          <w:highlight w:val="none"/>
        </w:rPr>
      </w:pP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pPr>
        <w:spacing w:line="360" w:lineRule="auto"/>
        <w:textAlignment w:val="center"/>
        <w:rPr>
          <w:rFonts w:hint="eastAsia" w:ascii="宋体" w:hAnsi="宋体" w:cs="宋体"/>
          <w:color w:val="auto"/>
          <w:highlight w:val="none"/>
        </w:rPr>
      </w:pPr>
    </w:p>
    <w:p>
      <w:pPr>
        <w:spacing w:line="500" w:lineRule="exact"/>
        <w:jc w:val="center"/>
        <w:rPr>
          <w:rFonts w:hint="eastAsia"/>
          <w:color w:val="auto"/>
          <w:sz w:val="24"/>
          <w:highlight w:val="none"/>
        </w:rPr>
      </w:pPr>
    </w:p>
    <w:p>
      <w:pPr>
        <w:spacing w:line="360" w:lineRule="auto"/>
        <w:textAlignment w:val="center"/>
        <w:rPr>
          <w:rFonts w:hint="eastAsia"/>
          <w:color w:val="auto"/>
          <w:sz w:val="24"/>
          <w:highlight w:val="none"/>
        </w:rPr>
      </w:pPr>
    </w:p>
    <w:p>
      <w:pPr>
        <w:spacing w:line="360" w:lineRule="auto"/>
        <w:jc w:val="center"/>
        <w:textAlignment w:val="center"/>
        <w:rPr>
          <w:rFonts w:hint="eastAsia"/>
          <w:color w:val="auto"/>
          <w:sz w:val="24"/>
          <w:highlight w:val="none"/>
        </w:rPr>
      </w:pPr>
      <w:r>
        <w:rPr>
          <w:rFonts w:hint="eastAsia"/>
          <w:b/>
          <w:bCs/>
          <w:color w:val="auto"/>
          <w:highlight w:val="none"/>
        </w:rPr>
        <w:t>注：签章和盖章具有同等法律效力。</w:t>
      </w:r>
    </w:p>
    <w:p>
      <w:pPr>
        <w:spacing w:line="360" w:lineRule="auto"/>
        <w:textAlignment w:val="center"/>
        <w:rPr>
          <w:rFonts w:hint="eastAsia"/>
          <w:color w:val="auto"/>
          <w:sz w:val="24"/>
          <w:highlight w:val="none"/>
        </w:rPr>
      </w:pPr>
    </w:p>
    <w:bookmarkEnd w:id="18"/>
    <w:p>
      <w:pPr>
        <w:rPr>
          <w:rFonts w:hint="eastAsia" w:ascii="宋体" w:hAnsi="宋体" w:cs="宋体"/>
          <w:b/>
          <w:color w:val="auto"/>
          <w:sz w:val="30"/>
          <w:szCs w:val="30"/>
          <w:highlight w:val="none"/>
        </w:rPr>
      </w:pPr>
      <w:bookmarkStart w:id="19" w:name="_Toc353257312"/>
      <w:r>
        <w:rPr>
          <w:rFonts w:hint="eastAsia" w:ascii="宋体" w:hAnsi="宋体" w:cs="宋体"/>
          <w:b/>
          <w:color w:val="auto"/>
          <w:sz w:val="30"/>
          <w:szCs w:val="30"/>
          <w:highlight w:val="none"/>
        </w:rPr>
        <w:br w:type="page"/>
      </w:r>
    </w:p>
    <w:p>
      <w:pPr>
        <w:spacing w:line="500" w:lineRule="exact"/>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授权委托书</w:t>
      </w:r>
    </w:p>
    <w:p>
      <w:pPr>
        <w:spacing w:line="440" w:lineRule="exact"/>
        <w:ind w:firstLine="480" w:firstLineChars="200"/>
        <w:rPr>
          <w:color w:val="auto"/>
          <w:sz w:val="24"/>
          <w:szCs w:val="21"/>
          <w:highlight w:val="none"/>
        </w:rPr>
      </w:pPr>
      <w:r>
        <w:rPr>
          <w:rFonts w:hAnsi="宋体"/>
          <w:color w:val="auto"/>
          <w:sz w:val="24"/>
          <w:szCs w:val="21"/>
          <w:highlight w:val="none"/>
        </w:rPr>
        <w:t>本人</w:t>
      </w:r>
      <w:r>
        <w:rPr>
          <w:rFonts w:hint="eastAsia" w:hAnsi="宋体"/>
          <w:color w:val="auto"/>
          <w:sz w:val="24"/>
          <w:szCs w:val="21"/>
          <w:highlight w:val="none"/>
          <w:u w:val="single"/>
        </w:rPr>
        <w:t xml:space="preserve">           </w:t>
      </w:r>
      <w:r>
        <w:rPr>
          <w:rFonts w:hAnsi="宋体"/>
          <w:color w:val="auto"/>
          <w:sz w:val="24"/>
          <w:szCs w:val="21"/>
          <w:highlight w:val="none"/>
        </w:rPr>
        <w:t>（姓名）系</w:t>
      </w:r>
      <w:r>
        <w:rPr>
          <w:rFonts w:hint="eastAsia" w:hAnsi="宋体"/>
          <w:color w:val="auto"/>
          <w:sz w:val="24"/>
          <w:szCs w:val="21"/>
          <w:highlight w:val="none"/>
          <w:u w:val="single"/>
        </w:rPr>
        <w:t xml:space="preserve">            </w:t>
      </w:r>
      <w:r>
        <w:rPr>
          <w:rFonts w:hAnsi="宋体"/>
          <w:color w:val="auto"/>
          <w:sz w:val="24"/>
          <w:szCs w:val="21"/>
          <w:highlight w:val="none"/>
        </w:rPr>
        <w:t>（</w:t>
      </w:r>
      <w:r>
        <w:rPr>
          <w:rFonts w:hint="eastAsia" w:hAnsi="宋体"/>
          <w:color w:val="auto"/>
          <w:sz w:val="24"/>
          <w:szCs w:val="21"/>
          <w:highlight w:val="none"/>
        </w:rPr>
        <w:t>投标人</w:t>
      </w:r>
      <w:r>
        <w:rPr>
          <w:rFonts w:hAnsi="宋体"/>
          <w:color w:val="auto"/>
          <w:sz w:val="24"/>
          <w:szCs w:val="21"/>
          <w:highlight w:val="none"/>
        </w:rPr>
        <w:t>名称）的法定代表人，现委托</w:t>
      </w:r>
      <w:r>
        <w:rPr>
          <w:rFonts w:hint="eastAsia" w:hAnsi="宋体"/>
          <w:color w:val="auto"/>
          <w:sz w:val="24"/>
          <w:szCs w:val="21"/>
          <w:highlight w:val="none"/>
          <w:u w:val="single"/>
        </w:rPr>
        <w:t xml:space="preserve">          </w:t>
      </w:r>
      <w:r>
        <w:rPr>
          <w:rFonts w:hAnsi="宋体"/>
          <w:color w:val="auto"/>
          <w:sz w:val="24"/>
          <w:szCs w:val="21"/>
          <w:highlight w:val="none"/>
        </w:rPr>
        <w:t>（姓名）为我方代理人。代理人根据授权，以我方名义签署、澄清、说明、补正、递交、撤回、修改</w:t>
      </w:r>
      <w:r>
        <w:rPr>
          <w:rFonts w:hint="eastAsia" w:hAnsi="宋体"/>
          <w:color w:val="auto"/>
          <w:sz w:val="24"/>
          <w:szCs w:val="21"/>
          <w:highlight w:val="none"/>
        </w:rPr>
        <w:t xml:space="preserve"> </w:t>
      </w:r>
      <w:r>
        <w:rPr>
          <w:rFonts w:hint="eastAsia" w:hAnsi="宋体"/>
          <w:color w:val="auto"/>
          <w:sz w:val="24"/>
          <w:szCs w:val="21"/>
          <w:highlight w:val="none"/>
          <w:u w:val="single"/>
        </w:rPr>
        <w:t xml:space="preserve">         </w:t>
      </w:r>
      <w:r>
        <w:rPr>
          <w:rFonts w:hAnsi="宋体"/>
          <w:color w:val="auto"/>
          <w:sz w:val="24"/>
          <w:szCs w:val="21"/>
          <w:highlight w:val="none"/>
        </w:rPr>
        <w:t>（项目名称）施工</w:t>
      </w:r>
      <w:r>
        <w:rPr>
          <w:rFonts w:hint="eastAsia" w:hAnsi="宋体"/>
          <w:color w:val="auto"/>
          <w:sz w:val="24"/>
          <w:szCs w:val="21"/>
          <w:highlight w:val="none"/>
        </w:rPr>
        <w:t>投标文件</w:t>
      </w:r>
      <w:r>
        <w:rPr>
          <w:rFonts w:hAnsi="宋体"/>
          <w:color w:val="auto"/>
          <w:sz w:val="24"/>
          <w:szCs w:val="21"/>
          <w:highlight w:val="none"/>
        </w:rPr>
        <w:t>、签订合同和处理有关事宜，其法律后果由我方承担。</w:t>
      </w:r>
    </w:p>
    <w:p>
      <w:pPr>
        <w:spacing w:before="120" w:beforeLines="50" w:line="440" w:lineRule="exact"/>
        <w:ind w:firstLine="480" w:firstLineChars="200"/>
        <w:rPr>
          <w:color w:val="auto"/>
          <w:sz w:val="24"/>
          <w:szCs w:val="21"/>
          <w:highlight w:val="none"/>
        </w:rPr>
      </w:pPr>
      <w:r>
        <w:rPr>
          <w:rFonts w:hAnsi="宋体"/>
          <w:color w:val="auto"/>
          <w:sz w:val="24"/>
          <w:szCs w:val="21"/>
          <w:highlight w:val="none"/>
        </w:rPr>
        <w:t>委托期限：</w:t>
      </w:r>
      <w:r>
        <w:rPr>
          <w:rFonts w:hint="eastAsia" w:hAnsi="宋体"/>
          <w:color w:val="auto"/>
          <w:sz w:val="24"/>
          <w:szCs w:val="21"/>
          <w:highlight w:val="none"/>
          <w:u w:val="single"/>
        </w:rPr>
        <w:t xml:space="preserve">                       </w:t>
      </w:r>
      <w:r>
        <w:rPr>
          <w:rFonts w:hAnsi="宋体"/>
          <w:color w:val="auto"/>
          <w:sz w:val="24"/>
          <w:szCs w:val="21"/>
          <w:highlight w:val="none"/>
        </w:rPr>
        <w:t>。</w:t>
      </w:r>
    </w:p>
    <w:p>
      <w:pPr>
        <w:spacing w:before="240" w:beforeLines="100" w:after="240" w:afterLines="100" w:line="440" w:lineRule="exact"/>
        <w:ind w:firstLine="480" w:firstLineChars="200"/>
        <w:rPr>
          <w:color w:val="auto"/>
          <w:sz w:val="24"/>
          <w:szCs w:val="21"/>
          <w:highlight w:val="none"/>
        </w:rPr>
      </w:pPr>
      <w:r>
        <w:rPr>
          <w:rFonts w:hAnsi="宋体"/>
          <w:color w:val="auto"/>
          <w:sz w:val="24"/>
          <w:szCs w:val="21"/>
          <w:highlight w:val="none"/>
        </w:rPr>
        <w:t>代理人无转委托权。</w:t>
      </w:r>
    </w:p>
    <w:p>
      <w:pPr>
        <w:spacing w:after="240" w:afterLines="100" w:line="440" w:lineRule="exact"/>
        <w:ind w:firstLine="480" w:firstLineChars="200"/>
        <w:rPr>
          <w:color w:val="auto"/>
          <w:sz w:val="24"/>
          <w:szCs w:val="21"/>
          <w:highlight w:val="none"/>
        </w:rPr>
      </w:pPr>
      <w:r>
        <w:rPr>
          <w:rFonts w:hAnsi="宋体"/>
          <w:color w:val="auto"/>
          <w:sz w:val="24"/>
          <w:szCs w:val="21"/>
          <w:highlight w:val="none"/>
        </w:rPr>
        <w:t>附：法定代表人身份证</w:t>
      </w:r>
      <w:r>
        <w:rPr>
          <w:rFonts w:hint="eastAsia" w:hAnsi="宋体"/>
          <w:color w:val="auto"/>
          <w:sz w:val="24"/>
          <w:szCs w:val="21"/>
          <w:highlight w:val="none"/>
        </w:rPr>
        <w:t>及授权代表的身份证</w:t>
      </w:r>
      <w:r>
        <w:rPr>
          <w:rFonts w:hint="eastAsia" w:hAnsi="宋体"/>
          <w:b/>
          <w:color w:val="auto"/>
          <w:sz w:val="24"/>
          <w:szCs w:val="21"/>
          <w:highlight w:val="none"/>
        </w:rPr>
        <w:t>彩色扫描件</w:t>
      </w:r>
    </w:p>
    <w:p>
      <w:pPr>
        <w:spacing w:line="440" w:lineRule="exact"/>
        <w:rPr>
          <w:color w:val="auto"/>
          <w:sz w:val="24"/>
          <w:szCs w:val="21"/>
          <w:highlight w:val="none"/>
        </w:rPr>
      </w:pPr>
    </w:p>
    <w:p>
      <w:pPr>
        <w:spacing w:line="440" w:lineRule="exact"/>
        <w:ind w:firstLine="4080" w:firstLineChars="1700"/>
        <w:rPr>
          <w:color w:val="auto"/>
          <w:sz w:val="24"/>
          <w:szCs w:val="21"/>
          <w:highlight w:val="none"/>
        </w:rPr>
      </w:pPr>
      <w:r>
        <w:rPr>
          <w:rFonts w:hAnsi="宋体"/>
          <w:color w:val="auto"/>
          <w:sz w:val="24"/>
          <w:szCs w:val="21"/>
          <w:highlight w:val="none"/>
        </w:rPr>
        <w:t>供</w:t>
      </w:r>
      <w:r>
        <w:rPr>
          <w:color w:val="auto"/>
          <w:sz w:val="24"/>
          <w:szCs w:val="21"/>
          <w:highlight w:val="none"/>
        </w:rPr>
        <w:t xml:space="preserve"> </w:t>
      </w:r>
      <w:r>
        <w:rPr>
          <w:rFonts w:hAnsi="宋体"/>
          <w:color w:val="auto"/>
          <w:sz w:val="24"/>
          <w:szCs w:val="21"/>
          <w:highlight w:val="none"/>
        </w:rPr>
        <w:t>应</w:t>
      </w:r>
      <w:r>
        <w:rPr>
          <w:color w:val="auto"/>
          <w:sz w:val="24"/>
          <w:szCs w:val="21"/>
          <w:highlight w:val="none"/>
        </w:rPr>
        <w:t xml:space="preserve"> </w:t>
      </w:r>
      <w:r>
        <w:rPr>
          <w:rFonts w:hAnsi="宋体"/>
          <w:color w:val="auto"/>
          <w:sz w:val="24"/>
          <w:szCs w:val="21"/>
          <w:highlight w:val="none"/>
        </w:rPr>
        <w:t>商：</w:t>
      </w:r>
      <w:r>
        <w:rPr>
          <w:rFonts w:hint="eastAsia" w:hAnsi="宋体"/>
          <w:color w:val="auto"/>
          <w:sz w:val="24"/>
          <w:szCs w:val="21"/>
          <w:highlight w:val="none"/>
          <w:u w:val="single"/>
        </w:rPr>
        <w:t xml:space="preserve">                     </w:t>
      </w:r>
      <w:r>
        <w:rPr>
          <w:rFonts w:hAnsi="宋体"/>
          <w:color w:val="auto"/>
          <w:sz w:val="24"/>
          <w:szCs w:val="21"/>
          <w:highlight w:val="none"/>
        </w:rPr>
        <w:t>（盖单位章）</w:t>
      </w:r>
    </w:p>
    <w:p>
      <w:pPr>
        <w:spacing w:line="440" w:lineRule="exact"/>
        <w:ind w:firstLine="4080" w:firstLineChars="1700"/>
        <w:rPr>
          <w:color w:val="auto"/>
          <w:sz w:val="24"/>
          <w:szCs w:val="21"/>
          <w:highlight w:val="none"/>
        </w:rPr>
      </w:pPr>
    </w:p>
    <w:p>
      <w:pPr>
        <w:spacing w:line="440" w:lineRule="exact"/>
        <w:ind w:firstLine="4080" w:firstLineChars="1700"/>
        <w:rPr>
          <w:color w:val="auto"/>
          <w:sz w:val="24"/>
          <w:szCs w:val="21"/>
          <w:highlight w:val="none"/>
        </w:rPr>
      </w:pPr>
      <w:r>
        <w:rPr>
          <w:rFonts w:hAnsi="宋体"/>
          <w:color w:val="auto"/>
          <w:sz w:val="24"/>
          <w:szCs w:val="21"/>
          <w:highlight w:val="none"/>
        </w:rPr>
        <w:t>法定代表人：</w:t>
      </w:r>
      <w:r>
        <w:rPr>
          <w:rFonts w:hint="eastAsia" w:hAnsi="宋体"/>
          <w:color w:val="auto"/>
          <w:sz w:val="24"/>
          <w:szCs w:val="21"/>
          <w:highlight w:val="none"/>
          <w:u w:val="single"/>
        </w:rPr>
        <w:t xml:space="preserve">                     </w:t>
      </w:r>
      <w:r>
        <w:rPr>
          <w:rFonts w:hAnsi="宋体"/>
          <w:color w:val="auto"/>
          <w:sz w:val="24"/>
          <w:szCs w:val="21"/>
          <w:highlight w:val="none"/>
        </w:rPr>
        <w:t>（签字）</w:t>
      </w:r>
    </w:p>
    <w:p>
      <w:pPr>
        <w:spacing w:line="440" w:lineRule="exact"/>
        <w:ind w:firstLine="4080" w:firstLineChars="1700"/>
        <w:rPr>
          <w:color w:val="auto"/>
          <w:sz w:val="24"/>
          <w:szCs w:val="21"/>
          <w:highlight w:val="none"/>
        </w:rPr>
      </w:pPr>
    </w:p>
    <w:p>
      <w:pPr>
        <w:spacing w:line="440" w:lineRule="exact"/>
        <w:ind w:firstLine="4080" w:firstLineChars="1700"/>
        <w:rPr>
          <w:color w:val="auto"/>
          <w:sz w:val="24"/>
          <w:szCs w:val="21"/>
          <w:highlight w:val="none"/>
          <w:u w:val="single"/>
        </w:rPr>
      </w:pPr>
      <w:r>
        <w:rPr>
          <w:rFonts w:hAnsi="宋体"/>
          <w:color w:val="auto"/>
          <w:sz w:val="24"/>
          <w:szCs w:val="21"/>
          <w:highlight w:val="none"/>
        </w:rPr>
        <w:t>身份证号码：</w:t>
      </w:r>
      <w:r>
        <w:rPr>
          <w:rFonts w:hint="eastAsia" w:hAnsi="宋体"/>
          <w:color w:val="auto"/>
          <w:sz w:val="24"/>
          <w:szCs w:val="21"/>
          <w:highlight w:val="none"/>
          <w:u w:val="single"/>
        </w:rPr>
        <w:t xml:space="preserve">                             </w:t>
      </w:r>
    </w:p>
    <w:p>
      <w:pPr>
        <w:spacing w:line="440" w:lineRule="exact"/>
        <w:ind w:firstLine="4080" w:firstLineChars="1700"/>
        <w:rPr>
          <w:color w:val="auto"/>
          <w:sz w:val="24"/>
          <w:szCs w:val="21"/>
          <w:highlight w:val="none"/>
          <w:u w:val="single"/>
        </w:rPr>
      </w:pPr>
    </w:p>
    <w:p>
      <w:pPr>
        <w:spacing w:line="440" w:lineRule="exact"/>
        <w:ind w:firstLine="4080" w:firstLineChars="1700"/>
        <w:rPr>
          <w:color w:val="auto"/>
          <w:sz w:val="24"/>
          <w:szCs w:val="21"/>
          <w:highlight w:val="none"/>
          <w:u w:val="single"/>
        </w:rPr>
      </w:pPr>
      <w:r>
        <w:rPr>
          <w:rFonts w:hAnsi="宋体"/>
          <w:color w:val="auto"/>
          <w:sz w:val="24"/>
          <w:szCs w:val="21"/>
          <w:highlight w:val="none"/>
        </w:rPr>
        <w:t>委托代理人：</w:t>
      </w:r>
      <w:r>
        <w:rPr>
          <w:rFonts w:hint="eastAsia" w:hAnsi="宋体"/>
          <w:color w:val="auto"/>
          <w:sz w:val="24"/>
          <w:szCs w:val="21"/>
          <w:highlight w:val="none"/>
          <w:u w:val="single"/>
        </w:rPr>
        <w:t xml:space="preserve">                            </w:t>
      </w:r>
    </w:p>
    <w:p>
      <w:pPr>
        <w:spacing w:line="440" w:lineRule="exact"/>
        <w:ind w:firstLine="4080" w:firstLineChars="1700"/>
        <w:rPr>
          <w:color w:val="auto"/>
          <w:sz w:val="24"/>
          <w:szCs w:val="21"/>
          <w:highlight w:val="none"/>
        </w:rPr>
      </w:pPr>
    </w:p>
    <w:p>
      <w:pPr>
        <w:spacing w:line="440" w:lineRule="exact"/>
        <w:ind w:firstLine="4080" w:firstLineChars="1700"/>
        <w:rPr>
          <w:color w:val="auto"/>
          <w:sz w:val="24"/>
          <w:szCs w:val="21"/>
          <w:highlight w:val="none"/>
          <w:u w:val="single"/>
        </w:rPr>
      </w:pPr>
      <w:r>
        <w:rPr>
          <w:rFonts w:hAnsi="宋体"/>
          <w:color w:val="auto"/>
          <w:sz w:val="24"/>
          <w:szCs w:val="21"/>
          <w:highlight w:val="none"/>
        </w:rPr>
        <w:t>身份证号码：</w:t>
      </w:r>
      <w:r>
        <w:rPr>
          <w:rFonts w:hint="eastAsia" w:hAnsi="宋体"/>
          <w:color w:val="auto"/>
          <w:sz w:val="24"/>
          <w:szCs w:val="21"/>
          <w:highlight w:val="none"/>
          <w:u w:val="single"/>
        </w:rPr>
        <w:t xml:space="preserve">                            </w:t>
      </w:r>
    </w:p>
    <w:p>
      <w:pPr>
        <w:spacing w:line="440" w:lineRule="exact"/>
        <w:ind w:firstLine="4080" w:firstLineChars="1700"/>
        <w:rPr>
          <w:color w:val="auto"/>
          <w:sz w:val="24"/>
          <w:szCs w:val="21"/>
          <w:highlight w:val="none"/>
        </w:rPr>
      </w:pPr>
    </w:p>
    <w:p>
      <w:pPr>
        <w:spacing w:line="440" w:lineRule="exact"/>
        <w:jc w:val="right"/>
        <w:rPr>
          <w:color w:val="auto"/>
          <w:sz w:val="24"/>
          <w:szCs w:val="21"/>
          <w:highlight w:val="none"/>
        </w:rPr>
      </w:pP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年</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月</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日</w:t>
      </w:r>
    </w:p>
    <w:p>
      <w:pPr>
        <w:spacing w:line="440" w:lineRule="exact"/>
        <w:ind w:firstLine="5520" w:firstLineChars="2300"/>
        <w:rPr>
          <w:color w:val="auto"/>
          <w:sz w:val="24"/>
          <w:szCs w:val="21"/>
          <w:highlight w:val="none"/>
        </w:rPr>
      </w:pPr>
    </w:p>
    <w:p>
      <w:pPr>
        <w:pStyle w:val="32"/>
        <w:rPr>
          <w:color w:val="auto"/>
          <w:sz w:val="24"/>
          <w:highlight w:val="none"/>
        </w:rPr>
      </w:pPr>
    </w:p>
    <w:p>
      <w:pPr>
        <w:jc w:val="center"/>
        <w:outlineLvl w:val="0"/>
        <w:rPr>
          <w:b/>
          <w:color w:val="auto"/>
          <w:sz w:val="36"/>
          <w:szCs w:val="30"/>
          <w:highlight w:val="none"/>
        </w:rPr>
      </w:pPr>
    </w:p>
    <w:p>
      <w:pPr>
        <w:jc w:val="center"/>
        <w:outlineLvl w:val="0"/>
        <w:rPr>
          <w:b/>
          <w:color w:val="auto"/>
          <w:sz w:val="36"/>
          <w:szCs w:val="30"/>
          <w:highlight w:val="none"/>
        </w:rPr>
      </w:pPr>
    </w:p>
    <w:p>
      <w:pPr>
        <w:pStyle w:val="2"/>
        <w:ind w:left="0" w:leftChars="0" w:firstLine="0" w:firstLineChars="0"/>
        <w:rPr>
          <w:color w:val="auto"/>
          <w:sz w:val="24"/>
          <w:highlight w:val="none"/>
        </w:rPr>
      </w:pPr>
      <w:r>
        <w:rPr>
          <w:rFonts w:hint="eastAsia" w:hAnsi="宋体"/>
          <w:b/>
          <w:color w:val="auto"/>
          <w:sz w:val="24"/>
          <w:highlight w:val="none"/>
        </w:rPr>
        <w:t>按采购文件规定格式填写并签字盖章后，上传至电子标书系统中。</w:t>
      </w:r>
    </w:p>
    <w:p>
      <w:pPr>
        <w:pStyle w:val="656"/>
        <w:spacing w:line="440" w:lineRule="exact"/>
        <w:ind w:left="250" w:right="720"/>
        <w:jc w:val="both"/>
        <w:rPr>
          <w:rFonts w:hint="eastAsia"/>
          <w:bCs/>
          <w:color w:val="auto"/>
          <w:highlight w:val="none"/>
        </w:rPr>
      </w:pPr>
      <w:r>
        <w:rPr>
          <w:rFonts w:hint="eastAsia"/>
          <w:b/>
          <w:bCs/>
          <w:color w:val="auto"/>
          <w:highlight w:val="none"/>
        </w:rPr>
        <w:t>注：签章和盖章具有同等法律效力。</w:t>
      </w:r>
      <w:r>
        <w:rPr>
          <w:bCs/>
          <w:color w:val="auto"/>
          <w:highlight w:val="none"/>
        </w:rPr>
        <w:br w:type="page"/>
      </w:r>
      <w:bookmarkEnd w:id="19"/>
      <w:bookmarkStart w:id="20" w:name="_Toc15941"/>
    </w:p>
    <w:p>
      <w:pPr>
        <w:pStyle w:val="656"/>
        <w:spacing w:line="440" w:lineRule="exact"/>
        <w:ind w:left="250" w:right="720"/>
        <w:jc w:val="center"/>
        <w:rPr>
          <w:rFonts w:hint="eastAsia"/>
          <w:bCs/>
          <w:color w:val="auto"/>
          <w:highlight w:val="none"/>
        </w:rPr>
      </w:pPr>
    </w:p>
    <w:p>
      <w:pPr>
        <w:pStyle w:val="656"/>
        <w:spacing w:line="440" w:lineRule="exact"/>
        <w:ind w:left="250" w:right="720"/>
        <w:jc w:val="center"/>
        <w:rPr>
          <w:rFonts w:hint="eastAsia"/>
          <w:bCs/>
          <w:color w:val="auto"/>
          <w:highlight w:val="none"/>
        </w:rPr>
      </w:pPr>
    </w:p>
    <w:p>
      <w:pPr>
        <w:pStyle w:val="656"/>
        <w:spacing w:line="440" w:lineRule="exact"/>
        <w:ind w:left="250" w:right="720"/>
        <w:jc w:val="center"/>
        <w:rPr>
          <w:rFonts w:hint="eastAsia"/>
          <w:bCs/>
          <w:color w:val="auto"/>
          <w:highlight w:val="none"/>
        </w:rPr>
      </w:pPr>
    </w:p>
    <w:p>
      <w:pPr>
        <w:pStyle w:val="656"/>
        <w:spacing w:line="440" w:lineRule="exact"/>
        <w:ind w:left="250" w:right="720"/>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联合体协议书（本项目不适用）</w:t>
      </w:r>
      <w:bookmarkEnd w:id="20"/>
    </w:p>
    <w:p>
      <w:pPr>
        <w:pStyle w:val="656"/>
        <w:spacing w:line="440" w:lineRule="exact"/>
        <w:ind w:left="250" w:right="720"/>
        <w:jc w:val="center"/>
        <w:rPr>
          <w:rFonts w:hint="eastAsia" w:ascii="宋体" w:hAnsi="宋体" w:cs="宋体"/>
          <w:color w:val="auto"/>
          <w:sz w:val="30"/>
          <w:szCs w:val="30"/>
          <w:highlight w:val="none"/>
        </w:rPr>
      </w:pPr>
    </w:p>
    <w:p>
      <w:pPr>
        <w:pStyle w:val="656"/>
        <w:spacing w:line="440" w:lineRule="exact"/>
        <w:ind w:left="250" w:right="720"/>
        <w:jc w:val="center"/>
        <w:rPr>
          <w:rFonts w:hint="eastAsia" w:ascii="宋体" w:hAnsi="宋体" w:cs="宋体"/>
          <w:color w:val="auto"/>
          <w:sz w:val="30"/>
          <w:szCs w:val="30"/>
          <w:highlight w:val="none"/>
        </w:rPr>
      </w:pPr>
    </w:p>
    <w:p>
      <w:pPr>
        <w:pStyle w:val="656"/>
        <w:spacing w:line="440" w:lineRule="exact"/>
        <w:ind w:left="250" w:right="720"/>
        <w:jc w:val="center"/>
        <w:rPr>
          <w:rFonts w:hint="eastAsia" w:ascii="宋体" w:hAnsi="宋体" w:cs="宋体"/>
          <w:color w:val="auto"/>
          <w:sz w:val="30"/>
          <w:szCs w:val="30"/>
          <w:highlight w:val="none"/>
        </w:rPr>
      </w:pPr>
    </w:p>
    <w:p>
      <w:pPr>
        <w:pStyle w:val="656"/>
        <w:spacing w:line="440" w:lineRule="exact"/>
        <w:ind w:left="250" w:right="720"/>
        <w:jc w:val="center"/>
        <w:rPr>
          <w:rFonts w:hint="eastAsia" w:ascii="宋体" w:hAnsi="宋体" w:cs="宋体"/>
          <w:color w:val="auto"/>
          <w:sz w:val="30"/>
          <w:szCs w:val="30"/>
          <w:highlight w:val="none"/>
        </w:rPr>
      </w:pPr>
    </w:p>
    <w:p>
      <w:pPr>
        <w:pStyle w:val="656"/>
        <w:spacing w:line="440" w:lineRule="exact"/>
        <w:ind w:left="250" w:right="720"/>
        <w:jc w:val="center"/>
        <w:rPr>
          <w:rFonts w:hint="eastAsia" w:ascii="宋体" w:hAnsi="宋体" w:cs="宋体"/>
          <w:color w:val="auto"/>
          <w:sz w:val="30"/>
          <w:szCs w:val="30"/>
          <w:highlight w:val="none"/>
        </w:rPr>
      </w:pPr>
    </w:p>
    <w:p>
      <w:pPr>
        <w:pStyle w:val="656"/>
        <w:spacing w:line="440" w:lineRule="exact"/>
        <w:ind w:left="250" w:right="720"/>
        <w:jc w:val="center"/>
        <w:rPr>
          <w:rFonts w:hint="eastAsia" w:ascii="宋体" w:hAnsi="宋体" w:cs="宋体"/>
          <w:color w:val="auto"/>
          <w:sz w:val="30"/>
          <w:szCs w:val="30"/>
          <w:highlight w:val="none"/>
        </w:rPr>
      </w:pPr>
    </w:p>
    <w:p>
      <w:pPr>
        <w:pStyle w:val="656"/>
        <w:spacing w:line="440" w:lineRule="exact"/>
        <w:ind w:left="250" w:right="720"/>
        <w:jc w:val="center"/>
        <w:rPr>
          <w:rFonts w:hint="eastAsia" w:ascii="宋体" w:hAnsi="宋体" w:cs="宋体"/>
          <w:color w:val="auto"/>
          <w:sz w:val="30"/>
          <w:szCs w:val="30"/>
          <w:highlight w:val="none"/>
        </w:rPr>
      </w:pPr>
    </w:p>
    <w:p>
      <w:pPr>
        <w:pStyle w:val="656"/>
        <w:spacing w:line="440" w:lineRule="exact"/>
        <w:ind w:left="250" w:right="720"/>
        <w:jc w:val="center"/>
        <w:rPr>
          <w:rFonts w:hint="eastAsia" w:ascii="宋体" w:hAnsi="宋体" w:cs="宋体"/>
          <w:color w:val="auto"/>
          <w:sz w:val="30"/>
          <w:szCs w:val="30"/>
          <w:highlight w:val="none"/>
        </w:rPr>
      </w:pPr>
    </w:p>
    <w:p>
      <w:pPr>
        <w:pStyle w:val="656"/>
        <w:spacing w:line="440" w:lineRule="exact"/>
        <w:ind w:left="250" w:right="720"/>
        <w:jc w:val="center"/>
        <w:rPr>
          <w:rFonts w:hint="eastAsia" w:ascii="宋体" w:hAnsi="宋体" w:cs="宋体"/>
          <w:color w:val="auto"/>
          <w:sz w:val="30"/>
          <w:szCs w:val="30"/>
          <w:highlight w:val="none"/>
        </w:rPr>
      </w:pPr>
    </w:p>
    <w:p>
      <w:pPr>
        <w:pStyle w:val="656"/>
        <w:spacing w:line="440" w:lineRule="exact"/>
        <w:ind w:left="250" w:right="720"/>
        <w:jc w:val="center"/>
        <w:rPr>
          <w:rFonts w:hint="eastAsia" w:ascii="宋体" w:hAnsi="宋体" w:cs="宋体"/>
          <w:color w:val="auto"/>
          <w:sz w:val="30"/>
          <w:szCs w:val="30"/>
          <w:highlight w:val="none"/>
        </w:rPr>
      </w:pPr>
    </w:p>
    <w:p>
      <w:pPr>
        <w:pStyle w:val="656"/>
        <w:spacing w:line="440" w:lineRule="exact"/>
        <w:ind w:left="250" w:right="720"/>
        <w:jc w:val="center"/>
        <w:rPr>
          <w:rFonts w:hint="eastAsia" w:ascii="宋体" w:hAnsi="宋体" w:cs="宋体"/>
          <w:color w:val="auto"/>
          <w:sz w:val="30"/>
          <w:szCs w:val="30"/>
          <w:highlight w:val="none"/>
        </w:rPr>
      </w:pPr>
    </w:p>
    <w:p>
      <w:pPr>
        <w:pStyle w:val="656"/>
        <w:spacing w:line="440" w:lineRule="exact"/>
        <w:ind w:left="250" w:right="720"/>
        <w:jc w:val="center"/>
        <w:rPr>
          <w:rFonts w:hint="eastAsia" w:ascii="宋体" w:hAnsi="宋体" w:cs="宋体"/>
          <w:color w:val="auto"/>
          <w:sz w:val="30"/>
          <w:szCs w:val="30"/>
          <w:highlight w:val="none"/>
        </w:rPr>
      </w:pP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资格审查资料</w:t>
      </w:r>
    </w:p>
    <w:p>
      <w:pPr>
        <w:rPr>
          <w:rFonts w:hint="eastAsia" w:ascii="宋体" w:hAnsi="宋体" w:cs="宋体"/>
          <w:color w:val="auto"/>
          <w:highlight w:val="none"/>
        </w:rPr>
      </w:pPr>
      <w:r>
        <w:rPr>
          <w:rFonts w:hint="eastAsia" w:ascii="宋体" w:hAnsi="宋体" w:cs="宋体"/>
          <w:color w:val="auto"/>
          <w:highlight w:val="none"/>
        </w:rPr>
        <w:t>（一）投标人基本情况表</w:t>
      </w:r>
    </w:p>
    <w:tbl>
      <w:tblPr>
        <w:tblStyle w:val="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3"/>
        <w:gridCol w:w="919"/>
        <w:gridCol w:w="1048"/>
        <w:gridCol w:w="1018"/>
        <w:gridCol w:w="290"/>
        <w:gridCol w:w="199"/>
        <w:gridCol w:w="1278"/>
        <w:gridCol w:w="267"/>
        <w:gridCol w:w="727"/>
        <w:gridCol w:w="14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投标人名称</w:t>
            </w:r>
          </w:p>
        </w:tc>
        <w:tc>
          <w:tcPr>
            <w:tcW w:w="7197" w:type="dxa"/>
            <w:gridSpan w:val="9"/>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注册地址</w:t>
            </w:r>
          </w:p>
        </w:tc>
        <w:tc>
          <w:tcPr>
            <w:tcW w:w="3474" w:type="dxa"/>
            <w:gridSpan w:val="5"/>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27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邮政编码</w:t>
            </w:r>
          </w:p>
        </w:tc>
        <w:tc>
          <w:tcPr>
            <w:tcW w:w="2445" w:type="dxa"/>
            <w:gridSpan w:val="3"/>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Merge w:val="restart"/>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联系方式</w:t>
            </w: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联系人</w:t>
            </w:r>
          </w:p>
        </w:tc>
        <w:tc>
          <w:tcPr>
            <w:tcW w:w="2555" w:type="dxa"/>
            <w:gridSpan w:val="4"/>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27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电  话</w:t>
            </w:r>
          </w:p>
        </w:tc>
        <w:tc>
          <w:tcPr>
            <w:tcW w:w="2445" w:type="dxa"/>
            <w:gridSpan w:val="3"/>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vMerge w:val="continue"/>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传  真</w:t>
            </w:r>
          </w:p>
        </w:tc>
        <w:tc>
          <w:tcPr>
            <w:tcW w:w="2555" w:type="dxa"/>
            <w:gridSpan w:val="4"/>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27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网  址</w:t>
            </w:r>
          </w:p>
        </w:tc>
        <w:tc>
          <w:tcPr>
            <w:tcW w:w="2445" w:type="dxa"/>
            <w:gridSpan w:val="3"/>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组织结构</w:t>
            </w:r>
          </w:p>
        </w:tc>
        <w:tc>
          <w:tcPr>
            <w:tcW w:w="7197" w:type="dxa"/>
            <w:gridSpan w:val="9"/>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法定代表人</w:t>
            </w: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04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308" w:type="dxa"/>
            <w:gridSpan w:val="2"/>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1744" w:type="dxa"/>
            <w:gridSpan w:val="3"/>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72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电话</w:t>
            </w:r>
          </w:p>
        </w:tc>
        <w:tc>
          <w:tcPr>
            <w:tcW w:w="1451"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技术负责人</w:t>
            </w: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04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308" w:type="dxa"/>
            <w:gridSpan w:val="2"/>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1744" w:type="dxa"/>
            <w:gridSpan w:val="3"/>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72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电话</w:t>
            </w:r>
          </w:p>
        </w:tc>
        <w:tc>
          <w:tcPr>
            <w:tcW w:w="1451"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成立时间</w:t>
            </w:r>
          </w:p>
        </w:tc>
        <w:tc>
          <w:tcPr>
            <w:tcW w:w="1967" w:type="dxa"/>
            <w:gridSpan w:val="2"/>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5230" w:type="dxa"/>
            <w:gridSpan w:val="7"/>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企业资质等级</w:t>
            </w: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04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018" w:type="dxa"/>
            <w:vMerge w:val="restart"/>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其中</w:t>
            </w:r>
          </w:p>
        </w:tc>
        <w:tc>
          <w:tcPr>
            <w:tcW w:w="2034" w:type="dxa"/>
            <w:gridSpan w:val="4"/>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高级职称人员</w:t>
            </w:r>
          </w:p>
        </w:tc>
        <w:tc>
          <w:tcPr>
            <w:tcW w:w="2178" w:type="dxa"/>
            <w:gridSpan w:val="2"/>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营业执照号</w:t>
            </w: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04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018" w:type="dxa"/>
            <w:vMerge w:val="continue"/>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2034" w:type="dxa"/>
            <w:gridSpan w:val="4"/>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中级职称人员</w:t>
            </w:r>
          </w:p>
        </w:tc>
        <w:tc>
          <w:tcPr>
            <w:tcW w:w="2178" w:type="dxa"/>
            <w:gridSpan w:val="2"/>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注册资金</w:t>
            </w: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04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018" w:type="dxa"/>
            <w:vMerge w:val="continue"/>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2034" w:type="dxa"/>
            <w:gridSpan w:val="4"/>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初级职称人员</w:t>
            </w:r>
          </w:p>
        </w:tc>
        <w:tc>
          <w:tcPr>
            <w:tcW w:w="2178" w:type="dxa"/>
            <w:gridSpan w:val="2"/>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开户银行</w:t>
            </w: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04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018" w:type="dxa"/>
            <w:vMerge w:val="continue"/>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2034" w:type="dxa"/>
            <w:gridSpan w:val="4"/>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技  工</w:t>
            </w:r>
          </w:p>
        </w:tc>
        <w:tc>
          <w:tcPr>
            <w:tcW w:w="2178" w:type="dxa"/>
            <w:gridSpan w:val="2"/>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账号</w:t>
            </w:r>
          </w:p>
        </w:tc>
        <w:tc>
          <w:tcPr>
            <w:tcW w:w="91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048"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018" w:type="dxa"/>
            <w:vMerge w:val="continue"/>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2034" w:type="dxa"/>
            <w:gridSpan w:val="4"/>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2178" w:type="dxa"/>
            <w:gridSpan w:val="2"/>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经营范围</w:t>
            </w:r>
          </w:p>
        </w:tc>
        <w:tc>
          <w:tcPr>
            <w:tcW w:w="7197" w:type="dxa"/>
            <w:gridSpan w:val="9"/>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23"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c>
          <w:tcPr>
            <w:tcW w:w="7197" w:type="dxa"/>
            <w:gridSpan w:val="9"/>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bl>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备注：本表后应附企业法人营业执照、基本账户开户许可证等材料的扫描件。</w:t>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附：</w:t>
      </w:r>
    </w:p>
    <w:tbl>
      <w:tblPr>
        <w:tblStyle w:val="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6"/>
        <w:gridCol w:w="2907"/>
        <w:gridCol w:w="2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2906"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907"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证书名称</w:t>
            </w:r>
          </w:p>
        </w:tc>
        <w:tc>
          <w:tcPr>
            <w:tcW w:w="2907"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906"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p>
        </w:tc>
        <w:tc>
          <w:tcPr>
            <w:tcW w:w="2907"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p>
        </w:tc>
        <w:tc>
          <w:tcPr>
            <w:tcW w:w="2907"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p>
        </w:tc>
      </w:tr>
    </w:tbl>
    <w:p>
      <w:pPr>
        <w:spacing w:before="120" w:beforeLines="50" w:after="240" w:afterLines="100" w:line="440" w:lineRule="exact"/>
        <w:rPr>
          <w:rFonts w:hint="eastAsia" w:ascii="宋体" w:hAnsi="宋体" w:cs="宋体"/>
          <w:color w:val="auto"/>
          <w:highlight w:val="none"/>
        </w:rPr>
      </w:pPr>
      <w:r>
        <w:rPr>
          <w:rFonts w:hint="eastAsia" w:ascii="宋体" w:hAnsi="宋体" w:cs="宋体"/>
          <w:b/>
          <w:color w:val="auto"/>
          <w:sz w:val="30"/>
          <w:szCs w:val="30"/>
          <w:highlight w:val="none"/>
        </w:rPr>
        <w:br w:type="page"/>
      </w:r>
      <w:r>
        <w:rPr>
          <w:rFonts w:hint="eastAsia" w:ascii="宋体" w:hAnsi="宋体" w:cs="宋体"/>
          <w:color w:val="auto"/>
          <w:highlight w:val="none"/>
        </w:rPr>
        <w:t>（二）近年财务状况表</w:t>
      </w:r>
    </w:p>
    <w:p>
      <w:pPr>
        <w:pStyle w:val="290"/>
        <w:rPr>
          <w:rFonts w:hint="eastAsia" w:ascii="宋体" w:hAnsi="宋体" w:eastAsia="宋体" w:cs="宋体"/>
          <w:color w:val="auto"/>
          <w:szCs w:val="21"/>
          <w:highlight w:val="none"/>
          <w:lang w:eastAsia="zh-CN"/>
        </w:rPr>
      </w:pPr>
    </w:p>
    <w:tbl>
      <w:tblPr>
        <w:tblStyle w:val="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4"/>
        <w:gridCol w:w="2341"/>
        <w:gridCol w:w="3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3514"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年度</w:t>
            </w:r>
          </w:p>
        </w:tc>
        <w:tc>
          <w:tcPr>
            <w:tcW w:w="2341"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说明</w:t>
            </w:r>
          </w:p>
        </w:tc>
        <w:tc>
          <w:tcPr>
            <w:tcW w:w="3303"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3514"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4"/>
                <w:highlight w:val="none"/>
              </w:rPr>
            </w:pPr>
          </w:p>
        </w:tc>
        <w:tc>
          <w:tcPr>
            <w:tcW w:w="2341"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4"/>
                <w:highlight w:val="none"/>
              </w:rPr>
            </w:pPr>
          </w:p>
        </w:tc>
        <w:tc>
          <w:tcPr>
            <w:tcW w:w="3303"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4"/>
                <w:highlight w:val="none"/>
              </w:rPr>
            </w:pPr>
          </w:p>
        </w:tc>
      </w:tr>
    </w:tbl>
    <w:p>
      <w:pPr>
        <w:rPr>
          <w:rFonts w:hint="eastAsia" w:ascii="宋体" w:hAnsi="宋体" w:cs="宋体"/>
          <w:b/>
          <w:color w:val="auto"/>
          <w:sz w:val="30"/>
          <w:szCs w:val="30"/>
          <w:highlight w:val="none"/>
        </w:rPr>
      </w:pPr>
    </w:p>
    <w:p>
      <w:pPr>
        <w:rPr>
          <w:rFonts w:hint="eastAsia" w:ascii="宋体" w:hAnsi="宋体" w:cs="宋体"/>
          <w:b/>
          <w:color w:val="auto"/>
          <w:sz w:val="30"/>
          <w:szCs w:val="30"/>
          <w:highlight w:val="none"/>
        </w:rPr>
      </w:pPr>
    </w:p>
    <w:p>
      <w:pPr>
        <w:rPr>
          <w:rFonts w:hint="eastAsia" w:ascii="宋体" w:hAnsi="宋体" w:cs="宋体"/>
          <w:b/>
          <w:color w:val="auto"/>
          <w:sz w:val="30"/>
          <w:szCs w:val="30"/>
          <w:highlight w:val="none"/>
        </w:rPr>
      </w:pPr>
    </w:p>
    <w:p>
      <w:pPr>
        <w:rPr>
          <w:rFonts w:hint="eastAsia" w:ascii="宋体" w:hAnsi="宋体" w:cs="宋体"/>
          <w:b/>
          <w:color w:val="auto"/>
          <w:sz w:val="30"/>
          <w:szCs w:val="30"/>
          <w:highlight w:val="none"/>
        </w:rPr>
      </w:pPr>
    </w:p>
    <w:p>
      <w:pPr>
        <w:rPr>
          <w:rFonts w:hint="eastAsia" w:ascii="宋体" w:hAnsi="宋体" w:cs="宋体"/>
          <w:b/>
          <w:color w:val="auto"/>
          <w:sz w:val="30"/>
          <w:szCs w:val="30"/>
          <w:highlight w:val="none"/>
        </w:rPr>
      </w:pPr>
    </w:p>
    <w:p>
      <w:pPr>
        <w:spacing w:before="120" w:beforeLines="50" w:after="240" w:afterLines="100" w:line="440" w:lineRule="exact"/>
        <w:rPr>
          <w:rFonts w:hint="eastAsia" w:ascii="宋体" w:hAnsi="宋体" w:cs="宋体"/>
          <w:color w:val="auto"/>
          <w:highlight w:val="none"/>
        </w:rPr>
      </w:pPr>
      <w:r>
        <w:rPr>
          <w:rFonts w:hint="eastAsia" w:ascii="宋体" w:hAnsi="宋体" w:cs="宋体"/>
          <w:color w:val="auto"/>
          <w:highlight w:val="none"/>
        </w:rPr>
        <w:t>（三）</w:t>
      </w:r>
      <w:r>
        <w:rPr>
          <w:rFonts w:hint="eastAsia" w:ascii="宋体" w:hAnsi="宋体" w:eastAsia="宋体" w:cs="宋体"/>
          <w:color w:val="auto"/>
          <w:kern w:val="0"/>
          <w:sz w:val="24"/>
          <w:szCs w:val="21"/>
          <w:highlight w:val="none"/>
          <w:lang w:val="en-US" w:eastAsia="zh-CN" w:bidi="ar-SA"/>
        </w:rPr>
        <w:t>依法缴纳税收的证明</w:t>
      </w:r>
    </w:p>
    <w:p>
      <w:pPr>
        <w:spacing w:line="440" w:lineRule="exact"/>
        <w:jc w:val="left"/>
        <w:rPr>
          <w:rFonts w:hint="eastAsia" w:ascii="宋体" w:hAnsi="宋体" w:cs="宋体"/>
          <w:color w:val="auto"/>
          <w:szCs w:val="21"/>
          <w:highlight w:val="none"/>
        </w:rPr>
      </w:pPr>
      <w:r>
        <w:rPr>
          <w:rFonts w:hint="eastAsia" w:ascii="宋体" w:hAnsi="宋体" w:cs="宋体"/>
          <w:color w:val="auto"/>
          <w:highlight w:val="none"/>
        </w:rPr>
        <w:t>扫描件：</w:t>
      </w:r>
    </w:p>
    <w:tbl>
      <w:tblPr>
        <w:tblStyle w:val="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0"/>
        <w:gridCol w:w="4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5110"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证书名称</w:t>
            </w:r>
          </w:p>
        </w:tc>
        <w:tc>
          <w:tcPr>
            <w:tcW w:w="4086"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5110"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4"/>
                <w:highlight w:val="none"/>
              </w:rPr>
            </w:pPr>
          </w:p>
        </w:tc>
        <w:tc>
          <w:tcPr>
            <w:tcW w:w="4086"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4"/>
                <w:highlight w:val="none"/>
              </w:rPr>
            </w:pPr>
          </w:p>
        </w:tc>
      </w:tr>
    </w:tbl>
    <w:p>
      <w:pPr>
        <w:spacing w:before="120" w:beforeLines="50" w:after="240" w:afterLines="100" w:line="440" w:lineRule="exact"/>
        <w:rPr>
          <w:rFonts w:hint="eastAsia" w:ascii="宋体" w:hAnsi="宋体" w:cs="宋体"/>
          <w:color w:val="auto"/>
          <w:highlight w:val="none"/>
        </w:rPr>
      </w:pPr>
      <w:r>
        <w:rPr>
          <w:rFonts w:hint="eastAsia" w:ascii="宋体" w:hAnsi="宋体" w:cs="宋体"/>
          <w:color w:val="auto"/>
          <w:highlight w:val="none"/>
        </w:rPr>
        <w:br w:type="page"/>
      </w:r>
      <w:r>
        <w:rPr>
          <w:rFonts w:hint="eastAsia" w:ascii="宋体" w:hAnsi="宋体" w:cs="宋体"/>
          <w:color w:val="auto"/>
          <w:highlight w:val="none"/>
        </w:rPr>
        <w:t>（四）</w:t>
      </w:r>
      <w:r>
        <w:rPr>
          <w:rFonts w:hint="eastAsia" w:ascii="宋体" w:hAnsi="宋体" w:cs="宋体"/>
          <w:color w:val="auto"/>
          <w:sz w:val="24"/>
          <w:szCs w:val="24"/>
          <w:highlight w:val="none"/>
        </w:rPr>
        <w:t>依法缴纳社会保障资金的证明</w:t>
      </w:r>
    </w:p>
    <w:p>
      <w:pPr>
        <w:spacing w:line="440" w:lineRule="exact"/>
        <w:jc w:val="left"/>
        <w:rPr>
          <w:rFonts w:hint="eastAsia" w:ascii="宋体" w:hAnsi="宋体" w:cs="宋体"/>
          <w:color w:val="auto"/>
          <w:szCs w:val="21"/>
          <w:highlight w:val="none"/>
        </w:rPr>
      </w:pPr>
      <w:r>
        <w:rPr>
          <w:rFonts w:hint="eastAsia" w:ascii="宋体" w:hAnsi="宋体" w:cs="宋体"/>
          <w:color w:val="auto"/>
          <w:highlight w:val="none"/>
        </w:rPr>
        <w:t>扫描件：</w:t>
      </w:r>
    </w:p>
    <w:tbl>
      <w:tblPr>
        <w:tblStyle w:val="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0"/>
        <w:gridCol w:w="4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5110"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证书名称</w:t>
            </w:r>
          </w:p>
        </w:tc>
        <w:tc>
          <w:tcPr>
            <w:tcW w:w="4086"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7" w:hRule="atLeast"/>
          <w:jc w:val="center"/>
        </w:trPr>
        <w:tc>
          <w:tcPr>
            <w:tcW w:w="5110"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4"/>
                <w:highlight w:val="none"/>
              </w:rPr>
            </w:pPr>
          </w:p>
        </w:tc>
        <w:tc>
          <w:tcPr>
            <w:tcW w:w="4086"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4"/>
                <w:highlight w:val="none"/>
              </w:rPr>
            </w:pPr>
          </w:p>
        </w:tc>
      </w:tr>
    </w:tbl>
    <w:p>
      <w:pPr>
        <w:rPr>
          <w:rFonts w:hint="eastAsia" w:ascii="宋体" w:hAnsi="宋体" w:cs="宋体"/>
          <w:b/>
          <w:color w:val="auto"/>
          <w:sz w:val="30"/>
          <w:szCs w:val="30"/>
          <w:highlight w:val="none"/>
        </w:rPr>
      </w:pPr>
    </w:p>
    <w:p>
      <w:pPr>
        <w:rPr>
          <w:rFonts w:hint="eastAsia" w:ascii="宋体" w:hAnsi="宋体" w:cs="宋体"/>
          <w:b/>
          <w:color w:val="auto"/>
          <w:sz w:val="30"/>
          <w:szCs w:val="30"/>
          <w:highlight w:val="none"/>
        </w:rPr>
      </w:pPr>
    </w:p>
    <w:p>
      <w:pPr>
        <w:rPr>
          <w:rFonts w:hint="eastAsia" w:ascii="宋体" w:hAnsi="宋体" w:cs="宋体"/>
          <w:b/>
          <w:color w:val="auto"/>
          <w:sz w:val="30"/>
          <w:szCs w:val="30"/>
          <w:highlight w:val="none"/>
        </w:rPr>
      </w:pPr>
    </w:p>
    <w:p>
      <w:pPr>
        <w:spacing w:before="120" w:beforeLines="50" w:after="240" w:afterLines="100" w:line="440" w:lineRule="exact"/>
        <w:rPr>
          <w:rFonts w:hint="eastAsia" w:ascii="宋体" w:hAnsi="宋体" w:cs="宋体"/>
          <w:color w:val="auto"/>
          <w:highlight w:val="none"/>
        </w:rPr>
      </w:pPr>
      <w:r>
        <w:rPr>
          <w:rFonts w:hint="eastAsia" w:ascii="宋体" w:hAnsi="宋体" w:cs="宋体"/>
          <w:color w:val="auto"/>
          <w:highlight w:val="none"/>
        </w:rPr>
        <w:t>（五）</w:t>
      </w:r>
      <w:r>
        <w:rPr>
          <w:rFonts w:hint="eastAsia" w:ascii="宋体" w:hAnsi="宋体" w:cs="宋体"/>
          <w:color w:val="auto"/>
          <w:szCs w:val="24"/>
          <w:highlight w:val="none"/>
        </w:rPr>
        <w:t>企业各类证书</w:t>
      </w:r>
    </w:p>
    <w:p>
      <w:pPr>
        <w:spacing w:line="440" w:lineRule="exact"/>
        <w:jc w:val="left"/>
        <w:rPr>
          <w:rFonts w:hint="eastAsia" w:ascii="宋体" w:hAnsi="宋体" w:cs="宋体"/>
          <w:color w:val="auto"/>
          <w:szCs w:val="21"/>
          <w:highlight w:val="none"/>
        </w:rPr>
      </w:pPr>
    </w:p>
    <w:tbl>
      <w:tblPr>
        <w:tblStyle w:val="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0"/>
        <w:gridCol w:w="4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5110"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证书名称</w:t>
            </w:r>
          </w:p>
        </w:tc>
        <w:tc>
          <w:tcPr>
            <w:tcW w:w="4086"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7" w:hRule="atLeast"/>
          <w:jc w:val="center"/>
        </w:trPr>
        <w:tc>
          <w:tcPr>
            <w:tcW w:w="5110"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4"/>
                <w:highlight w:val="none"/>
              </w:rPr>
            </w:pPr>
          </w:p>
        </w:tc>
        <w:tc>
          <w:tcPr>
            <w:tcW w:w="4086"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4"/>
                <w:highlight w:val="none"/>
              </w:rPr>
            </w:pPr>
          </w:p>
        </w:tc>
      </w:tr>
    </w:tbl>
    <w:p>
      <w:pPr>
        <w:rPr>
          <w:rFonts w:hint="eastAsia" w:ascii="宋体" w:hAnsi="宋体" w:cs="宋体"/>
          <w:b/>
          <w:color w:val="auto"/>
          <w:sz w:val="30"/>
          <w:szCs w:val="30"/>
          <w:highlight w:val="none"/>
        </w:rPr>
      </w:pPr>
    </w:p>
    <w:p>
      <w:pPr>
        <w:rPr>
          <w:rFonts w:hint="eastAsia" w:ascii="宋体" w:hAnsi="宋体" w:cs="宋体"/>
          <w:b/>
          <w:color w:val="auto"/>
          <w:sz w:val="30"/>
          <w:szCs w:val="30"/>
          <w:highlight w:val="none"/>
        </w:rPr>
      </w:pPr>
    </w:p>
    <w:p>
      <w:pPr>
        <w:rPr>
          <w:rFonts w:hint="eastAsia" w:ascii="宋体" w:hAnsi="宋体" w:cs="宋体"/>
          <w:b/>
          <w:color w:val="auto"/>
          <w:sz w:val="30"/>
          <w:szCs w:val="30"/>
          <w:highlight w:val="none"/>
        </w:rPr>
      </w:pPr>
    </w:p>
    <w:p>
      <w:pPr>
        <w:rPr>
          <w:rFonts w:hint="eastAsia" w:ascii="宋体" w:hAnsi="宋体" w:cs="宋体"/>
          <w:color w:val="auto"/>
          <w:szCs w:val="24"/>
          <w:highlight w:val="none"/>
        </w:rPr>
      </w:pPr>
      <w:r>
        <w:rPr>
          <w:rFonts w:hint="eastAsia" w:ascii="宋体" w:hAnsi="宋体" w:cs="宋体"/>
          <w:color w:val="auto"/>
          <w:highlight w:val="none"/>
        </w:rPr>
        <w:br w:type="page"/>
      </w:r>
    </w:p>
    <w:p>
      <w:pPr>
        <w:spacing w:before="146"/>
        <w:ind w:left="216"/>
        <w:jc w:val="center"/>
        <w:rPr>
          <w:rFonts w:ascii="宋体" w:hAnsi="宋体"/>
          <w:b/>
          <w:bCs/>
          <w:sz w:val="30"/>
          <w:szCs w:val="30"/>
        </w:rPr>
      </w:pPr>
      <w:r>
        <w:rPr>
          <w:rFonts w:hint="eastAsia" w:ascii="宋体" w:hAnsi="宋体"/>
          <w:b/>
          <w:bCs/>
          <w:sz w:val="30"/>
          <w:szCs w:val="30"/>
        </w:rPr>
        <w:t>依法缴纳税收和社会保障资金承诺函(模板)</w:t>
      </w:r>
    </w:p>
    <w:p>
      <w:pPr>
        <w:rPr>
          <w:rFonts w:ascii="宋体" w:hAnsi="宋体"/>
          <w:szCs w:val="21"/>
        </w:rPr>
      </w:pPr>
      <w:r>
        <w:rPr>
          <w:rFonts w:hint="eastAsia" w:ascii="宋体" w:hAnsi="宋体"/>
        </w:rPr>
        <w:t xml:space="preserve"> </w:t>
      </w:r>
    </w:p>
    <w:p>
      <w:pPr>
        <w:rPr>
          <w:rFonts w:ascii="宋体" w:hAnsi="宋体"/>
        </w:rPr>
      </w:pPr>
      <w:r>
        <w:rPr>
          <w:rFonts w:hint="eastAsia" w:ascii="宋体" w:hAnsi="宋体"/>
        </w:rPr>
        <w:t xml:space="preserve"> </w:t>
      </w:r>
    </w:p>
    <w:p>
      <w:pPr>
        <w:spacing w:before="110" w:line="360" w:lineRule="auto"/>
        <w:rPr>
          <w:rFonts w:ascii="宋体" w:hAnsi="宋体"/>
          <w:sz w:val="24"/>
          <w:szCs w:val="24"/>
        </w:rPr>
      </w:pPr>
      <w:r>
        <w:rPr>
          <w:rFonts w:hint="eastAsia" w:ascii="宋体" w:hAnsi="宋体"/>
          <w:sz w:val="24"/>
          <w:szCs w:val="24"/>
        </w:rPr>
        <w:t xml:space="preserve">致 </w:t>
      </w:r>
      <w:r>
        <w:rPr>
          <w:rFonts w:hint="eastAsia" w:ascii="宋体" w:hAnsi="宋体"/>
          <w:sz w:val="24"/>
          <w:szCs w:val="24"/>
          <w:u w:val="single"/>
        </w:rPr>
        <w:t xml:space="preserve"> 招标人或</w:t>
      </w:r>
      <w:r>
        <w:rPr>
          <w:rFonts w:hint="eastAsia" w:ascii="宋体" w:hAnsi="宋体"/>
          <w:sz w:val="24"/>
          <w:szCs w:val="24"/>
          <w:u w:val="single"/>
          <w:lang w:eastAsia="zh-CN"/>
        </w:rPr>
        <w:t>招标</w:t>
      </w:r>
      <w:r>
        <w:rPr>
          <w:rFonts w:hint="eastAsia" w:ascii="宋体" w:hAnsi="宋体"/>
          <w:sz w:val="24"/>
          <w:szCs w:val="24"/>
          <w:u w:val="single"/>
        </w:rPr>
        <w:t>代理机构;</w:t>
      </w:r>
    </w:p>
    <w:p>
      <w:pPr>
        <w:spacing w:before="188" w:line="360" w:lineRule="auto"/>
        <w:ind w:right="4" w:firstLine="669"/>
        <w:rPr>
          <w:rFonts w:ascii="宋体" w:hAnsi="宋体"/>
          <w:sz w:val="24"/>
          <w:szCs w:val="24"/>
        </w:rPr>
      </w:pPr>
      <w:r>
        <w:rPr>
          <w:rFonts w:hint="eastAsia" w:ascii="宋体" w:hAnsi="宋体"/>
          <w:sz w:val="24"/>
          <w:szCs w:val="24"/>
        </w:rPr>
        <w:t>我方在参加</w:t>
      </w:r>
      <w:r>
        <w:rPr>
          <w:rFonts w:hint="eastAsia" w:ascii="宋体" w:hAnsi="宋体"/>
          <w:sz w:val="24"/>
          <w:szCs w:val="24"/>
          <w:u w:val="single"/>
        </w:rPr>
        <w:t>项目名称(项目编号、包号;)</w:t>
      </w:r>
      <w:r>
        <w:rPr>
          <w:rFonts w:hint="eastAsia" w:ascii="宋体" w:hAnsi="宋体"/>
          <w:sz w:val="24"/>
          <w:szCs w:val="24"/>
        </w:rPr>
        <w:t>政府采购活动前，已依法缴纳税收和社会保障资金，符合《中华人民共和国政府采购法实施条例》第十七条第一款第二项规定和</w:t>
      </w:r>
      <w:r>
        <w:rPr>
          <w:rFonts w:hint="eastAsia" w:ascii="宋体" w:hAnsi="宋体"/>
          <w:sz w:val="24"/>
          <w:szCs w:val="24"/>
          <w:lang w:eastAsia="zh-CN"/>
        </w:rPr>
        <w:t>招标</w:t>
      </w:r>
      <w:r>
        <w:rPr>
          <w:rFonts w:hint="eastAsia" w:ascii="宋体" w:hAnsi="宋体"/>
          <w:sz w:val="24"/>
          <w:szCs w:val="24"/>
        </w:rPr>
        <w:t>文件关于缴纳税收和社会保障资金的资格要求。</w:t>
      </w:r>
    </w:p>
    <w:p>
      <w:pPr>
        <w:spacing w:before="1" w:line="360" w:lineRule="auto"/>
        <w:ind w:left="669"/>
        <w:rPr>
          <w:rFonts w:ascii="宋体" w:hAnsi="宋体"/>
          <w:sz w:val="24"/>
          <w:szCs w:val="24"/>
        </w:rPr>
      </w:pPr>
      <w:r>
        <w:rPr>
          <w:rFonts w:hint="eastAsia" w:ascii="宋体" w:hAnsi="宋体"/>
          <w:sz w:val="24"/>
          <w:szCs w:val="24"/>
        </w:rPr>
        <w:t>特此承诺。</w:t>
      </w:r>
    </w:p>
    <w:p>
      <w:pPr>
        <w:spacing w:before="170" w:line="360" w:lineRule="auto"/>
        <w:ind w:right="73" w:firstLine="669"/>
        <w:rPr>
          <w:rFonts w:ascii="宋体" w:hAnsi="宋体"/>
          <w:sz w:val="24"/>
          <w:szCs w:val="24"/>
        </w:rPr>
      </w:pPr>
      <w:r>
        <w:rPr>
          <w:rFonts w:hint="eastAsia" w:ascii="宋体" w:hAnsi="宋体"/>
          <w:sz w:val="24"/>
          <w:szCs w:val="24"/>
        </w:rPr>
        <w:t>我方对上述承诺真实性、合法性、有效性负责，如有虚假承诺，依法承担相应责任并接受处罚。</w:t>
      </w:r>
    </w:p>
    <w:p>
      <w:pPr>
        <w:spacing w:line="360" w:lineRule="auto"/>
        <w:rPr>
          <w:rFonts w:ascii="宋体" w:hAnsi="宋体"/>
          <w:sz w:val="24"/>
          <w:szCs w:val="24"/>
        </w:rPr>
      </w:pPr>
      <w:r>
        <w:rPr>
          <w:rFonts w:hint="eastAsia" w:ascii="宋体" w:hAnsi="宋体"/>
          <w:sz w:val="24"/>
          <w:szCs w:val="24"/>
        </w:rPr>
        <w:t xml:space="preserve"> </w:t>
      </w:r>
    </w:p>
    <w:p>
      <w:pPr>
        <w:spacing w:before="112" w:line="360" w:lineRule="auto"/>
        <w:ind w:left="3240"/>
        <w:rPr>
          <w:rFonts w:ascii="宋体" w:hAnsi="宋体"/>
          <w:sz w:val="24"/>
          <w:szCs w:val="24"/>
        </w:rPr>
      </w:pPr>
      <w:r>
        <w:rPr>
          <w:rFonts w:hint="eastAsia" w:ascii="宋体" w:hAnsi="宋体"/>
          <w:sz w:val="24"/>
          <w:szCs w:val="24"/>
        </w:rPr>
        <w:t>投标人全称：    (盖公司公章)</w:t>
      </w:r>
    </w:p>
    <w:p>
      <w:pPr>
        <w:spacing w:before="216" w:line="360" w:lineRule="auto"/>
        <w:ind w:left="3250"/>
        <w:rPr>
          <w:rFonts w:ascii="宋体" w:hAnsi="宋体"/>
          <w:sz w:val="24"/>
          <w:szCs w:val="24"/>
        </w:rPr>
      </w:pPr>
      <w:r>
        <w:rPr>
          <w:rFonts w:hint="eastAsia" w:ascii="宋体" w:hAnsi="宋体"/>
          <w:sz w:val="24"/>
          <w:szCs w:val="24"/>
        </w:rPr>
        <w:t>202 年 月  日</w:t>
      </w:r>
    </w:p>
    <w:p>
      <w:pPr>
        <w:spacing w:line="360" w:lineRule="auto"/>
        <w:rPr>
          <w:rFonts w:ascii="宋体" w:hAnsi="宋体"/>
          <w:sz w:val="24"/>
          <w:szCs w:val="24"/>
        </w:rPr>
      </w:pPr>
    </w:p>
    <w:p>
      <w:pPr>
        <w:spacing w:line="360" w:lineRule="auto"/>
        <w:rPr>
          <w:rFonts w:ascii="宋体" w:hAnsi="宋体"/>
          <w:sz w:val="24"/>
          <w:szCs w:val="24"/>
        </w:rPr>
      </w:pPr>
      <w:r>
        <w:rPr>
          <w:rFonts w:hint="eastAsia" w:ascii="宋体" w:hAnsi="宋体"/>
          <w:sz w:val="24"/>
          <w:szCs w:val="24"/>
        </w:rPr>
        <w:t xml:space="preserve"> </w:t>
      </w:r>
    </w:p>
    <w:p>
      <w:pPr>
        <w:spacing w:line="360" w:lineRule="auto"/>
        <w:rPr>
          <w:rFonts w:ascii="宋体" w:hAnsi="宋体"/>
          <w:sz w:val="24"/>
          <w:szCs w:val="24"/>
        </w:rPr>
      </w:pPr>
      <w:r>
        <w:rPr>
          <w:rFonts w:hint="eastAsia" w:ascii="宋体" w:hAnsi="宋体"/>
          <w:sz w:val="24"/>
          <w:szCs w:val="24"/>
        </w:rPr>
        <w:t xml:space="preserve"> </w:t>
      </w:r>
    </w:p>
    <w:p>
      <w:pPr>
        <w:spacing w:before="111" w:line="360" w:lineRule="auto"/>
        <w:rPr>
          <w:rFonts w:ascii="宋体" w:hAnsi="宋体"/>
          <w:sz w:val="24"/>
          <w:szCs w:val="24"/>
        </w:rPr>
      </w:pPr>
      <w:r>
        <w:rPr>
          <w:rFonts w:hint="eastAsia" w:ascii="宋体" w:hAnsi="宋体"/>
          <w:sz w:val="24"/>
          <w:szCs w:val="24"/>
        </w:rPr>
        <w:t>注：</w:t>
      </w:r>
    </w:p>
    <w:p>
      <w:pPr>
        <w:spacing w:before="170" w:line="360" w:lineRule="auto"/>
        <w:ind w:firstLine="669"/>
        <w:rPr>
          <w:rFonts w:ascii="宋体" w:hAnsi="宋体"/>
          <w:sz w:val="24"/>
          <w:szCs w:val="24"/>
        </w:rPr>
      </w:pPr>
      <w:r>
        <w:rPr>
          <w:rFonts w:hint="eastAsia" w:ascii="宋体" w:hAnsi="宋体"/>
          <w:sz w:val="24"/>
          <w:szCs w:val="24"/>
        </w:rPr>
        <w:t>1.依法免税或不需要缴纳社会保障资金的</w:t>
      </w:r>
      <w:r>
        <w:rPr>
          <w:rFonts w:hint="eastAsia" w:ascii="宋体" w:hAnsi="宋体"/>
          <w:sz w:val="24"/>
          <w:szCs w:val="24"/>
          <w:lang w:eastAsia="zh-CN"/>
        </w:rPr>
        <w:t>投标人</w:t>
      </w:r>
      <w:r>
        <w:rPr>
          <w:rFonts w:hint="eastAsia" w:ascii="宋体" w:hAnsi="宋体"/>
          <w:sz w:val="24"/>
          <w:szCs w:val="24"/>
        </w:rPr>
        <w:t>，应提供相关证明材料。</w:t>
      </w:r>
    </w:p>
    <w:p>
      <w:pPr>
        <w:spacing w:before="2" w:line="360" w:lineRule="auto"/>
        <w:ind w:right="7" w:firstLine="669"/>
        <w:rPr>
          <w:rFonts w:ascii="宋体" w:hAnsi="宋体"/>
          <w:sz w:val="24"/>
          <w:szCs w:val="24"/>
        </w:rPr>
      </w:pPr>
      <w:r>
        <w:rPr>
          <w:rFonts w:hint="eastAsia" w:ascii="宋体" w:hAnsi="宋体"/>
          <w:sz w:val="24"/>
          <w:szCs w:val="24"/>
        </w:rPr>
        <w:t>2.未在山东省内缴纳税收和社会保障资金的</w:t>
      </w:r>
      <w:r>
        <w:rPr>
          <w:rFonts w:hint="eastAsia" w:ascii="宋体" w:hAnsi="宋体"/>
          <w:sz w:val="24"/>
          <w:szCs w:val="24"/>
          <w:lang w:eastAsia="zh-CN"/>
        </w:rPr>
        <w:t>投标人</w:t>
      </w:r>
      <w:r>
        <w:rPr>
          <w:rFonts w:hint="eastAsia" w:ascii="宋体" w:hAnsi="宋体"/>
          <w:sz w:val="24"/>
          <w:szCs w:val="24"/>
        </w:rPr>
        <w:t>，须按招标文件要求提供缴纳税收和社会保障资金的证明材料。</w:t>
      </w:r>
    </w:p>
    <w:p>
      <w:pPr>
        <w:pStyle w:val="563"/>
        <w:spacing w:line="360" w:lineRule="auto"/>
        <w:ind w:firstLine="480"/>
        <w:rPr>
          <w:sz w:val="24"/>
          <w:szCs w:val="24"/>
        </w:rPr>
      </w:pPr>
    </w:p>
    <w:p>
      <w:pPr>
        <w:numPr>
          <w:ilvl w:val="0"/>
          <w:numId w:val="0"/>
        </w:numPr>
        <w:spacing w:line="600" w:lineRule="exact"/>
        <w:jc w:val="center"/>
        <w:rPr>
          <w:rFonts w:hint="eastAsia" w:ascii="宋体" w:hAnsi="宋体" w:cs="宋体"/>
          <w:color w:val="auto"/>
          <w:szCs w:val="24"/>
          <w:highlight w:val="none"/>
        </w:rPr>
      </w:pPr>
      <w:r>
        <w:rPr>
          <w:rFonts w:hint="eastAsia" w:ascii="宋体" w:hAnsi="宋体"/>
          <w:sz w:val="24"/>
          <w:szCs w:val="24"/>
        </w:rPr>
        <w:t>注：签章和盖章具有同等法律效力</w:t>
      </w:r>
    </w:p>
    <w:p>
      <w:pPr>
        <w:numPr>
          <w:ilvl w:val="0"/>
          <w:numId w:val="0"/>
        </w:numPr>
        <w:spacing w:line="600" w:lineRule="exact"/>
        <w:jc w:val="left"/>
        <w:rPr>
          <w:rFonts w:hint="eastAsia" w:ascii="宋体" w:hAnsi="宋体" w:cs="宋体"/>
          <w:color w:val="auto"/>
          <w:szCs w:val="24"/>
          <w:highlight w:val="none"/>
        </w:rPr>
      </w:pPr>
      <w:r>
        <w:rPr>
          <w:rFonts w:hint="eastAsia" w:ascii="宋体" w:hAnsi="宋体" w:cs="宋体"/>
          <w:color w:val="auto"/>
          <w:highlight w:val="none"/>
        </w:rPr>
        <w:br w:type="page"/>
      </w:r>
      <w:r>
        <w:rPr>
          <w:rFonts w:hint="eastAsia" w:ascii="宋体" w:hAnsi="宋体" w:cs="宋体"/>
          <w:color w:val="auto"/>
          <w:highlight w:val="none"/>
          <w:lang w:eastAsia="zh-CN"/>
        </w:rPr>
        <w:t>（</w:t>
      </w:r>
      <w:r>
        <w:rPr>
          <w:rFonts w:hint="eastAsia" w:ascii="宋体" w:hAnsi="宋体" w:cs="宋体"/>
          <w:color w:val="auto"/>
          <w:highlight w:val="none"/>
          <w:lang w:val="en-US" w:eastAsia="zh-CN"/>
        </w:rPr>
        <w:t>六</w:t>
      </w:r>
      <w:r>
        <w:rPr>
          <w:rFonts w:hint="eastAsia" w:ascii="宋体" w:hAnsi="宋体" w:cs="宋体"/>
          <w:color w:val="auto"/>
          <w:highlight w:val="none"/>
          <w:lang w:eastAsia="zh-CN"/>
        </w:rPr>
        <w:t>）</w:t>
      </w:r>
      <w:r>
        <w:rPr>
          <w:rFonts w:hint="eastAsia" w:ascii="宋体" w:hAnsi="宋体" w:cs="宋体"/>
          <w:color w:val="auto"/>
          <w:szCs w:val="24"/>
          <w:highlight w:val="none"/>
        </w:rPr>
        <w:t>具备履行合同所必需的设备和专业技术能力的证明材料，是指提供《履行合同的设备技术能力证明表》。</w:t>
      </w:r>
    </w:p>
    <w:p>
      <w:pPr>
        <w:numPr>
          <w:ilvl w:val="0"/>
          <w:numId w:val="0"/>
        </w:numPr>
        <w:spacing w:line="600" w:lineRule="exact"/>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履行合同的设备技术能力证明表</w:t>
      </w:r>
    </w:p>
    <w:tbl>
      <w:tblPr>
        <w:tblStyle w:val="73"/>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71"/>
        <w:gridCol w:w="1235"/>
        <w:gridCol w:w="1235"/>
        <w:gridCol w:w="2006"/>
        <w:gridCol w:w="1386"/>
        <w:gridCol w:w="1241"/>
        <w:gridCol w:w="770"/>
        <w:gridCol w:w="92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2006" w:type="dxa"/>
            <w:gridSpan w:val="2"/>
            <w:tcBorders>
              <w:top w:val="single" w:color="auto" w:sz="2"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单位名称</w:t>
            </w:r>
          </w:p>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（盖公章）</w:t>
            </w:r>
          </w:p>
        </w:tc>
        <w:tc>
          <w:tcPr>
            <w:tcW w:w="7566" w:type="dxa"/>
            <w:gridSpan w:val="6"/>
            <w:tcBorders>
              <w:top w:val="single" w:color="auto" w:sz="2"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5992" w:right="0"/>
              <w:rPr>
                <w:rFonts w:hint="eastAsia" w:ascii="宋体" w:hAnsi="宋体" w:cs="宋体"/>
                <w:color w:val="auto"/>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2006"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技术人员数量</w:t>
            </w:r>
          </w:p>
        </w:tc>
        <w:tc>
          <w:tcPr>
            <w:tcW w:w="123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c>
          <w:tcPr>
            <w:tcW w:w="200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管理人员数量</w:t>
            </w:r>
          </w:p>
        </w:tc>
        <w:tc>
          <w:tcPr>
            <w:tcW w:w="138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c>
          <w:tcPr>
            <w:tcW w:w="2011"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总人数量</w:t>
            </w:r>
          </w:p>
        </w:tc>
        <w:tc>
          <w:tcPr>
            <w:tcW w:w="92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rPr>
                <w:rFonts w:hint="eastAsia" w:ascii="宋体" w:hAnsi="宋体" w:cs="宋体"/>
                <w:color w:val="auto"/>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9572" w:type="dxa"/>
            <w:gridSpan w:val="8"/>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设备、仪器情况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71" w:type="dxa"/>
            <w:tcBorders>
              <w:top w:val="single" w:color="auto" w:sz="6"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470" w:type="dxa"/>
            <w:gridSpan w:val="2"/>
            <w:tcBorders>
              <w:top w:val="single" w:color="auto" w:sz="6"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设备名称</w:t>
            </w:r>
          </w:p>
        </w:tc>
        <w:tc>
          <w:tcPr>
            <w:tcW w:w="4633" w:type="dxa"/>
            <w:gridSpan w:val="3"/>
            <w:tcBorders>
              <w:top w:val="single" w:color="auto" w:sz="6"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设备规格</w:t>
            </w:r>
          </w:p>
        </w:tc>
        <w:tc>
          <w:tcPr>
            <w:tcW w:w="1698"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设备数量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71" w:type="dxa"/>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470" w:type="dxa"/>
            <w:gridSpan w:val="2"/>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4633" w:type="dxa"/>
            <w:gridSpan w:val="3"/>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1698" w:type="dxa"/>
            <w:gridSpan w:val="2"/>
            <w:tcBorders>
              <w:top w:val="single" w:color="auto" w:sz="6"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71" w:type="dxa"/>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470" w:type="dxa"/>
            <w:gridSpan w:val="2"/>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4633" w:type="dxa"/>
            <w:gridSpan w:val="3"/>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1698" w:type="dxa"/>
            <w:gridSpan w:val="2"/>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71" w:type="dxa"/>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470" w:type="dxa"/>
            <w:gridSpan w:val="2"/>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4633" w:type="dxa"/>
            <w:gridSpan w:val="3"/>
            <w:tcBorders>
              <w:top w:val="single" w:color="auto" w:sz="2" w:space="0"/>
              <w:left w:val="single" w:color="auto" w:sz="6" w:space="0"/>
              <w:bottom w:val="single" w:color="auto" w:sz="2"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1698" w:type="dxa"/>
            <w:gridSpan w:val="2"/>
            <w:tcBorders>
              <w:top w:val="single" w:color="auto" w:sz="2"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trPr>
        <w:tc>
          <w:tcPr>
            <w:tcW w:w="771" w:type="dxa"/>
            <w:tcBorders>
              <w:top w:val="single" w:color="auto" w:sz="2"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470" w:type="dxa"/>
            <w:gridSpan w:val="2"/>
            <w:tcBorders>
              <w:top w:val="single" w:color="auto" w:sz="2"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4633" w:type="dxa"/>
            <w:gridSpan w:val="3"/>
            <w:tcBorders>
              <w:top w:val="single" w:color="auto" w:sz="2"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1698"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bl>
    <w:p>
      <w:pPr>
        <w:autoSpaceDE w:val="0"/>
        <w:autoSpaceDN w:val="0"/>
        <w:adjustRightInd w:val="0"/>
        <w:spacing w:line="360" w:lineRule="auto"/>
        <w:rPr>
          <w:rFonts w:hint="eastAsia" w:ascii="宋体" w:hAnsi="宋体" w:cs="宋体"/>
          <w:color w:val="auto"/>
          <w:szCs w:val="24"/>
          <w:highlight w:val="none"/>
          <w:lang w:val="zh-CN"/>
        </w:rPr>
      </w:pPr>
    </w:p>
    <w:p>
      <w:pPr>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t>1、本表由</w:t>
      </w:r>
      <w:r>
        <w:rPr>
          <w:rFonts w:hint="eastAsia" w:ascii="宋体" w:hAnsi="宋体" w:cs="宋体"/>
          <w:color w:val="auto"/>
          <w:szCs w:val="24"/>
          <w:highlight w:val="none"/>
        </w:rPr>
        <w:t>投标人</w:t>
      </w:r>
      <w:r>
        <w:rPr>
          <w:rFonts w:hint="eastAsia" w:ascii="宋体" w:hAnsi="宋体" w:cs="宋体"/>
          <w:b/>
          <w:color w:val="auto"/>
          <w:szCs w:val="24"/>
          <w:highlight w:val="none"/>
        </w:rPr>
        <w:t>填写，不填写本表投标无效；</w:t>
      </w:r>
    </w:p>
    <w:p>
      <w:pPr>
        <w:spacing w:line="360" w:lineRule="auto"/>
        <w:rPr>
          <w:rFonts w:hint="eastAsia" w:ascii="宋体" w:hAnsi="宋体" w:cs="宋体"/>
          <w:color w:val="auto"/>
          <w:sz w:val="32"/>
          <w:szCs w:val="32"/>
          <w:highlight w:val="none"/>
        </w:rPr>
      </w:pPr>
      <w:r>
        <w:rPr>
          <w:rFonts w:hint="eastAsia" w:ascii="宋体" w:hAnsi="宋体" w:cs="宋体"/>
          <w:b/>
          <w:color w:val="auto"/>
          <w:szCs w:val="24"/>
          <w:highlight w:val="none"/>
        </w:rPr>
        <w:t>2、本表为</w:t>
      </w:r>
      <w:r>
        <w:rPr>
          <w:rFonts w:hint="eastAsia" w:ascii="宋体" w:hAnsi="宋体" w:cs="宋体"/>
          <w:color w:val="auto"/>
          <w:szCs w:val="24"/>
          <w:highlight w:val="none"/>
        </w:rPr>
        <w:t>投标人</w:t>
      </w:r>
      <w:r>
        <w:rPr>
          <w:rFonts w:hint="eastAsia" w:ascii="宋体" w:hAnsi="宋体" w:cs="宋体"/>
          <w:b/>
          <w:color w:val="auto"/>
          <w:szCs w:val="24"/>
          <w:highlight w:val="none"/>
        </w:rPr>
        <w:t>具有履行合同所必需的设备和专业技术能力说明，对代理商根据实际情况填写。</w:t>
      </w:r>
    </w:p>
    <w:p>
      <w:pPr>
        <w:rPr>
          <w:rFonts w:hint="eastAsia" w:ascii="宋体" w:hAnsi="宋体" w:cs="宋体"/>
          <w:color w:val="auto"/>
          <w:highlight w:val="none"/>
        </w:rPr>
      </w:pPr>
    </w:p>
    <w:p>
      <w:pPr>
        <w:spacing w:before="120" w:beforeLines="50" w:after="240" w:afterLines="100" w:line="440" w:lineRule="exact"/>
        <w:rPr>
          <w:rFonts w:ascii="宋体" w:hAnsi="宋体" w:cs="宋体"/>
          <w:szCs w:val="24"/>
        </w:rPr>
      </w:pPr>
      <w:r>
        <w:rPr>
          <w:rFonts w:hint="eastAsia"/>
          <w:b/>
          <w:bCs/>
          <w:color w:val="auto"/>
          <w:highlight w:val="none"/>
        </w:rPr>
        <w:t>注：签章和盖章具有同等法律效力。</w:t>
      </w:r>
      <w:r>
        <w:rPr>
          <w:rFonts w:hint="eastAsia" w:ascii="宋体" w:hAnsi="宋体" w:cs="宋体"/>
          <w:color w:val="auto"/>
          <w:highlight w:val="none"/>
        </w:rPr>
        <w:br w:type="page"/>
      </w:r>
      <w:r>
        <w:rPr>
          <w:rFonts w:hint="eastAsia" w:ascii="宋体" w:hAnsi="宋体" w:cs="宋体"/>
          <w:color w:val="000000"/>
        </w:rPr>
        <w:t>（七）</w:t>
      </w:r>
      <w:r>
        <w:rPr>
          <w:rFonts w:hint="eastAsia" w:ascii="宋体" w:hAnsi="宋体" w:cs="宋体"/>
          <w:szCs w:val="24"/>
        </w:rPr>
        <w:t>参加政府采购活动前3年内在经营活动中没有重大违法记录的书面声明和信用记录承诺。</w:t>
      </w:r>
    </w:p>
    <w:p>
      <w:pPr>
        <w:spacing w:line="500" w:lineRule="exact"/>
        <w:jc w:val="center"/>
        <w:rPr>
          <w:rFonts w:ascii="宋体" w:hAnsi="宋体" w:cs="宋体"/>
          <w:b/>
          <w:sz w:val="30"/>
          <w:szCs w:val="30"/>
        </w:rPr>
      </w:pPr>
      <w:r>
        <w:rPr>
          <w:rFonts w:hint="eastAsia" w:ascii="宋体" w:hAnsi="宋体" w:cs="宋体"/>
          <w:b/>
          <w:sz w:val="30"/>
          <w:szCs w:val="30"/>
        </w:rPr>
        <w:t>附件：无重大违规违法声明</w:t>
      </w:r>
    </w:p>
    <w:p>
      <w:pPr>
        <w:widowControl/>
        <w:shd w:val="clear" w:color="auto" w:fill="FFFFFF"/>
        <w:spacing w:line="480" w:lineRule="atLeast"/>
        <w:jc w:val="center"/>
        <w:rPr>
          <w:rFonts w:ascii="宋体" w:hAnsi="宋体" w:cs="宋体"/>
          <w:color w:val="000000"/>
          <w:szCs w:val="21"/>
        </w:rPr>
      </w:pPr>
    </w:p>
    <w:p>
      <w:pPr>
        <w:widowControl/>
        <w:shd w:val="clear" w:color="auto" w:fill="FFFFFF"/>
        <w:spacing w:line="700" w:lineRule="atLeast"/>
        <w:rPr>
          <w:rFonts w:hint="eastAsia" w:ascii="宋体" w:hAnsi="宋体" w:eastAsia="宋体" w:cs="宋体"/>
          <w:color w:val="000000"/>
          <w:szCs w:val="21"/>
          <w:lang w:eastAsia="zh-CN"/>
        </w:rPr>
      </w:pPr>
      <w:r>
        <w:rPr>
          <w:rFonts w:hint="eastAsia" w:ascii="宋体" w:hAnsi="宋体" w:cs="宋体"/>
          <w:color w:val="000000"/>
        </w:rPr>
        <w:t>致：</w:t>
      </w:r>
      <w:r>
        <w:rPr>
          <w:rFonts w:hint="eastAsia" w:ascii="宋体" w:hAnsi="宋体" w:cs="宋体"/>
          <w:color w:val="000000"/>
          <w:lang w:eastAsia="zh-CN"/>
        </w:rPr>
        <w:t>山东众合项目咨询有限公司</w:t>
      </w:r>
    </w:p>
    <w:p>
      <w:pPr>
        <w:widowControl/>
        <w:shd w:val="clear" w:color="auto" w:fill="FFFFFF"/>
        <w:spacing w:line="700" w:lineRule="atLeast"/>
        <w:ind w:firstLine="495" w:firstLineChars="236"/>
        <w:rPr>
          <w:rFonts w:ascii="宋体" w:hAnsi="宋体" w:cs="宋体"/>
          <w:color w:val="000000"/>
          <w:szCs w:val="21"/>
        </w:rPr>
      </w:pPr>
      <w:r>
        <w:rPr>
          <w:rFonts w:hint="eastAsia" w:ascii="宋体" w:hAnsi="宋体" w:cs="宋体"/>
          <w:color w:val="000000"/>
        </w:rPr>
        <w:t>我方在参加政府采购活动前3年内，在经营活动中没有重大违法记录。</w:t>
      </w:r>
    </w:p>
    <w:p>
      <w:pPr>
        <w:widowControl/>
        <w:shd w:val="clear" w:color="auto" w:fill="FFFFFF"/>
        <w:spacing w:line="700" w:lineRule="atLeast"/>
        <w:ind w:firstLine="495" w:firstLineChars="236"/>
        <w:rPr>
          <w:rFonts w:ascii="宋体" w:hAnsi="宋体" w:cs="宋体"/>
          <w:color w:val="000000"/>
          <w:szCs w:val="21"/>
        </w:rPr>
      </w:pPr>
      <w:r>
        <w:rPr>
          <w:rFonts w:hint="eastAsia" w:ascii="宋体" w:hAnsi="宋体" w:cs="宋体"/>
          <w:color w:val="000000"/>
        </w:rPr>
        <w:t>特此声明。</w:t>
      </w:r>
    </w:p>
    <w:p>
      <w:pPr>
        <w:widowControl/>
        <w:shd w:val="clear" w:color="auto" w:fill="FFFFFF"/>
        <w:spacing w:line="700" w:lineRule="atLeast"/>
        <w:ind w:firstLine="495" w:firstLineChars="236"/>
        <w:rPr>
          <w:rFonts w:ascii="宋体" w:hAnsi="宋体" w:cs="宋体"/>
          <w:color w:val="000000"/>
          <w:szCs w:val="21"/>
        </w:rPr>
      </w:pPr>
      <w:r>
        <w:rPr>
          <w:rFonts w:hint="eastAsia" w:ascii="宋体" w:hAnsi="宋体" w:cs="宋体"/>
          <w:color w:val="000000"/>
        </w:rPr>
        <w:t>如果以上声明不真实，我方全部承担虚假响应（投标）的责任，并接受依法施行的处罚。</w:t>
      </w:r>
    </w:p>
    <w:p>
      <w:pPr>
        <w:widowControl/>
        <w:shd w:val="clear" w:color="auto" w:fill="FFFFFF"/>
        <w:spacing w:line="700" w:lineRule="atLeast"/>
        <w:rPr>
          <w:rFonts w:ascii="宋体" w:hAnsi="宋体" w:cs="宋体"/>
          <w:color w:val="000000"/>
        </w:rPr>
      </w:pPr>
    </w:p>
    <w:p>
      <w:pPr>
        <w:widowControl/>
        <w:shd w:val="clear" w:color="auto" w:fill="FFFFFF"/>
        <w:spacing w:line="700" w:lineRule="atLeast"/>
        <w:rPr>
          <w:rFonts w:ascii="宋体" w:hAnsi="宋体" w:cs="宋体"/>
          <w:color w:val="000000"/>
          <w:szCs w:val="21"/>
        </w:rPr>
      </w:pPr>
      <w:r>
        <w:rPr>
          <w:rFonts w:hint="eastAsia" w:ascii="宋体" w:hAnsi="宋体" w:cs="宋体"/>
          <w:color w:val="000000"/>
        </w:rPr>
        <w:t>投标人全称：（盖单位公章）</w:t>
      </w:r>
    </w:p>
    <w:p>
      <w:pPr>
        <w:widowControl/>
        <w:shd w:val="clear" w:color="auto" w:fill="FFFFFF"/>
        <w:spacing w:line="700" w:lineRule="atLeast"/>
        <w:jc w:val="right"/>
        <w:rPr>
          <w:rFonts w:ascii="宋体" w:hAnsi="宋体" w:cs="宋体"/>
          <w:color w:val="000000"/>
          <w:szCs w:val="21"/>
        </w:rPr>
      </w:pPr>
      <w:r>
        <w:rPr>
          <w:rFonts w:hint="eastAsia" w:ascii="宋体" w:hAnsi="宋体" w:cs="宋体"/>
          <w:color w:val="000000"/>
        </w:rPr>
        <w:t>年  月  日</w:t>
      </w:r>
    </w:p>
    <w:p>
      <w:pPr>
        <w:widowControl/>
        <w:shd w:val="clear" w:color="auto" w:fill="FFFFFF"/>
        <w:spacing w:line="700" w:lineRule="atLeast"/>
        <w:rPr>
          <w:rFonts w:ascii="宋体" w:hAnsi="宋体" w:cs="宋体"/>
          <w:color w:val="000000"/>
          <w:szCs w:val="21"/>
        </w:rPr>
      </w:pPr>
      <w:r>
        <w:rPr>
          <w:rFonts w:hint="eastAsia" w:ascii="宋体" w:hAnsi="宋体" w:cs="宋体"/>
          <w:color w:val="000000"/>
        </w:rPr>
        <w:t> </w:t>
      </w:r>
    </w:p>
    <w:p>
      <w:pPr>
        <w:widowControl/>
        <w:shd w:val="clear" w:color="auto" w:fill="FFFFFF"/>
        <w:spacing w:line="700" w:lineRule="atLeast"/>
        <w:rPr>
          <w:rFonts w:ascii="宋体" w:hAnsi="宋体" w:cs="宋体"/>
          <w:color w:val="000000"/>
          <w:szCs w:val="22"/>
        </w:rPr>
      </w:pPr>
      <w:r>
        <w:rPr>
          <w:rFonts w:hint="eastAsia" w:ascii="宋体" w:hAnsi="宋体" w:cs="宋体"/>
          <w:color w:val="000000"/>
        </w:rPr>
        <w:t>注：重大违法记录，</w:t>
      </w:r>
      <w:r>
        <w:rPr>
          <w:rFonts w:hint="eastAsia" w:ascii="宋体" w:hAnsi="宋体" w:cs="宋体"/>
          <w:color w:val="000000"/>
          <w:szCs w:val="22"/>
        </w:rPr>
        <w:t>是指投标人因违法经营受到刑事处罚或者责令停产停业、吊销许可证或者执照、较大数额罚款等行政处罚。</w:t>
      </w:r>
    </w:p>
    <w:p>
      <w:pPr>
        <w:widowControl/>
        <w:shd w:val="clear" w:color="auto" w:fill="FFFFFF"/>
        <w:spacing w:line="700" w:lineRule="atLeast"/>
        <w:rPr>
          <w:rFonts w:ascii="宋体" w:hAnsi="宋体" w:cs="宋体"/>
          <w:color w:val="000000"/>
          <w:szCs w:val="22"/>
        </w:rPr>
      </w:pPr>
      <w:r>
        <w:rPr>
          <w:rFonts w:hint="eastAsia" w:ascii="宋体" w:hAnsi="宋体" w:cs="宋体"/>
          <w:color w:val="000000"/>
          <w:szCs w:val="22"/>
        </w:rPr>
        <w:t>投标人在参加政府采购活动前3年内因违法经营被禁止在一定期限内参加政府采购活动，期限届满的，可以参加政府采购活动。</w:t>
      </w:r>
    </w:p>
    <w:p>
      <w:pPr>
        <w:widowControl/>
        <w:shd w:val="clear" w:color="auto" w:fill="FFFFFF"/>
        <w:spacing w:line="315" w:lineRule="atLeast"/>
        <w:rPr>
          <w:rFonts w:ascii="宋体" w:hAnsi="宋体" w:cs="宋体"/>
          <w:color w:val="000000"/>
          <w:szCs w:val="21"/>
        </w:rPr>
      </w:pPr>
      <w:r>
        <w:rPr>
          <w:rFonts w:hint="eastAsia"/>
          <w:b/>
          <w:bCs/>
        </w:rPr>
        <w:t>注：签章和盖章具有同等法律效力。</w:t>
      </w:r>
    </w:p>
    <w:p>
      <w:pPr>
        <w:spacing w:line="600" w:lineRule="exact"/>
        <w:jc w:val="center"/>
        <w:rPr>
          <w:rFonts w:ascii="宋体" w:hAnsi="宋体" w:cs="宋体"/>
          <w:b/>
          <w:sz w:val="30"/>
          <w:szCs w:val="30"/>
        </w:rPr>
      </w:pPr>
      <w:r>
        <w:rPr>
          <w:rFonts w:hint="eastAsia" w:ascii="宋体" w:hAnsi="宋体" w:cs="宋体"/>
          <w:b/>
          <w:sz w:val="30"/>
          <w:szCs w:val="30"/>
        </w:rPr>
        <w:br w:type="page"/>
      </w:r>
      <w:r>
        <w:rPr>
          <w:rFonts w:hint="eastAsia" w:ascii="宋体" w:hAnsi="宋体" w:cs="宋体"/>
          <w:b/>
          <w:sz w:val="30"/>
          <w:szCs w:val="30"/>
        </w:rPr>
        <w:t>信用记录承诺</w:t>
      </w:r>
    </w:p>
    <w:p>
      <w:pPr>
        <w:pStyle w:val="67"/>
        <w:spacing w:before="0" w:beforeAutospacing="0" w:after="0" w:afterAutospacing="0" w:line="480" w:lineRule="exact"/>
        <w:rPr>
          <w:rFonts w:hint="eastAsia" w:eastAsia="宋体"/>
          <w:lang w:eastAsia="zh-CN"/>
        </w:rPr>
      </w:pPr>
      <w:r>
        <w:rPr>
          <w:rFonts w:hint="eastAsia"/>
        </w:rPr>
        <w:t>致：</w:t>
      </w:r>
      <w:r>
        <w:rPr>
          <w:rFonts w:hint="eastAsia"/>
          <w:lang w:eastAsia="zh-CN"/>
        </w:rPr>
        <w:t>山东众合项目咨询有限公司</w:t>
      </w:r>
    </w:p>
    <w:p>
      <w:pPr>
        <w:pStyle w:val="67"/>
        <w:spacing w:before="0" w:beforeAutospacing="0" w:after="0" w:afterAutospacing="0" w:line="480" w:lineRule="exact"/>
        <w:ind w:firstLine="422" w:firstLineChars="176"/>
      </w:pPr>
      <w:r>
        <w:rPr>
          <w:rFonts w:hint="eastAsia"/>
        </w:rPr>
        <w:t>我方郑重承诺，在参与</w:t>
      </w:r>
      <w:r>
        <w:rPr>
          <w:rFonts w:hint="eastAsia"/>
          <w:u w:val="single"/>
        </w:rPr>
        <w:t xml:space="preserve">           </w:t>
      </w:r>
      <w:r>
        <w:rPr>
          <w:rFonts w:hint="eastAsia"/>
        </w:rPr>
        <w:t>项目（编号：</w:t>
      </w:r>
      <w:r>
        <w:rPr>
          <w:rFonts w:hint="eastAsia"/>
          <w:u w:val="single"/>
        </w:rPr>
        <w:t xml:space="preserve">      </w:t>
      </w:r>
      <w:r>
        <w:rPr>
          <w:rFonts w:hint="eastAsia"/>
        </w:rPr>
        <w:t>）采购前3年</w:t>
      </w:r>
      <w:r>
        <w:t>内</w:t>
      </w:r>
      <w:r>
        <w:rPr>
          <w:rFonts w:hint="eastAsia"/>
        </w:rPr>
        <w:t>，未被列入“信用中国”网站（www.creditchina.gov.cn）失信被执行人、重大税收违法案件当事人名单及中国政府采购网（www.ccgp.gov.cn）“政府采购严重违法失信行为信息记录”。</w:t>
      </w:r>
    </w:p>
    <w:p>
      <w:pPr>
        <w:pStyle w:val="67"/>
        <w:spacing w:before="0" w:beforeAutospacing="0" w:after="0" w:afterAutospacing="0" w:line="480" w:lineRule="exact"/>
        <w:ind w:firstLine="422" w:firstLineChars="176"/>
        <w:rPr>
          <w:color w:val="FF0000"/>
        </w:rPr>
      </w:pPr>
    </w:p>
    <w:p>
      <w:pPr>
        <w:pStyle w:val="67"/>
        <w:spacing w:before="0" w:beforeAutospacing="0" w:after="0" w:afterAutospacing="0" w:line="480" w:lineRule="exact"/>
        <w:ind w:firstLine="4536" w:firstLineChars="1890"/>
      </w:pPr>
      <w:r>
        <w:rPr>
          <w:rFonts w:hint="eastAsia"/>
        </w:rPr>
        <w:t>投标人（供应商）全称（签章）：</w:t>
      </w:r>
    </w:p>
    <w:p>
      <w:pPr>
        <w:pStyle w:val="67"/>
        <w:spacing w:before="0" w:beforeAutospacing="0" w:after="0" w:afterAutospacing="0" w:line="480" w:lineRule="exact"/>
        <w:ind w:firstLine="4536" w:firstLineChars="1890"/>
      </w:pPr>
      <w:r>
        <w:rPr>
          <w:rFonts w:hint="eastAsia"/>
        </w:rPr>
        <w:t>年  月  日</w:t>
      </w:r>
    </w:p>
    <w:p>
      <w:pPr>
        <w:pStyle w:val="67"/>
        <w:spacing w:before="0" w:beforeAutospacing="0" w:after="0" w:afterAutospacing="0" w:line="480" w:lineRule="exact"/>
        <w:ind w:firstLine="4536" w:firstLineChars="1890"/>
        <w:rPr>
          <w:rFonts w:hint="eastAsia"/>
          <w:color w:val="auto"/>
          <w:highlight w:val="none"/>
        </w:rPr>
      </w:pP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近年类似业绩</w:t>
      </w:r>
    </w:p>
    <w:p>
      <w:pPr>
        <w:spacing w:before="120" w:beforeLines="50" w:after="240" w:afterLines="100" w:line="440" w:lineRule="exact"/>
        <w:rPr>
          <w:rFonts w:hint="eastAsia" w:ascii="宋体" w:hAnsi="宋体" w:cs="宋体"/>
          <w:color w:val="auto"/>
          <w:highlight w:val="none"/>
        </w:rPr>
      </w:pPr>
      <w:r>
        <w:rPr>
          <w:rFonts w:hint="eastAsia" w:ascii="宋体" w:hAnsi="宋体" w:cs="宋体"/>
          <w:color w:val="auto"/>
          <w:highlight w:val="none"/>
        </w:rPr>
        <w:t>近年类似项目业绩情况表</w:t>
      </w:r>
    </w:p>
    <w:tbl>
      <w:tblPr>
        <w:tblStyle w:val="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7"/>
        <w:gridCol w:w="6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项目所在地</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采购人名称</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采购人地址</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采购人联系人及电话</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合同价格</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开工日期</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完成日期</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承担的工作</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完成情况</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技术负责人</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项目描述</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47"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c>
          <w:tcPr>
            <w:tcW w:w="6249" w:type="dxa"/>
            <w:noWrap w:val="0"/>
            <w:vAlign w:val="center"/>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r>
    </w:tbl>
    <w:p>
      <w:pPr>
        <w:spacing w:line="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  备注：本表后附合同原件等材料的扫描件，具体年份要求见评标办法。</w:t>
      </w:r>
    </w:p>
    <w:p>
      <w:pPr>
        <w:spacing w:before="120" w:after="240" w:line="0" w:lineRule="atLeast"/>
        <w:rPr>
          <w:rFonts w:hint="eastAsia" w:ascii="宋体" w:hAnsi="宋体" w:cs="宋体"/>
          <w:color w:val="auto"/>
          <w:szCs w:val="21"/>
          <w:highlight w:val="none"/>
        </w:rPr>
      </w:pPr>
      <w:r>
        <w:rPr>
          <w:rFonts w:hint="eastAsia" w:ascii="宋体" w:hAnsi="宋体" w:cs="宋体"/>
          <w:color w:val="auto"/>
          <w:szCs w:val="21"/>
          <w:highlight w:val="none"/>
        </w:rPr>
        <w:t>附：</w:t>
      </w:r>
    </w:p>
    <w:p>
      <w:pPr>
        <w:spacing w:before="120" w:after="240" w:line="0" w:lineRule="atLeast"/>
        <w:rPr>
          <w:rFonts w:hint="eastAsia" w:ascii="宋体" w:hAnsi="宋体" w:cs="宋体"/>
          <w:color w:val="auto"/>
          <w:szCs w:val="21"/>
          <w:highlight w:val="none"/>
        </w:rPr>
      </w:pPr>
      <w:r>
        <w:rPr>
          <w:rFonts w:hint="eastAsia" w:ascii="宋体" w:hAnsi="宋体" w:cs="宋体"/>
          <w:color w:val="auto"/>
          <w:szCs w:val="21"/>
          <w:highlight w:val="none"/>
        </w:rPr>
        <w:t>项目扫描件</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8"/>
        <w:gridCol w:w="4375"/>
        <w:gridCol w:w="29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1558"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4375"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名  称</w:t>
            </w:r>
          </w:p>
        </w:tc>
        <w:tc>
          <w:tcPr>
            <w:tcW w:w="2967"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558"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p>
        </w:tc>
        <w:tc>
          <w:tcPr>
            <w:tcW w:w="4375"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p>
        </w:tc>
        <w:tc>
          <w:tcPr>
            <w:tcW w:w="2967"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p>
        </w:tc>
      </w:tr>
    </w:tbl>
    <w:p>
      <w:pPr>
        <w:pStyle w:val="656"/>
        <w:spacing w:line="440" w:lineRule="exact"/>
        <w:ind w:left="250" w:right="720"/>
        <w:jc w:val="center"/>
        <w:rPr>
          <w:rFonts w:hint="eastAsia" w:ascii="宋体" w:hAnsi="宋体" w:cs="宋体"/>
          <w:color w:val="auto"/>
          <w:sz w:val="30"/>
          <w:szCs w:val="30"/>
          <w:highlight w:val="none"/>
        </w:rPr>
      </w:pPr>
    </w:p>
    <w:p>
      <w:pPr>
        <w:pStyle w:val="656"/>
        <w:spacing w:line="440" w:lineRule="exact"/>
        <w:ind w:left="250" w:right="720"/>
        <w:jc w:val="center"/>
        <w:rPr>
          <w:rFonts w:hint="eastAsia" w:ascii="宋体" w:hAnsi="宋体" w:cs="宋体"/>
          <w:color w:val="auto"/>
          <w:sz w:val="30"/>
          <w:szCs w:val="30"/>
          <w:highlight w:val="none"/>
        </w:rPr>
      </w:pPr>
    </w:p>
    <w:p>
      <w:pPr>
        <w:pStyle w:val="656"/>
        <w:spacing w:line="440" w:lineRule="exact"/>
        <w:ind w:left="250" w:right="720"/>
        <w:jc w:val="center"/>
        <w:rPr>
          <w:rFonts w:hint="eastAsia" w:ascii="宋体" w:hAnsi="宋体" w:cs="宋体"/>
          <w:color w:val="auto"/>
          <w:sz w:val="30"/>
          <w:szCs w:val="30"/>
          <w:highlight w:val="none"/>
        </w:rPr>
      </w:pPr>
    </w:p>
    <w:p>
      <w:pPr>
        <w:jc w:val="both"/>
        <w:rPr>
          <w:rFonts w:hint="eastAsia" w:ascii="宋体" w:hAnsi="宋体" w:cs="宋体"/>
          <w:b/>
          <w:color w:val="auto"/>
          <w:sz w:val="30"/>
          <w:szCs w:val="30"/>
          <w:highlight w:val="none"/>
        </w:rPr>
      </w:pPr>
    </w:p>
    <w:p>
      <w:pPr>
        <w:jc w:val="center"/>
        <w:rPr>
          <w:rFonts w:hint="eastAsia" w:ascii="宋体" w:hAnsi="宋体" w:cs="宋体"/>
          <w:b/>
          <w:color w:val="auto"/>
          <w:sz w:val="30"/>
          <w:szCs w:val="30"/>
          <w:highlight w:val="none"/>
        </w:rPr>
      </w:pP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拟投入本项目从业人员</w:t>
      </w:r>
    </w:p>
    <w:p>
      <w:pPr>
        <w:rPr>
          <w:rFonts w:hint="eastAsia" w:ascii="宋体" w:hAnsi="宋体" w:cs="宋体"/>
          <w:b/>
          <w:color w:val="auto"/>
          <w:sz w:val="30"/>
          <w:szCs w:val="30"/>
          <w:highlight w:val="none"/>
        </w:rPr>
      </w:pP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从业人员组成表</w:t>
      </w:r>
    </w:p>
    <w:tbl>
      <w:tblPr>
        <w:tblStyle w:val="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389"/>
        <w:gridCol w:w="897"/>
        <w:gridCol w:w="1047"/>
        <w:gridCol w:w="898"/>
        <w:gridCol w:w="897"/>
        <w:gridCol w:w="898"/>
        <w:gridCol w:w="958"/>
        <w:gridCol w:w="705"/>
        <w:gridCol w:w="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noWrap w:val="0"/>
            <w:vAlign w:val="center"/>
          </w:tcPr>
          <w:p>
            <w:pPr>
              <w:keepNext w:val="0"/>
              <w:keepLines w:val="0"/>
              <w:suppressLineNumbers w:val="0"/>
              <w:spacing w:before="0" w:beforeAutospacing="0" w:after="0" w:afterAutospacing="0"/>
              <w:ind w:left="0" w:right="0" w:firstLine="240"/>
              <w:jc w:val="center"/>
              <w:rPr>
                <w:rFonts w:hint="eastAsia" w:ascii="宋体" w:hAnsi="宋体" w:cs="宋体"/>
                <w:color w:val="auto"/>
                <w:szCs w:val="20"/>
                <w:highlight w:val="none"/>
              </w:rPr>
            </w:pPr>
            <w:r>
              <w:rPr>
                <w:rFonts w:hint="eastAsia" w:ascii="宋体" w:hAnsi="宋体" w:cs="宋体"/>
                <w:color w:val="auto"/>
                <w:szCs w:val="20"/>
                <w:highlight w:val="none"/>
              </w:rPr>
              <w:t>姓名</w:t>
            </w:r>
          </w:p>
          <w:p>
            <w:pPr>
              <w:keepNext w:val="0"/>
              <w:keepLines w:val="0"/>
              <w:suppressLineNumbers w:val="0"/>
              <w:spacing w:before="0" w:beforeAutospacing="0" w:after="0" w:afterAutospacing="0"/>
              <w:ind w:left="0" w:right="0" w:firstLine="240"/>
              <w:jc w:val="center"/>
              <w:rPr>
                <w:rFonts w:hint="eastAsia" w:ascii="宋体" w:hAnsi="宋体" w:cs="宋体"/>
                <w:color w:val="auto"/>
                <w:szCs w:val="20"/>
                <w:highlight w:val="none"/>
              </w:rPr>
            </w:pPr>
            <w:r>
              <w:rPr>
                <w:rFonts w:hint="eastAsia" w:ascii="宋体" w:hAnsi="宋体" w:cs="宋体"/>
                <w:color w:val="auto"/>
                <w:szCs w:val="20"/>
                <w:highlight w:val="none"/>
              </w:rPr>
              <w:t>（必填）</w:t>
            </w:r>
          </w:p>
        </w:tc>
        <w:tc>
          <w:tcPr>
            <w:tcW w:w="1389"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r>
              <w:rPr>
                <w:rFonts w:hint="eastAsia" w:ascii="宋体" w:hAnsi="宋体" w:cs="宋体"/>
                <w:color w:val="auto"/>
                <w:szCs w:val="20"/>
                <w:highlight w:val="none"/>
              </w:rPr>
              <w:t>身份证号</w:t>
            </w:r>
          </w:p>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r>
              <w:rPr>
                <w:rFonts w:hint="eastAsia" w:ascii="宋体" w:hAnsi="宋体" w:cs="宋体"/>
                <w:color w:val="auto"/>
                <w:szCs w:val="20"/>
                <w:highlight w:val="none"/>
              </w:rPr>
              <w:t>（必填）</w:t>
            </w: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r>
              <w:rPr>
                <w:rFonts w:hint="eastAsia" w:ascii="宋体" w:hAnsi="宋体" w:cs="宋体"/>
                <w:color w:val="auto"/>
                <w:szCs w:val="20"/>
                <w:highlight w:val="none"/>
              </w:rPr>
              <w:t>性别</w:t>
            </w:r>
          </w:p>
        </w:tc>
        <w:tc>
          <w:tcPr>
            <w:tcW w:w="104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r>
              <w:rPr>
                <w:rFonts w:hint="eastAsia" w:ascii="宋体" w:hAnsi="宋体" w:cs="宋体"/>
                <w:color w:val="auto"/>
                <w:szCs w:val="20"/>
                <w:highlight w:val="none"/>
              </w:rPr>
              <w:t>学历</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r>
              <w:rPr>
                <w:rFonts w:hint="eastAsia" w:ascii="宋体" w:hAnsi="宋体" w:cs="宋体"/>
                <w:color w:val="auto"/>
                <w:szCs w:val="20"/>
                <w:highlight w:val="none"/>
              </w:rPr>
              <w:t>职称</w:t>
            </w: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r>
              <w:rPr>
                <w:rFonts w:hint="eastAsia" w:ascii="宋体" w:hAnsi="宋体" w:cs="宋体"/>
                <w:color w:val="auto"/>
                <w:szCs w:val="20"/>
                <w:highlight w:val="none"/>
              </w:rPr>
              <w:t>职务</w:t>
            </w: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r>
              <w:rPr>
                <w:rFonts w:hint="eastAsia" w:ascii="宋体" w:hAnsi="宋体" w:cs="宋体"/>
                <w:color w:val="auto"/>
                <w:szCs w:val="20"/>
                <w:highlight w:val="none"/>
              </w:rPr>
              <w:t>从业年限</w:t>
            </w:r>
          </w:p>
        </w:tc>
        <w:tc>
          <w:tcPr>
            <w:tcW w:w="95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r>
              <w:rPr>
                <w:rFonts w:hint="eastAsia" w:ascii="宋体" w:hAnsi="宋体" w:cs="宋体"/>
                <w:color w:val="auto"/>
                <w:szCs w:val="20"/>
                <w:highlight w:val="none"/>
              </w:rPr>
              <w:t>资质证书</w:t>
            </w:r>
          </w:p>
        </w:tc>
        <w:tc>
          <w:tcPr>
            <w:tcW w:w="705"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r>
              <w:rPr>
                <w:rFonts w:hint="eastAsia" w:ascii="宋体" w:hAnsi="宋体" w:cs="宋体"/>
                <w:color w:val="auto"/>
                <w:szCs w:val="20"/>
                <w:highlight w:val="none"/>
              </w:rPr>
              <w:t>获奖情况</w:t>
            </w:r>
          </w:p>
        </w:tc>
        <w:tc>
          <w:tcPr>
            <w:tcW w:w="580"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r>
              <w:rPr>
                <w:rFonts w:hint="eastAsia" w:ascii="宋体" w:hAnsi="宋体" w:cs="宋体"/>
                <w:color w:val="auto"/>
                <w:szCs w:val="2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1389"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104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95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705"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580"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1389"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104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95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705"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580"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1389"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104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95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705"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580"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1389"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104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95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705"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580"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1300"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1389"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104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7"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89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958"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705"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c>
          <w:tcPr>
            <w:tcW w:w="580"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r>
    </w:tbl>
    <w:p>
      <w:pPr>
        <w:rPr>
          <w:rFonts w:hint="eastAsia" w:ascii="宋体" w:hAnsi="宋体" w:cs="宋体"/>
          <w:b/>
          <w:color w:val="auto"/>
          <w:sz w:val="30"/>
          <w:szCs w:val="30"/>
          <w:highlight w:val="none"/>
        </w:rPr>
      </w:pPr>
    </w:p>
    <w:p>
      <w:pPr>
        <w:spacing w:before="120" w:after="240" w:line="0" w:lineRule="atLeast"/>
        <w:rPr>
          <w:rFonts w:hint="eastAsia" w:ascii="宋体" w:hAnsi="宋体" w:cs="宋体"/>
          <w:color w:val="auto"/>
          <w:szCs w:val="21"/>
          <w:highlight w:val="none"/>
        </w:rPr>
      </w:pPr>
      <w:r>
        <w:rPr>
          <w:rFonts w:hint="eastAsia" w:ascii="宋体" w:hAnsi="宋体" w:cs="宋体"/>
          <w:color w:val="auto"/>
          <w:szCs w:val="21"/>
          <w:highlight w:val="none"/>
        </w:rPr>
        <w:t>附：</w:t>
      </w:r>
    </w:p>
    <w:p>
      <w:pPr>
        <w:spacing w:before="120" w:after="240" w:line="0" w:lineRule="atLeast"/>
        <w:rPr>
          <w:rFonts w:hint="eastAsia" w:ascii="宋体" w:hAnsi="宋体" w:cs="宋体"/>
          <w:color w:val="auto"/>
          <w:szCs w:val="21"/>
          <w:highlight w:val="none"/>
        </w:rPr>
      </w:pPr>
      <w:r>
        <w:rPr>
          <w:rFonts w:hint="eastAsia" w:ascii="宋体" w:hAnsi="宋体" w:cs="宋体"/>
          <w:color w:val="auto"/>
          <w:szCs w:val="21"/>
          <w:highlight w:val="none"/>
        </w:rPr>
        <w:t>扫描件</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0"/>
        <w:gridCol w:w="4774"/>
        <w:gridCol w:w="3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6" w:hRule="atLeast"/>
        </w:trPr>
        <w:tc>
          <w:tcPr>
            <w:tcW w:w="1582"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4774"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证书名称</w:t>
            </w:r>
          </w:p>
        </w:tc>
        <w:tc>
          <w:tcPr>
            <w:tcW w:w="3237" w:type="dxa"/>
            <w:noWrap w:val="0"/>
            <w:vAlign w:val="top"/>
          </w:tcPr>
          <w:p>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582"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p>
        </w:tc>
        <w:tc>
          <w:tcPr>
            <w:tcW w:w="4774"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p>
        </w:tc>
        <w:tc>
          <w:tcPr>
            <w:tcW w:w="3237" w:type="dxa"/>
            <w:noWrap w:val="0"/>
            <w:vAlign w:val="top"/>
          </w:tcPr>
          <w:p>
            <w:pPr>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p>
        </w:tc>
      </w:tr>
    </w:tbl>
    <w:p>
      <w:pPr>
        <w:pStyle w:val="656"/>
        <w:spacing w:line="440" w:lineRule="exact"/>
        <w:ind w:left="250" w:right="720"/>
        <w:jc w:val="center"/>
        <w:rPr>
          <w:rFonts w:hint="eastAsia" w:ascii="宋体" w:hAnsi="宋体" w:cs="宋体"/>
          <w:color w:val="auto"/>
          <w:sz w:val="30"/>
          <w:szCs w:val="30"/>
          <w:highlight w:val="none"/>
        </w:rPr>
      </w:pPr>
    </w:p>
    <w:p>
      <w:pPr>
        <w:pStyle w:val="656"/>
        <w:spacing w:line="440" w:lineRule="exact"/>
        <w:ind w:left="0" w:right="720"/>
        <w:jc w:val="both"/>
        <w:rPr>
          <w:rFonts w:hint="eastAsia" w:ascii="宋体" w:hAnsi="宋体" w:cs="宋体"/>
          <w:color w:val="auto"/>
          <w:sz w:val="30"/>
          <w:szCs w:val="30"/>
          <w:highlight w:val="none"/>
        </w:rPr>
      </w:pPr>
    </w:p>
    <w:p>
      <w:pPr>
        <w:pStyle w:val="656"/>
        <w:spacing w:line="440" w:lineRule="exact"/>
        <w:ind w:left="0" w:right="720"/>
        <w:jc w:val="both"/>
        <w:rPr>
          <w:rFonts w:hint="eastAsia" w:ascii="宋体" w:hAnsi="宋体" w:cs="宋体"/>
          <w:color w:val="auto"/>
          <w:sz w:val="30"/>
          <w:szCs w:val="30"/>
          <w:highlight w:val="none"/>
        </w:rPr>
      </w:pPr>
    </w:p>
    <w:p>
      <w:pPr>
        <w:pStyle w:val="656"/>
        <w:spacing w:line="440" w:lineRule="exact"/>
        <w:ind w:left="0" w:right="720"/>
        <w:jc w:val="both"/>
        <w:rPr>
          <w:rFonts w:hint="eastAsia" w:ascii="宋体" w:hAnsi="宋体" w:cs="宋体"/>
          <w:color w:val="auto"/>
          <w:sz w:val="30"/>
          <w:szCs w:val="30"/>
          <w:highlight w:val="none"/>
        </w:rPr>
      </w:pPr>
    </w:p>
    <w:p>
      <w:pPr>
        <w:pStyle w:val="656"/>
        <w:spacing w:line="440" w:lineRule="exact"/>
        <w:ind w:left="0" w:right="720"/>
        <w:jc w:val="both"/>
        <w:rPr>
          <w:rFonts w:hint="eastAsia" w:ascii="宋体" w:hAnsi="宋体" w:cs="宋体"/>
          <w:color w:val="auto"/>
          <w:sz w:val="30"/>
          <w:szCs w:val="30"/>
          <w:highlight w:val="none"/>
        </w:rPr>
      </w:pP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r>
    </w:p>
    <w:p>
      <w:pPr>
        <w:spacing w:line="500" w:lineRule="exact"/>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附件：技术响应表</w:t>
      </w:r>
    </w:p>
    <w:p>
      <w:pPr>
        <w:spacing w:line="680" w:lineRule="exact"/>
        <w:rPr>
          <w:rFonts w:hint="eastAsia" w:ascii="宋体" w:hAnsi="宋体" w:cs="宋体"/>
          <w:color w:val="auto"/>
          <w:szCs w:val="24"/>
          <w:highlight w:val="none"/>
          <w:u w:val="single"/>
        </w:rPr>
      </w:pPr>
      <w:r>
        <w:rPr>
          <w:rFonts w:hint="eastAsia" w:ascii="宋体" w:hAnsi="宋体" w:cs="宋体"/>
          <w:color w:val="auto"/>
          <w:szCs w:val="24"/>
          <w:highlight w:val="none"/>
        </w:rPr>
        <w:t>投标人名称：（加盖公章）</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项目编号：</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w:t>
      </w:r>
    </w:p>
    <w:tbl>
      <w:tblPr>
        <w:tblStyle w:val="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2042"/>
        <w:gridCol w:w="2297"/>
        <w:gridCol w:w="2042"/>
        <w:gridCol w:w="2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1" w:hRule="atLeast"/>
          <w:jc w:val="center"/>
        </w:trPr>
        <w:tc>
          <w:tcPr>
            <w:tcW w:w="767"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序号</w:t>
            </w:r>
          </w:p>
        </w:tc>
        <w:tc>
          <w:tcPr>
            <w:tcW w:w="2042"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采购文件要求</w:t>
            </w:r>
          </w:p>
        </w:tc>
        <w:tc>
          <w:tcPr>
            <w:tcW w:w="2297"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投标文件实际情况</w:t>
            </w:r>
          </w:p>
        </w:tc>
        <w:tc>
          <w:tcPr>
            <w:tcW w:w="2042"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偏差内容</w:t>
            </w:r>
          </w:p>
        </w:tc>
        <w:tc>
          <w:tcPr>
            <w:tcW w:w="2042"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说明（正偏离/负偏离/无偏离）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767"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297"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767"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297"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767"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297"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042"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r>
    </w:tbl>
    <w:p>
      <w:pPr>
        <w:spacing w:line="360" w:lineRule="auto"/>
        <w:textAlignment w:val="center"/>
        <w:rPr>
          <w:rFonts w:hint="eastAsia" w:ascii="宋体" w:hAnsi="宋体" w:cs="宋体"/>
          <w:b/>
          <w:color w:val="auto"/>
          <w:highlight w:val="none"/>
        </w:rPr>
      </w:pPr>
    </w:p>
    <w:p>
      <w:pPr>
        <w:spacing w:line="360" w:lineRule="auto"/>
        <w:textAlignment w:val="center"/>
        <w:rPr>
          <w:rFonts w:hint="eastAsia" w:ascii="宋体" w:hAnsi="宋体" w:cs="宋体"/>
          <w:color w:val="auto"/>
          <w:highlight w:val="none"/>
        </w:rPr>
      </w:pPr>
      <w:r>
        <w:rPr>
          <w:rFonts w:hint="eastAsia" w:ascii="宋体" w:hAnsi="宋体" w:cs="宋体"/>
          <w:b/>
          <w:color w:val="auto"/>
          <w:highlight w:val="none"/>
        </w:rPr>
        <w:t>注：</w:t>
      </w:r>
      <w:r>
        <w:rPr>
          <w:rFonts w:hint="eastAsia" w:ascii="宋体" w:hAnsi="宋体" w:cs="宋体"/>
          <w:color w:val="auto"/>
          <w:highlight w:val="none"/>
        </w:rPr>
        <w:t>1.即使投标人在技术文件描述中进行了描述或无偏离，也要提报该表。如无偏离，应注明“无”。</w:t>
      </w:r>
    </w:p>
    <w:p>
      <w:pPr>
        <w:spacing w:line="400" w:lineRule="atLeast"/>
        <w:ind w:left="-181" w:leftChars="-86" w:firstLine="520" w:firstLineChars="248"/>
        <w:rPr>
          <w:rFonts w:hint="eastAsia" w:ascii="宋体" w:hAnsi="宋体" w:cs="宋体"/>
          <w:color w:val="auto"/>
          <w:highlight w:val="none"/>
        </w:rPr>
      </w:pPr>
      <w:r>
        <w:rPr>
          <w:rFonts w:hint="eastAsia" w:ascii="宋体" w:hAnsi="宋体" w:cs="宋体"/>
          <w:color w:val="auto"/>
          <w:highlight w:val="none"/>
        </w:rPr>
        <w:t>2.如投标人在响应表中无注明，投标文件与采购文件不一致或差异，以采购文件为准。</w:t>
      </w:r>
    </w:p>
    <w:p>
      <w:pPr>
        <w:pStyle w:val="656"/>
        <w:spacing w:line="440" w:lineRule="exact"/>
        <w:ind w:left="250" w:right="720"/>
        <w:rPr>
          <w:rFonts w:hint="eastAsia" w:ascii="宋体" w:hAnsi="宋体" w:cs="宋体"/>
          <w:color w:val="auto"/>
          <w:sz w:val="30"/>
          <w:szCs w:val="30"/>
          <w:highlight w:val="none"/>
        </w:rPr>
      </w:pPr>
      <w:r>
        <w:rPr>
          <w:rFonts w:hint="eastAsia"/>
          <w:b/>
          <w:bCs/>
          <w:color w:val="auto"/>
          <w:highlight w:val="none"/>
        </w:rPr>
        <w:t>注：签章和盖章具有同等法律效力。</w:t>
      </w:r>
    </w:p>
    <w:p>
      <w:pPr>
        <w:pStyle w:val="656"/>
        <w:spacing w:line="440" w:lineRule="exact"/>
        <w:ind w:left="250" w:right="720"/>
        <w:jc w:val="center"/>
        <w:rPr>
          <w:rFonts w:hint="eastAsia" w:ascii="宋体" w:hAnsi="宋体" w:cs="宋体"/>
          <w:color w:val="auto"/>
          <w:sz w:val="30"/>
          <w:szCs w:val="30"/>
          <w:highlight w:val="none"/>
        </w:rPr>
      </w:pPr>
    </w:p>
    <w:p>
      <w:pPr>
        <w:pStyle w:val="656"/>
        <w:spacing w:line="440" w:lineRule="exact"/>
        <w:ind w:left="250" w:right="720"/>
        <w:jc w:val="center"/>
        <w:rPr>
          <w:rFonts w:hint="eastAsia" w:ascii="宋体" w:hAnsi="宋体" w:cs="宋体"/>
          <w:color w:val="auto"/>
          <w:sz w:val="30"/>
          <w:szCs w:val="30"/>
          <w:highlight w:val="none"/>
        </w:rPr>
      </w:pPr>
    </w:p>
    <w:p>
      <w:pPr>
        <w:pStyle w:val="656"/>
        <w:spacing w:line="440" w:lineRule="exact"/>
        <w:ind w:left="250" w:right="720"/>
        <w:jc w:val="center"/>
        <w:rPr>
          <w:rFonts w:hint="eastAsia" w:ascii="宋体" w:hAnsi="宋体" w:cs="宋体"/>
          <w:color w:val="auto"/>
          <w:sz w:val="30"/>
          <w:szCs w:val="30"/>
          <w:highlight w:val="none"/>
        </w:rPr>
      </w:pPr>
    </w:p>
    <w:bookmarkEnd w:id="16"/>
    <w:bookmarkEnd w:id="17"/>
    <w:p>
      <w:pPr>
        <w:pStyle w:val="39"/>
        <w:tabs>
          <w:tab w:val="left" w:pos="5580"/>
        </w:tabs>
        <w:spacing w:line="480" w:lineRule="exact"/>
        <w:textAlignment w:val="center"/>
        <w:rPr>
          <w:rFonts w:ascii="Times New Roman" w:hAnsi="Times New Roman"/>
          <w:color w:val="auto"/>
          <w:szCs w:val="24"/>
          <w:highlight w:val="none"/>
        </w:rPr>
      </w:pPr>
      <w:bookmarkStart w:id="21" w:name="_Toc171496388"/>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pStyle w:val="39"/>
        <w:tabs>
          <w:tab w:val="left" w:pos="5580"/>
        </w:tabs>
        <w:spacing w:line="500" w:lineRule="exact"/>
        <w:jc w:val="center"/>
        <w:textAlignment w:val="center"/>
        <w:rPr>
          <w:rFonts w:hint="eastAsia" w:ascii="Times New Roman" w:hAnsi="宋体"/>
          <w:b/>
          <w:color w:val="auto"/>
          <w:sz w:val="30"/>
          <w:szCs w:val="30"/>
          <w:highlight w:val="none"/>
        </w:rPr>
      </w:pPr>
      <w:r>
        <w:rPr>
          <w:rFonts w:hint="eastAsia" w:ascii="Times New Roman" w:hAnsi="宋体"/>
          <w:b/>
          <w:color w:val="auto"/>
          <w:sz w:val="30"/>
          <w:szCs w:val="30"/>
          <w:highlight w:val="none"/>
        </w:rPr>
        <w:br w:type="page"/>
      </w:r>
    </w:p>
    <w:p>
      <w:pPr>
        <w:spacing w:line="500" w:lineRule="exact"/>
        <w:jc w:val="center"/>
        <w:outlineLvl w:val="0"/>
        <w:rPr>
          <w:rFonts w:hint="eastAsia" w:ascii="宋体" w:hAnsi="宋体" w:cs="宋体"/>
          <w:b/>
          <w:color w:val="auto"/>
          <w:sz w:val="32"/>
          <w:szCs w:val="32"/>
          <w:highlight w:val="none"/>
        </w:rPr>
      </w:pPr>
      <w:bookmarkStart w:id="22" w:name="_Toc29985"/>
      <w:r>
        <w:rPr>
          <w:rFonts w:hint="eastAsia" w:ascii="宋体" w:hAnsi="宋体" w:cs="宋体"/>
          <w:b/>
          <w:color w:val="auto"/>
          <w:sz w:val="32"/>
          <w:szCs w:val="32"/>
          <w:highlight w:val="none"/>
        </w:rPr>
        <w:t>商务文件</w:t>
      </w:r>
      <w:bookmarkEnd w:id="22"/>
    </w:p>
    <w:p>
      <w:pPr>
        <w:spacing w:line="500" w:lineRule="exact"/>
        <w:jc w:val="center"/>
        <w:rPr>
          <w:rFonts w:hint="eastAsia" w:ascii="宋体" w:hAnsi="宋体" w:cs="宋体"/>
          <w:b/>
          <w:color w:val="auto"/>
          <w:sz w:val="30"/>
          <w:szCs w:val="30"/>
          <w:highlight w:val="none"/>
        </w:rPr>
      </w:pPr>
    </w:p>
    <w:p>
      <w:pPr>
        <w:spacing w:line="500" w:lineRule="exact"/>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附件：商务响应表</w:t>
      </w:r>
    </w:p>
    <w:p>
      <w:pPr>
        <w:spacing w:line="680" w:lineRule="exact"/>
        <w:rPr>
          <w:rFonts w:hint="eastAsia" w:ascii="宋体" w:hAnsi="宋体" w:cs="宋体"/>
          <w:color w:val="auto"/>
          <w:highlight w:val="none"/>
          <w:u w:val="single"/>
        </w:rPr>
      </w:pPr>
      <w:r>
        <w:rPr>
          <w:rFonts w:hint="eastAsia" w:ascii="宋体" w:hAnsi="宋体" w:cs="宋体"/>
          <w:color w:val="auto"/>
          <w:szCs w:val="24"/>
          <w:highlight w:val="none"/>
        </w:rPr>
        <w:t>投标人名称：（加盖公章）</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项目编号：</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w:t>
      </w:r>
      <w:r>
        <w:rPr>
          <w:rFonts w:hint="eastAsia" w:ascii="宋体" w:hAnsi="宋体" w:cs="宋体"/>
          <w:color w:val="auto"/>
          <w:highlight w:val="none"/>
        </w:rPr>
        <w:t xml:space="preserve">                   </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168"/>
        <w:gridCol w:w="2168"/>
        <w:gridCol w:w="2168"/>
        <w:gridCol w:w="2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14"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序号</w:t>
            </w:r>
          </w:p>
        </w:tc>
        <w:tc>
          <w:tcPr>
            <w:tcW w:w="2168"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采购文件要求</w:t>
            </w:r>
          </w:p>
        </w:tc>
        <w:tc>
          <w:tcPr>
            <w:tcW w:w="2168"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投标文件实际情况</w:t>
            </w:r>
          </w:p>
        </w:tc>
        <w:tc>
          <w:tcPr>
            <w:tcW w:w="2168"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偏差内容</w:t>
            </w:r>
          </w:p>
        </w:tc>
        <w:tc>
          <w:tcPr>
            <w:tcW w:w="2168" w:type="dxa"/>
            <w:noWrap w:val="0"/>
            <w:vAlign w:val="center"/>
          </w:tcPr>
          <w:p>
            <w:pPr>
              <w:keepNext w:val="0"/>
              <w:keepLines w:val="0"/>
              <w:suppressLineNumbers w:val="0"/>
              <w:spacing w:before="0" w:beforeAutospacing="0" w:after="0" w:afterAutospacing="0" w:line="420" w:lineRule="exact"/>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说明（正偏离/负偏离/无偏离）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14"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14"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14"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c>
          <w:tcPr>
            <w:tcW w:w="2168" w:type="dxa"/>
            <w:noWrap w:val="0"/>
            <w:vAlign w:val="top"/>
          </w:tcPr>
          <w:p>
            <w:pPr>
              <w:keepNext w:val="0"/>
              <w:keepLines w:val="0"/>
              <w:suppressLineNumbers w:val="0"/>
              <w:spacing w:before="0" w:beforeAutospacing="0" w:after="0" w:afterAutospacing="0" w:line="680" w:lineRule="exact"/>
              <w:ind w:left="0" w:right="0"/>
              <w:rPr>
                <w:rFonts w:hint="eastAsia" w:ascii="宋体" w:hAnsi="宋体" w:cs="宋体"/>
                <w:color w:val="auto"/>
                <w:szCs w:val="24"/>
                <w:highlight w:val="none"/>
              </w:rPr>
            </w:pPr>
          </w:p>
        </w:tc>
      </w:tr>
    </w:tbl>
    <w:p>
      <w:pPr>
        <w:spacing w:line="360" w:lineRule="auto"/>
        <w:textAlignment w:val="center"/>
        <w:rPr>
          <w:rFonts w:hint="eastAsia" w:ascii="宋体" w:hAnsi="宋体" w:cs="宋体"/>
          <w:color w:val="auto"/>
          <w:highlight w:val="none"/>
        </w:rPr>
      </w:pPr>
      <w:r>
        <w:rPr>
          <w:rFonts w:hint="eastAsia" w:ascii="宋体" w:hAnsi="宋体" w:cs="宋体"/>
          <w:b/>
          <w:color w:val="auto"/>
          <w:highlight w:val="none"/>
        </w:rPr>
        <w:t>注：</w:t>
      </w:r>
      <w:r>
        <w:rPr>
          <w:rFonts w:hint="eastAsia" w:ascii="宋体" w:hAnsi="宋体" w:cs="宋体"/>
          <w:color w:val="auto"/>
          <w:highlight w:val="none"/>
        </w:rPr>
        <w:t>1.如投标人在响应表中无注明，投标文件与采购文件不一致或差异，以采购文件为准。</w:t>
      </w:r>
    </w:p>
    <w:p>
      <w:pPr>
        <w:spacing w:line="360" w:lineRule="auto"/>
        <w:ind w:firstLine="420" w:firstLineChars="200"/>
        <w:textAlignment w:val="center"/>
        <w:rPr>
          <w:rFonts w:hint="eastAsia" w:ascii="宋体" w:hAnsi="宋体" w:cs="宋体"/>
          <w:color w:val="auto"/>
          <w:highlight w:val="none"/>
        </w:rPr>
      </w:pPr>
      <w:r>
        <w:rPr>
          <w:rFonts w:hint="eastAsia" w:ascii="宋体" w:hAnsi="宋体" w:cs="宋体"/>
          <w:color w:val="auto"/>
          <w:highlight w:val="none"/>
        </w:rPr>
        <w:t>2.商务响应中</w:t>
      </w:r>
      <w:r>
        <w:rPr>
          <w:rFonts w:hint="eastAsia" w:ascii="宋体" w:hAnsi="宋体" w:cs="宋体"/>
          <w:color w:val="auto"/>
          <w:szCs w:val="24"/>
          <w:highlight w:val="none"/>
        </w:rPr>
        <w:t>服务期</w:t>
      </w:r>
      <w:r>
        <w:rPr>
          <w:rFonts w:hint="eastAsia" w:ascii="宋体" w:hAnsi="宋体" w:cs="宋体"/>
          <w:color w:val="auto"/>
          <w:highlight w:val="none"/>
        </w:rPr>
        <w:t>、付款方式等条款的负偏离视为不响应采购文件的实质性要求。</w:t>
      </w:r>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pStyle w:val="39"/>
        <w:tabs>
          <w:tab w:val="left" w:pos="5580"/>
        </w:tabs>
        <w:spacing w:line="500" w:lineRule="exact"/>
        <w:jc w:val="left"/>
        <w:textAlignment w:val="center"/>
        <w:rPr>
          <w:rFonts w:hint="eastAsia" w:ascii="Times New Roman" w:hAnsi="宋体"/>
          <w:b/>
          <w:color w:val="auto"/>
          <w:sz w:val="30"/>
          <w:szCs w:val="30"/>
          <w:highlight w:val="none"/>
        </w:rPr>
      </w:pPr>
      <w:r>
        <w:rPr>
          <w:rFonts w:hint="eastAsia"/>
          <w:b/>
          <w:bCs/>
          <w:color w:val="auto"/>
          <w:highlight w:val="none"/>
        </w:rPr>
        <w:t>注：签章和盖章具有同等法律效力。</w:t>
      </w:r>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r>
    </w:p>
    <w:p>
      <w:pPr>
        <w:spacing w:line="440" w:lineRule="exact"/>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商务标</w:t>
      </w:r>
    </w:p>
    <w:p>
      <w:pPr>
        <w:pStyle w:val="90"/>
        <w:rPr>
          <w:rFonts w:hint="eastAsia" w:cs="宋体"/>
          <w:color w:val="auto"/>
          <w:highlight w:val="none"/>
        </w:rPr>
      </w:pPr>
    </w:p>
    <w:p>
      <w:pPr>
        <w:spacing w:line="500" w:lineRule="exact"/>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分项报价表（参考）</w:t>
      </w:r>
    </w:p>
    <w:p>
      <w:pPr>
        <w:ind w:firstLine="210" w:firstLineChars="100"/>
        <w:rPr>
          <w:rFonts w:hint="eastAsia" w:ascii="宋体" w:hAnsi="宋体" w:cs="宋体"/>
          <w:color w:val="auto"/>
          <w:szCs w:val="24"/>
          <w:highlight w:val="none"/>
        </w:rPr>
      </w:pPr>
      <w:r>
        <w:rPr>
          <w:rFonts w:hint="eastAsia" w:ascii="宋体" w:hAnsi="宋体" w:cs="宋体"/>
          <w:color w:val="auto"/>
          <w:szCs w:val="24"/>
          <w:highlight w:val="none"/>
        </w:rPr>
        <w:t>项目编号：</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单位：万元</w:t>
      </w:r>
    </w:p>
    <w:tbl>
      <w:tblPr>
        <w:tblStyle w:val="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452"/>
        <w:gridCol w:w="1026"/>
        <w:gridCol w:w="1026"/>
        <w:gridCol w:w="1469"/>
        <w:gridCol w:w="631"/>
        <w:gridCol w:w="643"/>
        <w:gridCol w:w="634"/>
        <w:gridCol w:w="6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860"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r>
              <w:rPr>
                <w:rFonts w:hint="eastAsia" w:ascii="宋体" w:hAnsi="宋体" w:cs="宋体"/>
                <w:color w:val="auto"/>
                <w:kern w:val="0"/>
                <w:szCs w:val="24"/>
                <w:highlight w:val="none"/>
              </w:rPr>
              <w:t>序号</w:t>
            </w:r>
          </w:p>
        </w:tc>
        <w:tc>
          <w:tcPr>
            <w:tcW w:w="2452"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r>
              <w:rPr>
                <w:rFonts w:hint="eastAsia" w:ascii="宋体" w:hAnsi="宋体" w:cs="宋体"/>
                <w:color w:val="auto"/>
                <w:kern w:val="0"/>
                <w:szCs w:val="24"/>
                <w:highlight w:val="none"/>
              </w:rPr>
              <w:t>名称</w:t>
            </w:r>
          </w:p>
        </w:tc>
        <w:tc>
          <w:tcPr>
            <w:tcW w:w="1026"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r>
              <w:rPr>
                <w:rFonts w:hint="eastAsia" w:ascii="宋体" w:hAnsi="宋体" w:cs="宋体"/>
                <w:color w:val="auto"/>
                <w:kern w:val="0"/>
                <w:szCs w:val="24"/>
                <w:highlight w:val="none"/>
              </w:rPr>
              <w:t>品牌</w:t>
            </w:r>
          </w:p>
        </w:tc>
        <w:tc>
          <w:tcPr>
            <w:tcW w:w="1026"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r>
              <w:rPr>
                <w:rFonts w:hint="eastAsia" w:ascii="宋体" w:hAnsi="宋体" w:cs="宋体"/>
                <w:color w:val="auto"/>
                <w:kern w:val="0"/>
                <w:szCs w:val="24"/>
                <w:highlight w:val="none"/>
              </w:rPr>
              <w:t>规格</w:t>
            </w:r>
          </w:p>
        </w:tc>
        <w:tc>
          <w:tcPr>
            <w:tcW w:w="1469"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r>
              <w:rPr>
                <w:rFonts w:hint="eastAsia" w:ascii="宋体" w:hAnsi="宋体" w:cs="宋体"/>
                <w:color w:val="auto"/>
                <w:kern w:val="0"/>
                <w:szCs w:val="24"/>
                <w:highlight w:val="none"/>
              </w:rPr>
              <w:t>技术参数</w:t>
            </w:r>
          </w:p>
        </w:tc>
        <w:tc>
          <w:tcPr>
            <w:tcW w:w="631"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r>
              <w:rPr>
                <w:rFonts w:hint="eastAsia" w:ascii="宋体" w:hAnsi="宋体" w:cs="宋体"/>
                <w:color w:val="auto"/>
                <w:kern w:val="0"/>
                <w:szCs w:val="24"/>
                <w:highlight w:val="none"/>
              </w:rPr>
              <w:t>数量</w:t>
            </w:r>
          </w:p>
        </w:tc>
        <w:tc>
          <w:tcPr>
            <w:tcW w:w="643"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r>
              <w:rPr>
                <w:rFonts w:hint="eastAsia" w:ascii="宋体" w:hAnsi="宋体" w:cs="宋体"/>
                <w:color w:val="auto"/>
                <w:kern w:val="0"/>
                <w:szCs w:val="24"/>
                <w:highlight w:val="none"/>
              </w:rPr>
              <w:t>单位</w:t>
            </w:r>
          </w:p>
        </w:tc>
        <w:tc>
          <w:tcPr>
            <w:tcW w:w="634" w:type="dxa"/>
            <w:noWrap w:val="0"/>
            <w:vAlign w:val="center"/>
          </w:tcPr>
          <w:p>
            <w:pPr>
              <w:keepNext w:val="0"/>
              <w:keepLines w:val="0"/>
              <w:suppressLineNumbers w:val="0"/>
              <w:autoSpaceDN w:val="0"/>
              <w:spacing w:before="0" w:beforeAutospacing="0" w:after="0" w:afterAutospacing="0" w:line="320" w:lineRule="exact"/>
              <w:ind w:left="0" w:right="0"/>
              <w:jc w:val="center"/>
              <w:textAlignment w:val="center"/>
              <w:rPr>
                <w:rFonts w:hint="eastAsia" w:ascii="宋体" w:hAnsi="宋体" w:cs="宋体"/>
                <w:color w:val="auto"/>
                <w:kern w:val="0"/>
                <w:szCs w:val="24"/>
                <w:highlight w:val="none"/>
              </w:rPr>
            </w:pPr>
            <w:r>
              <w:rPr>
                <w:rFonts w:hint="eastAsia" w:ascii="宋体" w:hAnsi="宋体" w:cs="宋体"/>
                <w:color w:val="auto"/>
                <w:szCs w:val="24"/>
                <w:highlight w:val="none"/>
              </w:rPr>
              <w:t>单价</w:t>
            </w:r>
          </w:p>
        </w:tc>
        <w:tc>
          <w:tcPr>
            <w:tcW w:w="634" w:type="dxa"/>
            <w:noWrap w:val="0"/>
            <w:vAlign w:val="center"/>
          </w:tcPr>
          <w:p>
            <w:pPr>
              <w:keepNext w:val="0"/>
              <w:keepLines w:val="0"/>
              <w:suppressLineNumbers w:val="0"/>
              <w:autoSpaceDN w:val="0"/>
              <w:spacing w:before="0" w:beforeAutospacing="0" w:after="0" w:afterAutospacing="0" w:line="320" w:lineRule="exact"/>
              <w:ind w:left="0" w:right="0"/>
              <w:jc w:val="center"/>
              <w:textAlignment w:val="center"/>
              <w:rPr>
                <w:rFonts w:hint="eastAsia" w:ascii="宋体" w:hAnsi="宋体" w:cs="宋体"/>
                <w:color w:val="auto"/>
                <w:kern w:val="0"/>
                <w:szCs w:val="24"/>
                <w:highlight w:val="none"/>
              </w:rPr>
            </w:pPr>
            <w:r>
              <w:rPr>
                <w:rFonts w:hint="eastAsia" w:ascii="宋体" w:hAnsi="宋体" w:cs="宋体"/>
                <w:color w:val="auto"/>
                <w:szCs w:val="24"/>
                <w:highlight w:val="none"/>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860"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1</w:t>
            </w:r>
          </w:p>
        </w:tc>
        <w:tc>
          <w:tcPr>
            <w:tcW w:w="2452"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4"/>
                <w:highlight w:val="none"/>
              </w:rPr>
            </w:pPr>
          </w:p>
        </w:tc>
        <w:tc>
          <w:tcPr>
            <w:tcW w:w="1026"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1026"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1469"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31"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43"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34"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34"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860"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2</w:t>
            </w:r>
          </w:p>
        </w:tc>
        <w:tc>
          <w:tcPr>
            <w:tcW w:w="2452"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4"/>
                <w:highlight w:val="none"/>
              </w:rPr>
            </w:pPr>
          </w:p>
        </w:tc>
        <w:tc>
          <w:tcPr>
            <w:tcW w:w="1026"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1026"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1469"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31"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43"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34"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34"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860"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3</w:t>
            </w:r>
          </w:p>
        </w:tc>
        <w:tc>
          <w:tcPr>
            <w:tcW w:w="2452"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4"/>
                <w:highlight w:val="none"/>
              </w:rPr>
            </w:pPr>
          </w:p>
        </w:tc>
        <w:tc>
          <w:tcPr>
            <w:tcW w:w="1026"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1026"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1469"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31"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43"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34"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34"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860"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w:t>
            </w:r>
          </w:p>
        </w:tc>
        <w:tc>
          <w:tcPr>
            <w:tcW w:w="2452"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4"/>
                <w:highlight w:val="none"/>
              </w:rPr>
            </w:pPr>
          </w:p>
        </w:tc>
        <w:tc>
          <w:tcPr>
            <w:tcW w:w="1026"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1026"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1469"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31"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43"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34"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34"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860"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4"/>
                <w:highlight w:val="none"/>
              </w:rPr>
            </w:pPr>
            <w:r>
              <w:rPr>
                <w:rFonts w:hint="eastAsia" w:ascii="宋体" w:hAnsi="宋体" w:cs="宋体"/>
                <w:color w:val="auto"/>
                <w:szCs w:val="24"/>
                <w:highlight w:val="none"/>
              </w:rPr>
              <w:t>合计</w:t>
            </w:r>
          </w:p>
        </w:tc>
        <w:tc>
          <w:tcPr>
            <w:tcW w:w="2452" w:type="dxa"/>
            <w:noWrap w:val="0"/>
            <w:vAlign w:val="center"/>
          </w:tcPr>
          <w:p>
            <w:pPr>
              <w:keepNext w:val="0"/>
              <w:keepLines w:val="0"/>
              <w:suppressLineNumbers w:val="0"/>
              <w:spacing w:before="0" w:beforeAutospacing="0" w:after="0" w:afterAutospacing="0"/>
              <w:ind w:left="0" w:right="0"/>
              <w:jc w:val="center"/>
              <w:rPr>
                <w:rFonts w:hint="eastAsia" w:ascii="宋体" w:hAnsi="宋体" w:cs="宋体"/>
                <w:color w:val="auto"/>
                <w:szCs w:val="24"/>
                <w:highlight w:val="none"/>
              </w:rPr>
            </w:pPr>
          </w:p>
        </w:tc>
        <w:tc>
          <w:tcPr>
            <w:tcW w:w="1026"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1026"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1469"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31"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43"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34"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c>
          <w:tcPr>
            <w:tcW w:w="634" w:type="dxa"/>
            <w:noWrap w:val="0"/>
            <w:vAlign w:val="center"/>
          </w:tcPr>
          <w:p>
            <w:pPr>
              <w:keepNext w:val="0"/>
              <w:keepLines w:val="0"/>
              <w:widowControl/>
              <w:suppressLineNumbers w:val="0"/>
              <w:spacing w:before="0" w:beforeAutospacing="0" w:after="0" w:afterAutospacing="0" w:line="0" w:lineRule="atLeast"/>
              <w:ind w:left="0" w:right="0"/>
              <w:jc w:val="center"/>
              <w:rPr>
                <w:rFonts w:hint="eastAsia" w:ascii="宋体" w:hAnsi="宋体" w:cs="宋体"/>
                <w:color w:val="auto"/>
                <w:kern w:val="0"/>
                <w:szCs w:val="24"/>
                <w:highlight w:val="none"/>
              </w:rPr>
            </w:pPr>
          </w:p>
        </w:tc>
      </w:tr>
    </w:tbl>
    <w:p>
      <w:pPr>
        <w:ind w:firstLine="210" w:firstLineChars="100"/>
        <w:rPr>
          <w:rFonts w:hint="eastAsia" w:ascii="宋体" w:hAnsi="宋体" w:cs="宋体"/>
          <w:color w:val="auto"/>
          <w:szCs w:val="24"/>
          <w:highlight w:val="none"/>
        </w:rPr>
      </w:pPr>
    </w:p>
    <w:p>
      <w:pPr>
        <w:spacing w:line="540" w:lineRule="exact"/>
        <w:rPr>
          <w:rFonts w:hint="eastAsia" w:ascii="宋体" w:hAnsi="宋体" w:cs="宋体"/>
          <w:b/>
          <w:color w:val="auto"/>
          <w:szCs w:val="24"/>
          <w:highlight w:val="none"/>
          <w:u w:val="single"/>
        </w:rPr>
      </w:pPr>
      <w:r>
        <w:rPr>
          <w:rFonts w:hint="eastAsia" w:ascii="宋体" w:hAnsi="宋体" w:cs="宋体"/>
          <w:b/>
          <w:color w:val="auto"/>
          <w:szCs w:val="24"/>
          <w:highlight w:val="none"/>
        </w:rPr>
        <w:t>投标人名称（公章）：</w:t>
      </w:r>
      <w:r>
        <w:rPr>
          <w:rFonts w:hint="eastAsia" w:ascii="宋体" w:hAnsi="宋体" w:cs="宋体"/>
          <w:b/>
          <w:color w:val="auto"/>
          <w:szCs w:val="24"/>
          <w:highlight w:val="none"/>
          <w:u w:val="single"/>
        </w:rPr>
        <w:t xml:space="preserve">                        </w:t>
      </w:r>
      <w:r>
        <w:rPr>
          <w:rFonts w:hint="eastAsia" w:ascii="宋体" w:hAnsi="宋体" w:cs="宋体"/>
          <w:b/>
          <w:color w:val="auto"/>
          <w:szCs w:val="24"/>
          <w:highlight w:val="none"/>
        </w:rPr>
        <w:t>法定代表人或授权代表签字：</w:t>
      </w:r>
      <w:r>
        <w:rPr>
          <w:rFonts w:hint="eastAsia" w:ascii="宋体" w:hAnsi="宋体" w:cs="宋体"/>
          <w:b/>
          <w:color w:val="auto"/>
          <w:szCs w:val="24"/>
          <w:highlight w:val="none"/>
          <w:u w:val="single"/>
        </w:rPr>
        <w:t xml:space="preserve">                     </w:t>
      </w:r>
    </w:p>
    <w:p>
      <w:pPr>
        <w:spacing w:line="400" w:lineRule="atLeast"/>
        <w:rPr>
          <w:rFonts w:hint="eastAsia" w:ascii="宋体" w:hAnsi="宋体" w:cs="宋体"/>
          <w:b/>
          <w:color w:val="auto"/>
          <w:highlight w:val="none"/>
        </w:rPr>
      </w:pPr>
    </w:p>
    <w:p>
      <w:pPr>
        <w:spacing w:line="400" w:lineRule="atLeast"/>
        <w:rPr>
          <w:rFonts w:hint="eastAsia" w:ascii="宋体" w:hAnsi="宋体" w:cs="宋体"/>
          <w:b/>
          <w:color w:val="auto"/>
          <w:highlight w:val="none"/>
        </w:rPr>
      </w:pPr>
      <w:r>
        <w:rPr>
          <w:rFonts w:hint="eastAsia" w:ascii="宋体" w:hAnsi="宋体" w:cs="宋体"/>
          <w:b/>
          <w:color w:val="auto"/>
          <w:highlight w:val="none"/>
        </w:rPr>
        <w:t>备注：1.请将报价用小写数字填写；单价中包含设备供应直至验收合格交付使用的所有费用。</w:t>
      </w:r>
    </w:p>
    <w:p>
      <w:pPr>
        <w:spacing w:line="400" w:lineRule="atLeast"/>
        <w:ind w:firstLine="738" w:firstLineChars="350"/>
        <w:rPr>
          <w:rFonts w:hint="eastAsia" w:ascii="宋体" w:hAnsi="宋体" w:cs="宋体"/>
          <w:b/>
          <w:color w:val="auto"/>
          <w:highlight w:val="none"/>
        </w:rPr>
      </w:pPr>
      <w:r>
        <w:rPr>
          <w:rFonts w:hint="eastAsia" w:ascii="宋体" w:hAnsi="宋体" w:cs="宋体"/>
          <w:b/>
          <w:bCs/>
          <w:color w:val="auto"/>
          <w:szCs w:val="21"/>
          <w:highlight w:val="none"/>
          <w:shd w:val="clear" w:color="auto" w:fill="FFFFFF"/>
        </w:rPr>
        <w:t>2.请认真填写此表，</w:t>
      </w:r>
      <w:r>
        <w:rPr>
          <w:rFonts w:hint="eastAsia" w:ascii="宋体" w:hAnsi="宋体" w:cs="宋体"/>
          <w:b/>
          <w:bCs/>
          <w:iCs/>
          <w:color w:val="auto"/>
          <w:szCs w:val="21"/>
          <w:highlight w:val="none"/>
          <w:shd w:val="clear" w:color="auto" w:fill="FFFFFF"/>
        </w:rPr>
        <w:t>如果不提供详细报价明细将视为没有实质性响应采购文件；</w:t>
      </w:r>
    </w:p>
    <w:p>
      <w:pPr>
        <w:spacing w:line="400" w:lineRule="exact"/>
        <w:ind w:firstLine="738" w:firstLineChars="350"/>
        <w:rPr>
          <w:rFonts w:hint="eastAsia" w:ascii="宋体" w:hAnsi="宋体" w:cs="宋体"/>
          <w:b/>
          <w:bCs/>
          <w:iCs/>
          <w:color w:val="auto"/>
          <w:szCs w:val="21"/>
          <w:highlight w:val="none"/>
          <w:shd w:val="clear" w:color="auto" w:fill="FFFFFF"/>
        </w:rPr>
      </w:pPr>
      <w:r>
        <w:rPr>
          <w:rFonts w:hint="eastAsia" w:ascii="宋体" w:hAnsi="宋体" w:cs="宋体"/>
          <w:b/>
          <w:bCs/>
          <w:iCs/>
          <w:color w:val="auto"/>
          <w:szCs w:val="21"/>
          <w:highlight w:val="none"/>
          <w:shd w:val="clear" w:color="auto" w:fill="FFFFFF"/>
        </w:rPr>
        <w:t>3.投标人必须对上表中的所有内容进行报价；</w:t>
      </w:r>
    </w:p>
    <w:p>
      <w:pPr>
        <w:pStyle w:val="39"/>
        <w:tabs>
          <w:tab w:val="left" w:pos="5580"/>
        </w:tabs>
        <w:spacing w:line="500" w:lineRule="exact"/>
        <w:jc w:val="left"/>
        <w:textAlignment w:val="center"/>
        <w:rPr>
          <w:rFonts w:hint="eastAsia" w:ascii="Times New Roman" w:hAnsi="宋体"/>
          <w:b/>
          <w:color w:val="auto"/>
          <w:sz w:val="30"/>
          <w:szCs w:val="30"/>
          <w:highlight w:val="none"/>
        </w:rPr>
      </w:pPr>
      <w:r>
        <w:rPr>
          <w:rFonts w:hint="eastAsia"/>
          <w:b/>
          <w:bCs/>
          <w:color w:val="auto"/>
          <w:highlight w:val="none"/>
        </w:rPr>
        <w:t>注：签章和盖章具有同等法律效力。</w:t>
      </w:r>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rPr>
          <w:rFonts w:hAnsi="宋体"/>
          <w:b/>
          <w:color w:val="auto"/>
          <w:sz w:val="30"/>
          <w:szCs w:val="30"/>
          <w:highlight w:val="none"/>
        </w:rPr>
      </w:pPr>
      <w:r>
        <w:rPr>
          <w:rFonts w:hAnsi="宋体"/>
          <w:b/>
          <w:color w:val="auto"/>
          <w:sz w:val="30"/>
          <w:szCs w:val="30"/>
          <w:highlight w:val="none"/>
        </w:rPr>
        <w:br w:type="page"/>
      </w:r>
    </w:p>
    <w:p>
      <w:pPr>
        <w:spacing w:line="500" w:lineRule="exact"/>
        <w:jc w:val="center"/>
        <w:rPr>
          <w:b/>
          <w:color w:val="auto"/>
          <w:sz w:val="30"/>
          <w:szCs w:val="30"/>
          <w:highlight w:val="none"/>
        </w:rPr>
      </w:pPr>
      <w:r>
        <w:rPr>
          <w:rFonts w:hAnsi="宋体"/>
          <w:b/>
          <w:color w:val="auto"/>
          <w:sz w:val="30"/>
          <w:szCs w:val="30"/>
          <w:highlight w:val="none"/>
        </w:rPr>
        <w:t>附件：产品质保承诺（包括但不限于）</w:t>
      </w:r>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pStyle w:val="39"/>
        <w:tabs>
          <w:tab w:val="left" w:pos="5580"/>
        </w:tabs>
        <w:spacing w:line="500" w:lineRule="exact"/>
        <w:jc w:val="center"/>
        <w:textAlignment w:val="center"/>
        <w:rPr>
          <w:rFonts w:hint="eastAsia" w:ascii="Times New Roman" w:hAnsi="宋体"/>
          <w:b/>
          <w:color w:val="auto"/>
          <w:sz w:val="30"/>
          <w:szCs w:val="30"/>
          <w:highlight w:val="none"/>
        </w:rPr>
      </w:pPr>
    </w:p>
    <w:p>
      <w:pPr>
        <w:spacing w:line="500" w:lineRule="exact"/>
        <w:jc w:val="center"/>
        <w:rPr>
          <w:b/>
          <w:color w:val="auto"/>
          <w:sz w:val="30"/>
          <w:szCs w:val="30"/>
          <w:highlight w:val="none"/>
        </w:rPr>
      </w:pPr>
      <w:r>
        <w:rPr>
          <w:rFonts w:hAnsi="宋体"/>
          <w:b/>
          <w:color w:val="auto"/>
          <w:sz w:val="30"/>
          <w:szCs w:val="30"/>
          <w:highlight w:val="none"/>
        </w:rPr>
        <w:t>附件：售后服务条款（包括但不限于）</w:t>
      </w:r>
      <w:bookmarkStart w:id="23" w:name="_Toc445730684"/>
    </w:p>
    <w:p>
      <w:pPr>
        <w:pStyle w:val="39"/>
        <w:tabs>
          <w:tab w:val="left" w:pos="5580"/>
        </w:tabs>
        <w:spacing w:line="500" w:lineRule="exact"/>
        <w:jc w:val="center"/>
        <w:textAlignment w:val="center"/>
        <w:rPr>
          <w:rFonts w:hint="eastAsia" w:ascii="Times New Roman" w:hAnsi="宋体"/>
          <w:b/>
          <w:bCs/>
          <w:color w:val="auto"/>
          <w:kern w:val="44"/>
          <w:sz w:val="30"/>
          <w:szCs w:val="30"/>
          <w:highlight w:val="none"/>
        </w:rPr>
      </w:pPr>
    </w:p>
    <w:p>
      <w:pPr>
        <w:pStyle w:val="39"/>
        <w:tabs>
          <w:tab w:val="left" w:pos="5580"/>
        </w:tabs>
        <w:spacing w:line="500" w:lineRule="exact"/>
        <w:jc w:val="center"/>
        <w:textAlignment w:val="center"/>
        <w:rPr>
          <w:rFonts w:hint="eastAsia" w:ascii="Times New Roman" w:hAnsi="宋体"/>
          <w:b/>
          <w:bCs/>
          <w:color w:val="auto"/>
          <w:kern w:val="44"/>
          <w:sz w:val="30"/>
          <w:szCs w:val="30"/>
          <w:highlight w:val="none"/>
        </w:rPr>
      </w:pPr>
    </w:p>
    <w:p>
      <w:pPr>
        <w:pStyle w:val="39"/>
        <w:tabs>
          <w:tab w:val="left" w:pos="5580"/>
        </w:tabs>
        <w:spacing w:line="500" w:lineRule="exact"/>
        <w:jc w:val="center"/>
        <w:textAlignment w:val="center"/>
        <w:rPr>
          <w:rFonts w:hint="eastAsia" w:ascii="Times New Roman" w:hAnsi="宋体"/>
          <w:b/>
          <w:bCs/>
          <w:color w:val="auto"/>
          <w:kern w:val="44"/>
          <w:sz w:val="30"/>
          <w:szCs w:val="30"/>
          <w:highlight w:val="none"/>
        </w:rPr>
      </w:pPr>
    </w:p>
    <w:bookmarkEnd w:id="23"/>
    <w:p>
      <w:pPr>
        <w:spacing w:line="500" w:lineRule="exact"/>
        <w:rPr>
          <w:rFonts w:hint="eastAsia" w:hAnsi="宋体"/>
          <w:b/>
          <w:color w:val="auto"/>
          <w:sz w:val="30"/>
          <w:szCs w:val="30"/>
          <w:highlight w:val="none"/>
        </w:rPr>
      </w:pPr>
    </w:p>
    <w:p>
      <w:pPr>
        <w:spacing w:line="500" w:lineRule="exact"/>
        <w:rPr>
          <w:rFonts w:hint="eastAsia" w:hAnsi="宋体"/>
          <w:b/>
          <w:color w:val="auto"/>
          <w:sz w:val="30"/>
          <w:szCs w:val="30"/>
          <w:highlight w:val="none"/>
        </w:rPr>
      </w:pPr>
    </w:p>
    <w:p>
      <w:pPr>
        <w:spacing w:line="500" w:lineRule="exact"/>
        <w:jc w:val="center"/>
        <w:outlineLvl w:val="0"/>
        <w:rPr>
          <w:rFonts w:hint="eastAsia" w:ascii="宋体" w:hAnsi="宋体" w:cs="宋体"/>
          <w:b/>
          <w:color w:val="auto"/>
          <w:sz w:val="30"/>
          <w:szCs w:val="30"/>
          <w:highlight w:val="none"/>
        </w:rPr>
      </w:pPr>
      <w:r>
        <w:rPr>
          <w:b/>
          <w:color w:val="auto"/>
          <w:sz w:val="30"/>
          <w:szCs w:val="30"/>
          <w:highlight w:val="none"/>
        </w:rPr>
        <w:br w:type="page"/>
      </w:r>
      <w:bookmarkStart w:id="24" w:name="_Toc431392585"/>
      <w:bookmarkStart w:id="25" w:name="_Toc442098659"/>
      <w:bookmarkStart w:id="26" w:name="_Toc432612919"/>
      <w:bookmarkStart w:id="27" w:name="_Toc431394823"/>
      <w:bookmarkStart w:id="28" w:name="_Toc437430203"/>
      <w:bookmarkStart w:id="29" w:name="_Toc445730685"/>
      <w:r>
        <w:rPr>
          <w:rFonts w:hint="eastAsia" w:ascii="宋体" w:hAnsi="宋体" w:cs="宋体"/>
          <w:b/>
          <w:color w:val="auto"/>
          <w:sz w:val="30"/>
          <w:szCs w:val="30"/>
          <w:highlight w:val="none"/>
        </w:rPr>
        <w:t>技术文件</w:t>
      </w:r>
    </w:p>
    <w:p>
      <w:pPr>
        <w:spacing w:line="500" w:lineRule="exact"/>
        <w:jc w:val="center"/>
        <w:textAlignment w:val="center"/>
        <w:rPr>
          <w:rFonts w:hint="eastAsia" w:ascii="宋体" w:hAnsi="宋体" w:cs="宋体"/>
          <w:color w:val="auto"/>
          <w:highlight w:val="none"/>
        </w:rPr>
      </w:pPr>
      <w:r>
        <w:rPr>
          <w:rFonts w:hint="eastAsia" w:ascii="宋体" w:hAnsi="宋体" w:cs="宋体"/>
          <w:color w:val="auto"/>
          <w:highlight w:val="none"/>
        </w:rPr>
        <w:t>投标人应根据所报产品内容自行编制，包括但不限于</w:t>
      </w:r>
    </w:p>
    <w:p>
      <w:pPr>
        <w:spacing w:line="500" w:lineRule="exact"/>
        <w:ind w:firstLine="315" w:firstLineChars="150"/>
        <w:textAlignment w:val="center"/>
        <w:rPr>
          <w:rFonts w:hint="eastAsia" w:ascii="宋体" w:hAnsi="宋体" w:cs="宋体"/>
          <w:color w:val="auto"/>
          <w:highlight w:val="none"/>
        </w:rPr>
      </w:pPr>
      <w:r>
        <w:rPr>
          <w:rFonts w:hint="eastAsia" w:ascii="宋体" w:hAnsi="宋体" w:cs="宋体"/>
          <w:color w:val="auto"/>
          <w:szCs w:val="24"/>
          <w:highlight w:val="none"/>
        </w:rPr>
        <w:t>①</w:t>
      </w:r>
      <w:r>
        <w:rPr>
          <w:rFonts w:hint="eastAsia" w:ascii="宋体" w:hAnsi="宋体" w:cs="宋体"/>
          <w:color w:val="auto"/>
          <w:highlight w:val="none"/>
        </w:rPr>
        <w:t>技术方案（评分标准内所列内容）</w:t>
      </w:r>
    </w:p>
    <w:p>
      <w:pPr>
        <w:spacing w:line="500" w:lineRule="exact"/>
        <w:ind w:firstLine="315" w:firstLineChars="150"/>
        <w:jc w:val="left"/>
        <w:rPr>
          <w:rFonts w:hint="eastAsia" w:ascii="宋体" w:hAnsi="宋体" w:cs="宋体"/>
          <w:b/>
          <w:color w:val="auto"/>
          <w:szCs w:val="24"/>
          <w:highlight w:val="none"/>
        </w:rPr>
      </w:pPr>
      <w:r>
        <w:rPr>
          <w:rFonts w:hint="eastAsia" w:ascii="宋体" w:hAnsi="宋体" w:cs="宋体"/>
          <w:color w:val="auto"/>
          <w:szCs w:val="24"/>
          <w:highlight w:val="none"/>
        </w:rPr>
        <w:t>②投标人认为需要提供的其他技术文件。</w:t>
      </w:r>
    </w:p>
    <w:p>
      <w:pPr>
        <w:spacing w:line="480" w:lineRule="exact"/>
        <w:rPr>
          <w:rFonts w:hint="eastAsia" w:ascii="宋体" w:hAnsi="宋体" w:cs="宋体"/>
          <w:b/>
          <w:bCs/>
          <w:color w:val="auto"/>
          <w:sz w:val="32"/>
          <w:szCs w:val="32"/>
          <w:highlight w:val="none"/>
        </w:rPr>
      </w:pPr>
    </w:p>
    <w:p>
      <w:pPr>
        <w:spacing w:line="480" w:lineRule="exact"/>
        <w:ind w:firstLine="569" w:firstLineChars="177"/>
        <w:jc w:val="center"/>
        <w:rPr>
          <w:rFonts w:hint="eastAsia" w:ascii="宋体" w:hAnsi="宋体" w:cs="宋体"/>
          <w:b/>
          <w:bCs/>
          <w:color w:val="auto"/>
          <w:sz w:val="32"/>
          <w:szCs w:val="32"/>
          <w:highlight w:val="none"/>
        </w:rPr>
      </w:pPr>
    </w:p>
    <w:p>
      <w:pPr>
        <w:spacing w:line="480" w:lineRule="exact"/>
        <w:ind w:firstLine="569" w:firstLineChars="177"/>
        <w:jc w:val="center"/>
        <w:rPr>
          <w:rFonts w:hint="eastAsia" w:ascii="宋体" w:hAnsi="宋体" w:cs="宋体"/>
          <w:b/>
          <w:bCs/>
          <w:color w:val="auto"/>
          <w:sz w:val="32"/>
          <w:szCs w:val="32"/>
          <w:highlight w:val="none"/>
        </w:rPr>
      </w:pPr>
    </w:p>
    <w:p>
      <w:pPr>
        <w:spacing w:line="480" w:lineRule="exact"/>
        <w:ind w:firstLine="569" w:firstLineChars="177"/>
        <w:jc w:val="center"/>
        <w:rPr>
          <w:rFonts w:hint="eastAsia" w:ascii="宋体" w:hAnsi="宋体" w:cs="宋体"/>
          <w:b/>
          <w:bCs/>
          <w:color w:val="auto"/>
          <w:sz w:val="32"/>
          <w:szCs w:val="32"/>
          <w:highlight w:val="none"/>
        </w:rPr>
      </w:pPr>
    </w:p>
    <w:p>
      <w:pPr>
        <w:spacing w:line="480" w:lineRule="exact"/>
        <w:ind w:firstLine="569" w:firstLineChars="177"/>
        <w:jc w:val="center"/>
        <w:rPr>
          <w:rFonts w:hint="eastAsia" w:ascii="宋体" w:hAnsi="宋体" w:cs="宋体"/>
          <w:b/>
          <w:bCs/>
          <w:color w:val="auto"/>
          <w:sz w:val="32"/>
          <w:szCs w:val="32"/>
          <w:highlight w:val="none"/>
        </w:rPr>
      </w:pPr>
    </w:p>
    <w:p>
      <w:pPr>
        <w:spacing w:line="480" w:lineRule="exact"/>
        <w:ind w:firstLine="569" w:firstLineChars="177"/>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服务承诺</w:t>
      </w:r>
      <w:r>
        <w:rPr>
          <w:rFonts w:hint="eastAsia" w:ascii="宋体" w:hAnsi="宋体" w:cs="宋体"/>
          <w:color w:val="auto"/>
          <w:highlight w:val="none"/>
        </w:rPr>
        <w:t>（格式自行设计）</w:t>
      </w:r>
    </w:p>
    <w:p>
      <w:pPr>
        <w:spacing w:line="480" w:lineRule="exact"/>
        <w:ind w:firstLine="371" w:firstLineChars="177"/>
        <w:jc w:val="left"/>
        <w:rPr>
          <w:rFonts w:hint="eastAsia" w:ascii="宋体" w:hAnsi="宋体" w:cs="宋体"/>
          <w:color w:val="auto"/>
          <w:highlight w:val="none"/>
        </w:rPr>
      </w:pPr>
      <w:r>
        <w:rPr>
          <w:rFonts w:hint="eastAsia" w:ascii="宋体" w:hAnsi="宋体" w:cs="宋体"/>
          <w:color w:val="auto"/>
          <w:highlight w:val="none"/>
        </w:rPr>
        <w:t>1、符合国家的相关规范，保证顺利通过相关部门验收的措施。</w:t>
      </w:r>
    </w:p>
    <w:p>
      <w:pPr>
        <w:spacing w:line="480" w:lineRule="exact"/>
        <w:ind w:firstLine="371" w:firstLineChars="177"/>
        <w:jc w:val="left"/>
        <w:rPr>
          <w:rFonts w:hint="eastAsia" w:ascii="宋体" w:hAnsi="宋体" w:cs="宋体"/>
          <w:color w:val="auto"/>
          <w:highlight w:val="none"/>
        </w:rPr>
      </w:pPr>
      <w:r>
        <w:rPr>
          <w:rFonts w:hint="eastAsia" w:ascii="宋体" w:hAnsi="宋体" w:cs="宋体"/>
          <w:color w:val="auto"/>
          <w:highlight w:val="none"/>
        </w:rPr>
        <w:t>2、投标人自身资源优势及对采购人的支持与服务。</w:t>
      </w:r>
    </w:p>
    <w:p>
      <w:pPr>
        <w:spacing w:line="480" w:lineRule="exact"/>
        <w:ind w:firstLine="371" w:firstLineChars="177"/>
        <w:jc w:val="left"/>
        <w:rPr>
          <w:rFonts w:hint="eastAsia" w:ascii="宋体" w:hAnsi="宋体" w:cs="宋体"/>
          <w:color w:val="auto"/>
          <w:highlight w:val="none"/>
        </w:rPr>
      </w:pPr>
      <w:r>
        <w:rPr>
          <w:rFonts w:hint="eastAsia" w:ascii="宋体" w:hAnsi="宋体" w:cs="宋体"/>
          <w:color w:val="auto"/>
          <w:highlight w:val="none"/>
        </w:rPr>
        <w:t>3、项目实施中的后续服务承诺。</w:t>
      </w:r>
    </w:p>
    <w:p>
      <w:pPr>
        <w:tabs>
          <w:tab w:val="left" w:pos="3135"/>
          <w:tab w:val="center" w:pos="7392"/>
        </w:tabs>
        <w:spacing w:before="120" w:beforeLines="50" w:line="400" w:lineRule="exact"/>
        <w:jc w:val="center"/>
        <w:rPr>
          <w:rFonts w:hint="eastAsia" w:ascii="宋体" w:hAnsi="宋体" w:cs="宋体"/>
          <w:b/>
          <w:color w:val="auto"/>
          <w:sz w:val="32"/>
          <w:szCs w:val="32"/>
          <w:highlight w:val="none"/>
        </w:rPr>
      </w:pPr>
    </w:p>
    <w:p>
      <w:pPr>
        <w:spacing w:line="500" w:lineRule="exact"/>
        <w:jc w:val="center"/>
        <w:outlineLvl w:val="0"/>
        <w:rPr>
          <w:rFonts w:hint="eastAsia" w:ascii="宋体" w:hAnsi="宋体" w:cs="宋体"/>
          <w:b/>
          <w:color w:val="auto"/>
          <w:sz w:val="30"/>
          <w:szCs w:val="30"/>
          <w:highlight w:val="none"/>
        </w:rPr>
      </w:pPr>
      <w:r>
        <w:rPr>
          <w:rFonts w:hint="eastAsia" w:ascii="宋体" w:hAnsi="宋体" w:cs="宋体"/>
          <w:b/>
          <w:color w:val="auto"/>
          <w:sz w:val="30"/>
          <w:szCs w:val="30"/>
          <w:highlight w:val="none"/>
        </w:rPr>
        <w:t>投标人需要加以说明的其他材料</w:t>
      </w:r>
    </w:p>
    <w:p>
      <w:pPr>
        <w:spacing w:line="480" w:lineRule="exact"/>
        <w:ind w:firstLine="371" w:firstLineChars="177"/>
        <w:jc w:val="center"/>
        <w:rPr>
          <w:rFonts w:hint="eastAsia" w:ascii="宋体" w:hAnsi="宋体" w:cs="宋体"/>
          <w:color w:val="auto"/>
          <w:highlight w:val="none"/>
        </w:rPr>
      </w:pPr>
      <w:r>
        <w:rPr>
          <w:rFonts w:hint="eastAsia" w:ascii="宋体" w:hAnsi="宋体" w:cs="宋体"/>
          <w:color w:val="auto"/>
          <w:highlight w:val="none"/>
        </w:rPr>
        <w:t>（相关证件材料的复印件等）</w:t>
      </w:r>
    </w:p>
    <w:p>
      <w:pPr>
        <w:shd w:val="clear" w:color="auto" w:fill="FFFFFF"/>
        <w:spacing w:line="480" w:lineRule="exact"/>
        <w:ind w:firstLine="480" w:firstLineChars="200"/>
        <w:textAlignment w:val="center"/>
        <w:rPr>
          <w:rFonts w:hint="eastAsia"/>
          <w:color w:val="auto"/>
          <w:kern w:val="0"/>
          <w:sz w:val="24"/>
          <w:highlight w:val="none"/>
        </w:rPr>
      </w:pPr>
    </w:p>
    <w:p>
      <w:pPr>
        <w:tabs>
          <w:tab w:val="left" w:pos="3135"/>
          <w:tab w:val="center" w:pos="7392"/>
        </w:tabs>
        <w:spacing w:before="120" w:beforeLines="50" w:line="400" w:lineRule="exact"/>
        <w:rPr>
          <w:rFonts w:hint="eastAsia"/>
          <w:b/>
          <w:color w:val="auto"/>
          <w:sz w:val="32"/>
          <w:szCs w:val="32"/>
          <w:highlight w:val="none"/>
        </w:rPr>
      </w:pPr>
    </w:p>
    <w:p>
      <w:pPr>
        <w:tabs>
          <w:tab w:val="left" w:pos="3135"/>
          <w:tab w:val="center" w:pos="7392"/>
        </w:tabs>
        <w:spacing w:before="120" w:beforeLines="50" w:line="400" w:lineRule="exact"/>
        <w:rPr>
          <w:rFonts w:hint="eastAsia"/>
          <w:b/>
          <w:color w:val="auto"/>
          <w:sz w:val="32"/>
          <w:szCs w:val="32"/>
          <w:highlight w:val="none"/>
        </w:rPr>
      </w:pPr>
    </w:p>
    <w:bookmarkEnd w:id="21"/>
    <w:bookmarkEnd w:id="24"/>
    <w:bookmarkEnd w:id="25"/>
    <w:bookmarkEnd w:id="26"/>
    <w:bookmarkEnd w:id="27"/>
    <w:bookmarkEnd w:id="28"/>
    <w:bookmarkEnd w:id="29"/>
    <w:p>
      <w:pPr>
        <w:rPr>
          <w:rFonts w:hint="eastAsia"/>
          <w:b/>
          <w:color w:val="auto"/>
          <w:sz w:val="24"/>
          <w:szCs w:val="24"/>
          <w:highlight w:val="none"/>
        </w:rPr>
      </w:pPr>
      <w:r>
        <w:rPr>
          <w:rFonts w:hint="eastAsia"/>
          <w:b/>
          <w:color w:val="auto"/>
          <w:sz w:val="24"/>
          <w:szCs w:val="24"/>
          <w:highlight w:val="none"/>
        </w:rPr>
        <w:br w:type="page"/>
      </w:r>
    </w:p>
    <w:p>
      <w:pPr>
        <w:spacing w:line="360" w:lineRule="auto"/>
        <w:jc w:val="left"/>
        <w:rPr>
          <w:rFonts w:hint="eastAsia"/>
          <w:b/>
          <w:color w:val="auto"/>
          <w:sz w:val="24"/>
          <w:szCs w:val="24"/>
          <w:highlight w:val="none"/>
        </w:rPr>
      </w:pPr>
      <w:r>
        <w:rPr>
          <w:rFonts w:hint="eastAsia"/>
          <w:b/>
          <w:color w:val="auto"/>
          <w:sz w:val="24"/>
          <w:szCs w:val="24"/>
          <w:highlight w:val="none"/>
        </w:rPr>
        <w:t>政府采购政策：</w:t>
      </w:r>
    </w:p>
    <w:p>
      <w:pPr>
        <w:spacing w:line="360" w:lineRule="auto"/>
        <w:jc w:val="left"/>
        <w:rPr>
          <w:rFonts w:hint="eastAsia"/>
          <w:b/>
          <w:color w:val="auto"/>
          <w:sz w:val="24"/>
          <w:szCs w:val="24"/>
          <w:highlight w:val="none"/>
        </w:rPr>
      </w:pPr>
      <w:r>
        <w:rPr>
          <w:rFonts w:hint="eastAsia"/>
          <w:b/>
          <w:color w:val="auto"/>
          <w:sz w:val="24"/>
          <w:szCs w:val="24"/>
          <w:highlight w:val="none"/>
        </w:rPr>
        <w:t>所投产品如涉及环保、节能、小微企业、福利性单位等政府采购政策，请将相关表格及材料附在响应文件最后部分，并对所附材料的额真实性负法律责任。</w:t>
      </w:r>
    </w:p>
    <w:p>
      <w:pPr>
        <w:spacing w:line="360" w:lineRule="auto"/>
        <w:jc w:val="left"/>
        <w:rPr>
          <w:rFonts w:hint="eastAsia"/>
          <w:b/>
          <w:color w:val="auto"/>
          <w:sz w:val="24"/>
          <w:szCs w:val="24"/>
          <w:highlight w:val="none"/>
        </w:rPr>
      </w:pPr>
      <w:r>
        <w:rPr>
          <w:rFonts w:hint="eastAsia"/>
          <w:b/>
          <w:color w:val="auto"/>
          <w:sz w:val="24"/>
          <w:szCs w:val="24"/>
          <w:highlight w:val="none"/>
        </w:rPr>
        <w:t>若不涉及，不需要提供以下相应表格和材料。</w:t>
      </w:r>
    </w:p>
    <w:p>
      <w:pPr>
        <w:spacing w:line="360" w:lineRule="auto"/>
        <w:jc w:val="center"/>
        <w:rPr>
          <w:rFonts w:hint="eastAsia"/>
          <w:b/>
          <w:color w:val="auto"/>
          <w:sz w:val="32"/>
          <w:szCs w:val="32"/>
          <w:highlight w:val="none"/>
        </w:rPr>
      </w:pPr>
    </w:p>
    <w:p>
      <w:pPr>
        <w:spacing w:line="360" w:lineRule="auto"/>
        <w:jc w:val="center"/>
        <w:rPr>
          <w:b/>
          <w:color w:val="auto"/>
          <w:sz w:val="32"/>
          <w:szCs w:val="32"/>
          <w:highlight w:val="none"/>
        </w:rPr>
      </w:pPr>
      <w:r>
        <w:rPr>
          <w:rFonts w:hint="eastAsia"/>
          <w:b/>
          <w:color w:val="auto"/>
          <w:sz w:val="32"/>
          <w:szCs w:val="32"/>
          <w:highlight w:val="none"/>
        </w:rPr>
        <w:t>节能产品报价说明表一</w:t>
      </w:r>
    </w:p>
    <w:tbl>
      <w:tblPr>
        <w:tblStyle w:val="73"/>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384"/>
        <w:gridCol w:w="1265"/>
        <w:gridCol w:w="2161"/>
        <w:gridCol w:w="842"/>
        <w:gridCol w:w="1621"/>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9600" w:type="dxa"/>
            <w:gridSpan w:val="7"/>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Times New Roman"/>
                <w:b/>
                <w:color w:val="auto"/>
                <w:sz w:val="24"/>
                <w:szCs w:val="24"/>
                <w:highlight w:val="none"/>
              </w:rPr>
            </w:pPr>
            <w:r>
              <w:rPr>
                <w:rFonts w:hint="eastAsia" w:ascii="宋体" w:hAnsi="宋体" w:cs="Times New Roman"/>
                <w:b/>
                <w:color w:val="auto"/>
                <w:sz w:val="24"/>
                <w:szCs w:val="24"/>
                <w:highlight w:val="none"/>
              </w:rPr>
              <w:t>强制节能产品报价明细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序号</w:t>
            </w:r>
          </w:p>
        </w:tc>
        <w:tc>
          <w:tcPr>
            <w:tcW w:w="13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货物名称</w:t>
            </w:r>
          </w:p>
        </w:tc>
        <w:tc>
          <w:tcPr>
            <w:tcW w:w="12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型号</w:t>
            </w:r>
            <w:r>
              <w:rPr>
                <w:rFonts w:hint="default" w:ascii="宋体" w:hAnsi="宋体" w:cs="Times New Roman"/>
                <w:color w:val="auto"/>
                <w:sz w:val="24"/>
                <w:szCs w:val="24"/>
                <w:highlight w:val="none"/>
              </w:rPr>
              <w:t>/</w:t>
            </w:r>
            <w:r>
              <w:rPr>
                <w:rFonts w:hint="eastAsia" w:ascii="宋体" w:hAnsi="宋体" w:cs="Times New Roman"/>
                <w:color w:val="auto"/>
                <w:sz w:val="24"/>
                <w:szCs w:val="24"/>
                <w:highlight w:val="none"/>
              </w:rPr>
              <w:t>规格</w:t>
            </w:r>
          </w:p>
        </w:tc>
        <w:tc>
          <w:tcPr>
            <w:tcW w:w="21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节字标志认证证书号</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数量</w:t>
            </w:r>
          </w:p>
        </w:tc>
        <w:tc>
          <w:tcPr>
            <w:tcW w:w="16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单价（元）</w:t>
            </w:r>
          </w:p>
        </w:tc>
        <w:tc>
          <w:tcPr>
            <w:tcW w:w="16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1</w:t>
            </w:r>
          </w:p>
        </w:tc>
        <w:tc>
          <w:tcPr>
            <w:tcW w:w="13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6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6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2</w:t>
            </w:r>
          </w:p>
        </w:tc>
        <w:tc>
          <w:tcPr>
            <w:tcW w:w="13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6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6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w:t>
            </w:r>
          </w:p>
        </w:tc>
        <w:tc>
          <w:tcPr>
            <w:tcW w:w="13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6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6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58"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强制节能产品总价（元）</w:t>
            </w:r>
          </w:p>
        </w:tc>
        <w:tc>
          <w:tcPr>
            <w:tcW w:w="4142"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附注：</w:t>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1、强制节能产品是指《节能产品政府采购品目清单》中标注的强制采购的节能产品，具体为品目清单中有“★”标注的产品；</w:t>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2、投标文件须附所报产品的有效期内的“节能产品认证证书”原件的彩色扫描件，以及所报产品在《节能产品政府采购品目清单》所在行截图扫描件，否则评委有权利不予认定；</w:t>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3、本表只填写强制节能产品。强制节能产品和项目要求不一致如数量、规格不同或多填入其它产品，评委均有权利不予认定；</w:t>
      </w:r>
    </w:p>
    <w:p>
      <w:pPr>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4、采购中涉及强制节能产品时必须填写本表，否则评委有权利不予认定。</w:t>
      </w:r>
    </w:p>
    <w:p>
      <w:pPr>
        <w:rPr>
          <w:rFonts w:hint="eastAsia"/>
          <w:b/>
          <w:color w:val="auto"/>
          <w:sz w:val="32"/>
          <w:szCs w:val="32"/>
          <w:highlight w:val="none"/>
        </w:rPr>
      </w:pPr>
      <w:r>
        <w:rPr>
          <w:rFonts w:hint="eastAsia"/>
          <w:b/>
          <w:color w:val="auto"/>
          <w:sz w:val="32"/>
          <w:szCs w:val="32"/>
          <w:highlight w:val="none"/>
        </w:rPr>
        <w:br w:type="page"/>
      </w:r>
    </w:p>
    <w:p>
      <w:pPr>
        <w:spacing w:line="360" w:lineRule="auto"/>
        <w:jc w:val="center"/>
        <w:rPr>
          <w:color w:val="auto"/>
          <w:sz w:val="32"/>
          <w:szCs w:val="32"/>
          <w:highlight w:val="none"/>
        </w:rPr>
      </w:pPr>
      <w:r>
        <w:rPr>
          <w:rFonts w:hint="eastAsia"/>
          <w:b/>
          <w:color w:val="auto"/>
          <w:sz w:val="32"/>
          <w:szCs w:val="32"/>
          <w:highlight w:val="none"/>
        </w:rPr>
        <w:t>节能产品报价说明表二</w:t>
      </w:r>
    </w:p>
    <w:tbl>
      <w:tblPr>
        <w:tblStyle w:val="73"/>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384"/>
        <w:gridCol w:w="1265"/>
        <w:gridCol w:w="2161"/>
        <w:gridCol w:w="842"/>
        <w:gridCol w:w="1621"/>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600" w:type="dxa"/>
            <w:gridSpan w:val="7"/>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b/>
                <w:color w:val="auto"/>
                <w:sz w:val="24"/>
                <w:szCs w:val="24"/>
                <w:highlight w:val="none"/>
              </w:rPr>
            </w:pPr>
            <w:r>
              <w:rPr>
                <w:rFonts w:hint="eastAsia" w:ascii="宋体" w:hAnsi="宋体" w:cs="Times New Roman"/>
                <w:b/>
                <w:color w:val="auto"/>
                <w:sz w:val="24"/>
                <w:szCs w:val="24"/>
                <w:highlight w:val="none"/>
              </w:rPr>
              <w:t>优先采购的节能产品报价明细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序号</w:t>
            </w:r>
          </w:p>
        </w:tc>
        <w:tc>
          <w:tcPr>
            <w:tcW w:w="13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货物名称</w:t>
            </w:r>
          </w:p>
        </w:tc>
        <w:tc>
          <w:tcPr>
            <w:tcW w:w="12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型号</w:t>
            </w:r>
            <w:r>
              <w:rPr>
                <w:rFonts w:hint="default" w:ascii="宋体" w:hAnsi="宋体" w:cs="Times New Roman"/>
                <w:color w:val="auto"/>
                <w:sz w:val="24"/>
                <w:szCs w:val="24"/>
                <w:highlight w:val="none"/>
              </w:rPr>
              <w:t>/</w:t>
            </w:r>
            <w:r>
              <w:rPr>
                <w:rFonts w:hint="eastAsia" w:ascii="宋体" w:hAnsi="宋体" w:cs="Times New Roman"/>
                <w:color w:val="auto"/>
                <w:sz w:val="24"/>
                <w:szCs w:val="24"/>
                <w:highlight w:val="none"/>
              </w:rPr>
              <w:t>规格</w:t>
            </w:r>
          </w:p>
        </w:tc>
        <w:tc>
          <w:tcPr>
            <w:tcW w:w="21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节字标志认证证书号</w:t>
            </w: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数量</w:t>
            </w:r>
          </w:p>
        </w:tc>
        <w:tc>
          <w:tcPr>
            <w:tcW w:w="16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单价（元）</w:t>
            </w:r>
          </w:p>
        </w:tc>
        <w:tc>
          <w:tcPr>
            <w:tcW w:w="16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1</w:t>
            </w:r>
          </w:p>
        </w:tc>
        <w:tc>
          <w:tcPr>
            <w:tcW w:w="13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6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6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default" w:ascii="宋体" w:hAnsi="宋体" w:cs="Times New Roman"/>
                <w:color w:val="auto"/>
                <w:sz w:val="24"/>
                <w:szCs w:val="24"/>
                <w:highlight w:val="none"/>
              </w:rPr>
              <w:t>2</w:t>
            </w:r>
          </w:p>
        </w:tc>
        <w:tc>
          <w:tcPr>
            <w:tcW w:w="13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6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6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3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8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6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6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5458"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优先采购的节能产品总价（元）</w:t>
            </w:r>
          </w:p>
        </w:tc>
        <w:tc>
          <w:tcPr>
            <w:tcW w:w="4142"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r>
    </w:tbl>
    <w:p>
      <w:pPr>
        <w:pStyle w:val="90"/>
        <w:ind w:firstLineChars="175"/>
        <w:rPr>
          <w:rFonts w:hint="eastAsia"/>
          <w:color w:val="auto"/>
          <w:sz w:val="24"/>
          <w:highlight w:val="none"/>
        </w:rPr>
      </w:pPr>
      <w:r>
        <w:rPr>
          <w:rFonts w:hint="eastAsia"/>
          <w:color w:val="auto"/>
          <w:sz w:val="24"/>
          <w:highlight w:val="none"/>
        </w:rPr>
        <w:t>附注：</w:t>
      </w:r>
    </w:p>
    <w:p>
      <w:pPr>
        <w:pStyle w:val="90"/>
        <w:ind w:firstLine="480"/>
        <w:rPr>
          <w:rFonts w:hint="eastAsia"/>
          <w:color w:val="auto"/>
          <w:sz w:val="24"/>
          <w:highlight w:val="none"/>
        </w:rPr>
      </w:pPr>
      <w:r>
        <w:rPr>
          <w:rFonts w:hint="eastAsia"/>
          <w:color w:val="auto"/>
          <w:sz w:val="24"/>
          <w:highlight w:val="none"/>
        </w:rPr>
        <w:t>1、优先采购的节能产品是指《节能产品政府采购品目清单》中标注的强制采购的节能产品以外的节能产品；</w:t>
      </w:r>
    </w:p>
    <w:p>
      <w:pPr>
        <w:pStyle w:val="90"/>
        <w:ind w:firstLine="480"/>
        <w:rPr>
          <w:rFonts w:hint="eastAsia"/>
          <w:color w:val="auto"/>
          <w:sz w:val="24"/>
          <w:highlight w:val="none"/>
        </w:rPr>
      </w:pPr>
      <w:r>
        <w:rPr>
          <w:rFonts w:hint="eastAsia"/>
          <w:color w:val="auto"/>
          <w:sz w:val="24"/>
          <w:highlight w:val="none"/>
        </w:rPr>
        <w:t>2、投标文件须附所报产品的有效期内的“节能产品认证证书”原件的彩色扫描件，以及所报产品在《节能产品政府采购品目清单》所在行截图的扫描件，否则评委有权利不予认定；</w:t>
      </w:r>
    </w:p>
    <w:p>
      <w:pPr>
        <w:pStyle w:val="90"/>
        <w:ind w:firstLine="480"/>
        <w:rPr>
          <w:rFonts w:hint="eastAsia"/>
          <w:color w:val="auto"/>
          <w:sz w:val="24"/>
          <w:highlight w:val="none"/>
        </w:rPr>
      </w:pPr>
      <w:r>
        <w:rPr>
          <w:rFonts w:hint="eastAsia"/>
          <w:color w:val="auto"/>
          <w:sz w:val="24"/>
          <w:highlight w:val="none"/>
        </w:rPr>
        <w:t>3、优先采购的节能产品的认定依据《节能产品政府采购品目清单》，不在《节能产品政府采购品目清单》中标注的非强制采购的节能产品范围的，不享受政府采购价格折扣或加分；</w:t>
      </w:r>
    </w:p>
    <w:p>
      <w:pPr>
        <w:pStyle w:val="90"/>
        <w:ind w:firstLine="480"/>
        <w:rPr>
          <w:rFonts w:hint="eastAsia"/>
          <w:color w:val="auto"/>
          <w:sz w:val="24"/>
          <w:highlight w:val="none"/>
        </w:rPr>
      </w:pPr>
      <w:r>
        <w:rPr>
          <w:rFonts w:hint="eastAsia"/>
          <w:color w:val="auto"/>
          <w:sz w:val="24"/>
          <w:highlight w:val="none"/>
        </w:rPr>
        <w:t>4、采购中涉及优先采购的节能产品时必须填写本表，否则评委有权利不予认定；</w:t>
      </w:r>
    </w:p>
    <w:p>
      <w:pPr>
        <w:pStyle w:val="90"/>
        <w:ind w:firstLine="480"/>
        <w:rPr>
          <w:rFonts w:hint="eastAsia"/>
          <w:color w:val="auto"/>
          <w:sz w:val="24"/>
          <w:highlight w:val="none"/>
        </w:rPr>
      </w:pPr>
      <w:r>
        <w:rPr>
          <w:rFonts w:hint="eastAsia"/>
          <w:color w:val="auto"/>
          <w:sz w:val="24"/>
          <w:highlight w:val="none"/>
        </w:rPr>
        <w:t>5、本表内必须全部为优先采购的节能产品，和其它产品混填本表，将不享受节能产品评审价格折扣或加分。</w:t>
      </w:r>
    </w:p>
    <w:p>
      <w:pPr>
        <w:pStyle w:val="90"/>
        <w:rPr>
          <w:rFonts w:hint="eastAsia"/>
          <w:color w:val="auto"/>
          <w:highlight w:val="none"/>
        </w:rPr>
      </w:pPr>
    </w:p>
    <w:p>
      <w:pPr>
        <w:pStyle w:val="90"/>
        <w:rPr>
          <w:rFonts w:hint="eastAsia"/>
          <w:color w:val="auto"/>
          <w:highlight w:val="none"/>
        </w:rPr>
      </w:pPr>
    </w:p>
    <w:p>
      <w:pPr>
        <w:pStyle w:val="90"/>
        <w:rPr>
          <w:rFonts w:hint="eastAsia"/>
          <w:color w:val="auto"/>
          <w:highlight w:val="none"/>
        </w:rPr>
      </w:pPr>
    </w:p>
    <w:p>
      <w:pPr>
        <w:rPr>
          <w:rFonts w:hint="eastAsia"/>
          <w:color w:val="auto"/>
          <w:highlight w:val="none"/>
        </w:rPr>
      </w:pPr>
    </w:p>
    <w:p>
      <w:pPr>
        <w:rPr>
          <w:rFonts w:hint="eastAsia"/>
          <w:b/>
          <w:color w:val="auto"/>
          <w:sz w:val="32"/>
          <w:szCs w:val="32"/>
          <w:highlight w:val="none"/>
        </w:rPr>
      </w:pPr>
      <w:r>
        <w:rPr>
          <w:rFonts w:hint="eastAsia"/>
          <w:b/>
          <w:color w:val="auto"/>
          <w:sz w:val="32"/>
          <w:szCs w:val="32"/>
          <w:highlight w:val="none"/>
        </w:rPr>
        <w:br w:type="page"/>
      </w:r>
    </w:p>
    <w:p>
      <w:pPr>
        <w:spacing w:line="360" w:lineRule="auto"/>
        <w:jc w:val="center"/>
        <w:rPr>
          <w:b/>
          <w:color w:val="auto"/>
          <w:sz w:val="32"/>
          <w:szCs w:val="32"/>
          <w:highlight w:val="none"/>
        </w:rPr>
      </w:pPr>
      <w:r>
        <w:rPr>
          <w:rFonts w:hint="eastAsia"/>
          <w:b/>
          <w:color w:val="auto"/>
          <w:sz w:val="32"/>
          <w:szCs w:val="32"/>
          <w:highlight w:val="none"/>
        </w:rPr>
        <w:t>环境标志产品报价说明表</w:t>
      </w:r>
    </w:p>
    <w:tbl>
      <w:tblPr>
        <w:tblStyle w:val="73"/>
        <w:tblW w:w="9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680"/>
        <w:gridCol w:w="1470"/>
        <w:gridCol w:w="2445"/>
        <w:gridCol w:w="972"/>
        <w:gridCol w:w="1080"/>
        <w:gridCol w:w="1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524"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序号</w:t>
            </w:r>
          </w:p>
        </w:tc>
        <w:tc>
          <w:tcPr>
            <w:tcW w:w="1680"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货物名称</w:t>
            </w:r>
          </w:p>
        </w:tc>
        <w:tc>
          <w:tcPr>
            <w:tcW w:w="1470"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型号/规格</w:t>
            </w:r>
          </w:p>
        </w:tc>
        <w:tc>
          <w:tcPr>
            <w:tcW w:w="2445"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中国环境标志</w:t>
            </w:r>
          </w:p>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认证证书编号</w:t>
            </w:r>
          </w:p>
        </w:tc>
        <w:tc>
          <w:tcPr>
            <w:tcW w:w="972"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数量</w:t>
            </w:r>
          </w:p>
        </w:tc>
        <w:tc>
          <w:tcPr>
            <w:tcW w:w="1080"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单价</w:t>
            </w:r>
          </w:p>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（元）</w:t>
            </w:r>
          </w:p>
        </w:tc>
        <w:tc>
          <w:tcPr>
            <w:tcW w:w="1159"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合价</w:t>
            </w:r>
          </w:p>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52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default" w:ascii="宋体" w:hAnsi="宋体" w:cs="Times New Roman"/>
                <w:color w:val="auto"/>
                <w:sz w:val="24"/>
                <w:szCs w:val="24"/>
                <w:highlight w:val="none"/>
              </w:rPr>
            </w:pPr>
          </w:p>
        </w:tc>
        <w:tc>
          <w:tcPr>
            <w:tcW w:w="168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default" w:ascii="宋体" w:hAnsi="宋体" w:cs="Times New Roman"/>
                <w:color w:val="auto"/>
                <w:sz w:val="24"/>
                <w:szCs w:val="24"/>
                <w:highlight w:val="none"/>
              </w:rPr>
            </w:pPr>
          </w:p>
        </w:tc>
        <w:tc>
          <w:tcPr>
            <w:tcW w:w="147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default" w:ascii="宋体" w:hAnsi="宋体" w:cs="Times New Roman"/>
                <w:color w:val="auto"/>
                <w:sz w:val="24"/>
                <w:szCs w:val="24"/>
                <w:highlight w:val="none"/>
              </w:rPr>
            </w:pPr>
          </w:p>
        </w:tc>
        <w:tc>
          <w:tcPr>
            <w:tcW w:w="2445"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default" w:ascii="宋体" w:hAnsi="宋体" w:cs="Times New Roman"/>
                <w:color w:val="auto"/>
                <w:sz w:val="24"/>
                <w:szCs w:val="24"/>
                <w:highlight w:val="none"/>
              </w:rPr>
            </w:pPr>
          </w:p>
        </w:tc>
        <w:tc>
          <w:tcPr>
            <w:tcW w:w="972"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default" w:ascii="宋体" w:hAnsi="宋体" w:cs="Times New Roman"/>
                <w:color w:val="auto"/>
                <w:sz w:val="24"/>
                <w:szCs w:val="24"/>
                <w:highlight w:val="none"/>
              </w:rPr>
            </w:pPr>
          </w:p>
        </w:tc>
        <w:tc>
          <w:tcPr>
            <w:tcW w:w="1080"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default" w:ascii="宋体" w:hAnsi="宋体" w:cs="Times New Roman"/>
                <w:color w:val="auto"/>
                <w:sz w:val="24"/>
                <w:szCs w:val="24"/>
                <w:highlight w:val="none"/>
              </w:rPr>
            </w:pPr>
          </w:p>
        </w:tc>
        <w:tc>
          <w:tcPr>
            <w:tcW w:w="1159"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default" w:ascii="宋体" w:hAnsi="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1</w:t>
            </w:r>
          </w:p>
        </w:tc>
        <w:tc>
          <w:tcPr>
            <w:tcW w:w="16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24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1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2</w:t>
            </w:r>
          </w:p>
        </w:tc>
        <w:tc>
          <w:tcPr>
            <w:tcW w:w="16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24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1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6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47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24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c>
          <w:tcPr>
            <w:tcW w:w="11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204"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总价（元）</w:t>
            </w:r>
          </w:p>
        </w:tc>
        <w:tc>
          <w:tcPr>
            <w:tcW w:w="7126"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360" w:lineRule="auto"/>
              <w:ind w:left="0" w:right="0"/>
              <w:jc w:val="center"/>
              <w:rPr>
                <w:rFonts w:hint="default" w:ascii="宋体" w:hAnsi="宋体" w:cs="Times New Roman"/>
                <w:color w:val="auto"/>
                <w:sz w:val="24"/>
                <w:szCs w:val="24"/>
                <w:highlight w:val="none"/>
              </w:rPr>
            </w:pPr>
          </w:p>
        </w:tc>
      </w:tr>
    </w:tbl>
    <w:p>
      <w:pPr>
        <w:pStyle w:val="90"/>
        <w:ind w:firstLine="480"/>
        <w:rPr>
          <w:rFonts w:hint="eastAsia"/>
          <w:color w:val="auto"/>
          <w:sz w:val="24"/>
          <w:highlight w:val="none"/>
        </w:rPr>
      </w:pPr>
      <w:r>
        <w:rPr>
          <w:rFonts w:hint="eastAsia"/>
          <w:color w:val="auto"/>
          <w:sz w:val="24"/>
          <w:highlight w:val="none"/>
        </w:rPr>
        <w:t>附注：</w:t>
      </w:r>
    </w:p>
    <w:p>
      <w:pPr>
        <w:pStyle w:val="90"/>
        <w:ind w:firstLine="480"/>
        <w:rPr>
          <w:rFonts w:hint="eastAsia"/>
          <w:color w:val="auto"/>
          <w:sz w:val="24"/>
          <w:highlight w:val="none"/>
        </w:rPr>
      </w:pPr>
      <w:r>
        <w:rPr>
          <w:rFonts w:hint="eastAsia"/>
          <w:color w:val="auto"/>
          <w:sz w:val="24"/>
          <w:highlight w:val="none"/>
        </w:rPr>
        <w:t>1、环境标志产品是指《环境标志产品政府采购品目清单》内的产品；</w:t>
      </w:r>
    </w:p>
    <w:p>
      <w:pPr>
        <w:pStyle w:val="90"/>
        <w:ind w:firstLine="480"/>
        <w:rPr>
          <w:rFonts w:hint="eastAsia"/>
          <w:color w:val="auto"/>
          <w:sz w:val="24"/>
          <w:highlight w:val="none"/>
        </w:rPr>
      </w:pPr>
      <w:r>
        <w:rPr>
          <w:rFonts w:hint="eastAsia"/>
          <w:color w:val="auto"/>
          <w:sz w:val="24"/>
          <w:highlight w:val="none"/>
        </w:rPr>
        <w:t>2、投标文件须附所报产品的有效期内的“中国环境标志产品认证证书”原件的彩色扫描件，以及所报产品在《环境标志产品政府采购品目清单》所在行截图的扫描件， 否则评委有权利不予认定；</w:t>
      </w:r>
    </w:p>
    <w:p>
      <w:pPr>
        <w:pStyle w:val="90"/>
        <w:ind w:firstLine="480"/>
        <w:rPr>
          <w:rFonts w:hint="eastAsia"/>
          <w:color w:val="auto"/>
          <w:sz w:val="24"/>
          <w:highlight w:val="none"/>
        </w:rPr>
      </w:pPr>
      <w:r>
        <w:rPr>
          <w:rFonts w:hint="eastAsia"/>
          <w:color w:val="auto"/>
          <w:sz w:val="24"/>
          <w:highlight w:val="none"/>
        </w:rPr>
        <w:t>3、环境标志产品的认定依据《环境标志产品政府采购品目清单》，不在《环境标志产品政府采购品目清单》内的产品不享受政府采购价格折扣或加分；</w:t>
      </w:r>
    </w:p>
    <w:p>
      <w:pPr>
        <w:pStyle w:val="90"/>
        <w:ind w:firstLine="480"/>
        <w:rPr>
          <w:rFonts w:hint="eastAsia"/>
          <w:color w:val="auto"/>
          <w:sz w:val="24"/>
          <w:highlight w:val="none"/>
        </w:rPr>
      </w:pPr>
      <w:r>
        <w:rPr>
          <w:rFonts w:hint="eastAsia"/>
          <w:color w:val="auto"/>
          <w:sz w:val="24"/>
          <w:highlight w:val="none"/>
        </w:rPr>
        <w:t>4、采购中涉及环境标志产品时必须填写本表，否则评委有权利不予认定；</w:t>
      </w:r>
    </w:p>
    <w:p>
      <w:pPr>
        <w:pStyle w:val="90"/>
        <w:ind w:firstLine="480"/>
        <w:rPr>
          <w:rFonts w:hint="eastAsia"/>
          <w:color w:val="auto"/>
          <w:sz w:val="24"/>
          <w:highlight w:val="none"/>
        </w:rPr>
      </w:pPr>
      <w:r>
        <w:rPr>
          <w:rFonts w:hint="eastAsia"/>
          <w:color w:val="auto"/>
          <w:sz w:val="24"/>
          <w:highlight w:val="none"/>
        </w:rPr>
        <w:t>5、本表内必须全部为优先采购的环境标志产品，否则将不享受环境标志产品评审价格折扣或加分。</w:t>
      </w:r>
    </w:p>
    <w:p>
      <w:pPr>
        <w:spacing w:line="360" w:lineRule="auto"/>
        <w:rPr>
          <w:rFonts w:hint="eastAsia"/>
          <w:b/>
          <w:color w:val="auto"/>
          <w:sz w:val="30"/>
          <w:szCs w:val="30"/>
          <w:highlight w:val="none"/>
        </w:rPr>
      </w:pPr>
    </w:p>
    <w:p>
      <w:pPr>
        <w:rPr>
          <w:rFonts w:hint="eastAsia"/>
          <w:b/>
          <w:bCs/>
          <w:color w:val="auto"/>
          <w:highlight w:val="none"/>
        </w:rPr>
      </w:pPr>
    </w:p>
    <w:p>
      <w:pPr>
        <w:rPr>
          <w:rFonts w:hint="eastAsia"/>
          <w:b/>
          <w:bCs/>
          <w:color w:val="auto"/>
          <w:highlight w:val="none"/>
        </w:rPr>
      </w:pPr>
    </w:p>
    <w:p>
      <w:pPr>
        <w:rPr>
          <w:rFonts w:hint="eastAsia"/>
          <w:b/>
          <w:bCs/>
          <w:color w:val="auto"/>
          <w:highlight w:val="none"/>
        </w:rPr>
      </w:pPr>
    </w:p>
    <w:p>
      <w:pPr>
        <w:rPr>
          <w:rFonts w:hint="eastAsia"/>
          <w:b/>
          <w:bCs/>
          <w:color w:val="auto"/>
          <w:highlight w:val="none"/>
        </w:rPr>
      </w:pPr>
    </w:p>
    <w:p>
      <w:pPr>
        <w:rPr>
          <w:rFonts w:hint="eastAsia"/>
          <w:b/>
          <w:bCs/>
          <w:color w:val="auto"/>
          <w:highlight w:val="none"/>
        </w:rPr>
      </w:pPr>
    </w:p>
    <w:p>
      <w:pPr>
        <w:rPr>
          <w:rFonts w:hAnsi="宋体"/>
          <w:b/>
          <w:color w:val="auto"/>
          <w:sz w:val="30"/>
          <w:szCs w:val="30"/>
          <w:highlight w:val="none"/>
        </w:rPr>
      </w:pPr>
      <w:r>
        <w:rPr>
          <w:rFonts w:hAnsi="宋体"/>
          <w:b/>
          <w:color w:val="auto"/>
          <w:sz w:val="30"/>
          <w:szCs w:val="30"/>
          <w:highlight w:val="none"/>
        </w:rPr>
        <w:br w:type="page"/>
      </w:r>
    </w:p>
    <w:p>
      <w:pPr>
        <w:spacing w:line="440" w:lineRule="exact"/>
        <w:jc w:val="center"/>
        <w:rPr>
          <w:rFonts w:hint="eastAsia" w:hAnsi="宋体"/>
          <w:b/>
          <w:color w:val="auto"/>
          <w:sz w:val="30"/>
          <w:szCs w:val="30"/>
          <w:highlight w:val="none"/>
        </w:rPr>
      </w:pPr>
      <w:r>
        <w:rPr>
          <w:rFonts w:hAnsi="宋体"/>
          <w:b/>
          <w:color w:val="auto"/>
          <w:sz w:val="30"/>
          <w:szCs w:val="30"/>
          <w:highlight w:val="none"/>
        </w:rPr>
        <w:t>监狱企业、小型和微型企业</w:t>
      </w:r>
      <w:r>
        <w:rPr>
          <w:rFonts w:hint="eastAsia" w:hAnsi="宋体"/>
          <w:b/>
          <w:color w:val="auto"/>
          <w:sz w:val="30"/>
          <w:szCs w:val="30"/>
          <w:highlight w:val="none"/>
        </w:rPr>
        <w:t>、残疾人福利性单位</w:t>
      </w:r>
    </w:p>
    <w:p>
      <w:pPr>
        <w:spacing w:line="440" w:lineRule="exact"/>
        <w:jc w:val="center"/>
        <w:rPr>
          <w:rFonts w:hAnsi="宋体"/>
          <w:b/>
          <w:color w:val="auto"/>
          <w:sz w:val="30"/>
          <w:szCs w:val="30"/>
          <w:highlight w:val="none"/>
        </w:rPr>
      </w:pPr>
    </w:p>
    <w:p>
      <w:pPr>
        <w:spacing w:line="440" w:lineRule="exact"/>
        <w:jc w:val="center"/>
        <w:rPr>
          <w:rFonts w:hint="eastAsia" w:hAnsi="宋体"/>
          <w:b/>
          <w:color w:val="auto"/>
          <w:sz w:val="30"/>
          <w:szCs w:val="30"/>
          <w:highlight w:val="none"/>
        </w:rPr>
      </w:pPr>
      <w:r>
        <w:rPr>
          <w:rFonts w:hAnsi="宋体"/>
          <w:b/>
          <w:color w:val="auto"/>
          <w:sz w:val="30"/>
          <w:szCs w:val="30"/>
          <w:highlight w:val="none"/>
        </w:rPr>
        <w:t>报价说明表</w:t>
      </w:r>
    </w:p>
    <w:p>
      <w:pPr>
        <w:spacing w:line="500" w:lineRule="exact"/>
        <w:jc w:val="left"/>
        <w:rPr>
          <w:b/>
          <w:color w:val="auto"/>
          <w:sz w:val="30"/>
          <w:szCs w:val="30"/>
          <w:highlight w:val="none"/>
        </w:rPr>
      </w:pPr>
      <w:r>
        <w:rPr>
          <w:rFonts w:hint="eastAsia"/>
          <w:color w:val="auto"/>
          <w:sz w:val="24"/>
          <w:highlight w:val="none"/>
        </w:rPr>
        <w:t>供应商名称</w:t>
      </w:r>
      <w:r>
        <w:rPr>
          <w:rFonts w:hint="eastAsia" w:ascii="宋体" w:hAnsi="宋体"/>
          <w:color w:val="auto"/>
          <w:sz w:val="24"/>
          <w:highlight w:val="none"/>
        </w:rPr>
        <w:t>（签章或盖章）</w:t>
      </w:r>
      <w:r>
        <w:rPr>
          <w:rFonts w:hint="eastAsia"/>
          <w:color w:val="auto"/>
          <w:sz w:val="24"/>
          <w:highlight w:val="none"/>
        </w:rPr>
        <w:t>：</w:t>
      </w:r>
      <w:r>
        <w:rPr>
          <w:color w:val="auto"/>
          <w:sz w:val="24"/>
          <w:highlight w:val="none"/>
          <w:u w:val="single"/>
        </w:rPr>
        <w:t xml:space="preserve">                   </w:t>
      </w:r>
      <w:r>
        <w:rPr>
          <w:color w:val="auto"/>
          <w:sz w:val="24"/>
          <w:highlight w:val="none"/>
        </w:rPr>
        <w:t xml:space="preserve">           </w:t>
      </w:r>
      <w:r>
        <w:rPr>
          <w:rFonts w:hint="eastAsia"/>
          <w:color w:val="auto"/>
          <w:sz w:val="24"/>
          <w:highlight w:val="none"/>
        </w:rPr>
        <w:t>项目编号：</w:t>
      </w:r>
    </w:p>
    <w:tbl>
      <w:tblPr>
        <w:tblStyle w:val="73"/>
        <w:tblW w:w="9560" w:type="dxa"/>
        <w:tblInd w:w="-5" w:type="dxa"/>
        <w:tblLayout w:type="fixed"/>
        <w:tblCellMar>
          <w:top w:w="0" w:type="dxa"/>
          <w:left w:w="0" w:type="dxa"/>
          <w:bottom w:w="0" w:type="dxa"/>
          <w:right w:w="0" w:type="dxa"/>
        </w:tblCellMar>
      </w:tblPr>
      <w:tblGrid>
        <w:gridCol w:w="469"/>
        <w:gridCol w:w="1039"/>
        <w:gridCol w:w="1009"/>
        <w:gridCol w:w="771"/>
        <w:gridCol w:w="865"/>
        <w:gridCol w:w="865"/>
        <w:gridCol w:w="862"/>
        <w:gridCol w:w="1011"/>
        <w:gridCol w:w="865"/>
        <w:gridCol w:w="865"/>
        <w:gridCol w:w="944"/>
      </w:tblGrid>
      <w:tr>
        <w:tblPrEx>
          <w:tblCellMar>
            <w:top w:w="0" w:type="dxa"/>
            <w:left w:w="0" w:type="dxa"/>
            <w:bottom w:w="0" w:type="dxa"/>
            <w:right w:w="0" w:type="dxa"/>
          </w:tblCellMar>
        </w:tblPrEx>
        <w:trPr>
          <w:trHeight w:val="1322" w:hRule="atLeast"/>
        </w:trPr>
        <w:tc>
          <w:tcPr>
            <w:tcW w:w="464" w:type="dxa"/>
            <w:vMerge w:val="restart"/>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b/>
                <w:bCs/>
                <w:color w:val="auto"/>
                <w:sz w:val="24"/>
                <w:szCs w:val="24"/>
                <w:highlight w:val="none"/>
              </w:rPr>
            </w:pPr>
          </w:p>
          <w:p>
            <w:pPr>
              <w:pStyle w:val="714"/>
              <w:keepNext w:val="0"/>
              <w:keepLines w:val="0"/>
              <w:suppressLineNumbers w:val="0"/>
              <w:kinsoku w:val="0"/>
              <w:overflowPunct w:val="0"/>
              <w:spacing w:before="7" w:beforeAutospacing="0" w:after="0" w:afterAutospacing="0"/>
              <w:ind w:left="0" w:right="0"/>
              <w:rPr>
                <w:rFonts w:hint="default" w:cs="Times New Roman"/>
                <w:b/>
                <w:bCs/>
                <w:color w:val="auto"/>
                <w:sz w:val="24"/>
                <w:szCs w:val="24"/>
                <w:highlight w:val="none"/>
              </w:rPr>
            </w:pPr>
          </w:p>
          <w:p>
            <w:pPr>
              <w:pStyle w:val="714"/>
              <w:keepNext w:val="0"/>
              <w:keepLines w:val="0"/>
              <w:suppressLineNumbers w:val="0"/>
              <w:kinsoku w:val="0"/>
              <w:overflowPunct w:val="0"/>
              <w:spacing w:before="0" w:beforeAutospacing="0" w:after="0" w:afterAutospacing="0"/>
              <w:ind w:left="102" w:right="100"/>
              <w:rPr>
                <w:rFonts w:hint="default" w:cs="Times New Roman"/>
                <w:color w:val="auto"/>
                <w:sz w:val="24"/>
                <w:szCs w:val="24"/>
                <w:highlight w:val="none"/>
              </w:rPr>
            </w:pPr>
            <w:r>
              <w:rPr>
                <w:rFonts w:hint="eastAsia" w:cs="Times New Roman"/>
                <w:color w:val="auto"/>
                <w:sz w:val="24"/>
                <w:szCs w:val="24"/>
                <w:highlight w:val="none"/>
              </w:rPr>
              <w:t>序号</w:t>
            </w:r>
          </w:p>
        </w:tc>
        <w:tc>
          <w:tcPr>
            <w:tcW w:w="1039" w:type="dxa"/>
            <w:vMerge w:val="restart"/>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11" w:beforeAutospacing="0" w:after="0" w:afterAutospacing="0"/>
              <w:ind w:left="0" w:right="0"/>
              <w:rPr>
                <w:rFonts w:hint="default" w:cs="Times New Roman"/>
                <w:b/>
                <w:bCs/>
                <w:color w:val="auto"/>
                <w:sz w:val="24"/>
                <w:szCs w:val="24"/>
                <w:highlight w:val="none"/>
              </w:rPr>
            </w:pPr>
          </w:p>
          <w:p>
            <w:pPr>
              <w:pStyle w:val="714"/>
              <w:keepNext w:val="0"/>
              <w:keepLines w:val="0"/>
              <w:suppressLineNumbers w:val="0"/>
              <w:kinsoku w:val="0"/>
              <w:overflowPunct w:val="0"/>
              <w:spacing w:before="1" w:beforeAutospacing="0" w:after="0" w:afterAutospacing="0" w:line="237" w:lineRule="auto"/>
              <w:ind w:left="100" w:right="38"/>
              <w:rPr>
                <w:rFonts w:hint="default" w:cs="Times New Roman"/>
                <w:color w:val="auto"/>
                <w:sz w:val="24"/>
                <w:szCs w:val="24"/>
                <w:highlight w:val="none"/>
              </w:rPr>
            </w:pPr>
            <w:r>
              <w:rPr>
                <w:rFonts w:hint="eastAsia" w:cs="Times New Roman"/>
                <w:color w:val="auto"/>
                <w:spacing w:val="-58"/>
                <w:sz w:val="24"/>
                <w:szCs w:val="24"/>
                <w:highlight w:val="none"/>
              </w:rPr>
              <w:t>货物</w:t>
            </w:r>
            <w:r>
              <w:rPr>
                <w:rFonts w:hint="eastAsia" w:cs="Times New Roman"/>
                <w:color w:val="auto"/>
                <w:sz w:val="24"/>
                <w:szCs w:val="24"/>
                <w:highlight w:val="none"/>
              </w:rPr>
              <w:t>（服</w:t>
            </w:r>
            <w:r>
              <w:rPr>
                <w:rFonts w:hint="eastAsia" w:cs="Times New Roman"/>
                <w:color w:val="auto"/>
                <w:spacing w:val="40"/>
                <w:sz w:val="24"/>
                <w:szCs w:val="24"/>
                <w:highlight w:val="none"/>
              </w:rPr>
              <w:t>务、工程</w:t>
            </w:r>
            <w:r>
              <w:rPr>
                <w:rFonts w:hint="eastAsia" w:cs="Times New Roman"/>
                <w:color w:val="auto"/>
                <w:spacing w:val="-116"/>
                <w:sz w:val="24"/>
                <w:szCs w:val="24"/>
                <w:highlight w:val="none"/>
              </w:rPr>
              <w:t>）</w:t>
            </w:r>
            <w:r>
              <w:rPr>
                <w:rFonts w:hint="eastAsia" w:cs="Times New Roman"/>
                <w:color w:val="auto"/>
                <w:sz w:val="24"/>
                <w:szCs w:val="24"/>
                <w:highlight w:val="none"/>
              </w:rPr>
              <w:t>名称</w:t>
            </w:r>
          </w:p>
        </w:tc>
        <w:tc>
          <w:tcPr>
            <w:tcW w:w="1009" w:type="dxa"/>
            <w:vMerge w:val="restart"/>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line="282" w:lineRule="exact"/>
              <w:ind w:left="102" w:right="0"/>
              <w:rPr>
                <w:rFonts w:hint="default" w:cs="Times New Roman"/>
                <w:color w:val="auto"/>
                <w:sz w:val="24"/>
                <w:szCs w:val="24"/>
                <w:highlight w:val="none"/>
              </w:rPr>
            </w:pPr>
            <w:r>
              <w:rPr>
                <w:rFonts w:hint="eastAsia" w:cs="Times New Roman"/>
                <w:color w:val="auto"/>
                <w:sz w:val="24"/>
                <w:szCs w:val="24"/>
                <w:highlight w:val="none"/>
              </w:rPr>
              <w:t>型号</w:t>
            </w:r>
            <w:r>
              <w:rPr>
                <w:rFonts w:hint="default" w:cs="Times New Roman"/>
                <w:color w:val="auto"/>
                <w:sz w:val="24"/>
                <w:szCs w:val="24"/>
                <w:highlight w:val="none"/>
              </w:rPr>
              <w:t>/</w:t>
            </w:r>
            <w:r>
              <w:rPr>
                <w:rFonts w:hint="eastAsia" w:cs="Times New Roman"/>
                <w:color w:val="auto"/>
                <w:sz w:val="24"/>
                <w:szCs w:val="24"/>
                <w:highlight w:val="none"/>
              </w:rPr>
              <w:t>规</w:t>
            </w:r>
          </w:p>
          <w:p>
            <w:pPr>
              <w:pStyle w:val="714"/>
              <w:keepNext w:val="0"/>
              <w:keepLines w:val="0"/>
              <w:suppressLineNumbers w:val="0"/>
              <w:kinsoku w:val="0"/>
              <w:overflowPunct w:val="0"/>
              <w:spacing w:before="0" w:beforeAutospacing="0" w:after="0" w:afterAutospacing="0" w:line="237" w:lineRule="auto"/>
              <w:ind w:left="102" w:right="57"/>
              <w:rPr>
                <w:rFonts w:hint="default" w:cs="Times New Roman"/>
                <w:color w:val="auto"/>
                <w:sz w:val="24"/>
                <w:szCs w:val="24"/>
                <w:highlight w:val="none"/>
              </w:rPr>
            </w:pPr>
            <w:r>
              <w:rPr>
                <w:rFonts w:hint="eastAsia" w:cs="Times New Roman"/>
                <w:color w:val="auto"/>
                <w:sz w:val="24"/>
                <w:szCs w:val="24"/>
                <w:highlight w:val="none"/>
              </w:rPr>
              <w:t>格（工程、服务类项目不需填写）</w:t>
            </w:r>
          </w:p>
        </w:tc>
        <w:tc>
          <w:tcPr>
            <w:tcW w:w="771" w:type="dxa"/>
            <w:vMerge w:val="restart"/>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11" w:beforeAutospacing="0" w:after="0" w:afterAutospacing="0"/>
              <w:ind w:left="0" w:right="0"/>
              <w:rPr>
                <w:rFonts w:hint="default" w:cs="Times New Roman"/>
                <w:b/>
                <w:bCs/>
                <w:color w:val="auto"/>
                <w:sz w:val="24"/>
                <w:szCs w:val="24"/>
                <w:highlight w:val="none"/>
              </w:rPr>
            </w:pPr>
          </w:p>
          <w:p>
            <w:pPr>
              <w:pStyle w:val="714"/>
              <w:keepNext w:val="0"/>
              <w:keepLines w:val="0"/>
              <w:suppressLineNumbers w:val="0"/>
              <w:kinsoku w:val="0"/>
              <w:overflowPunct w:val="0"/>
              <w:spacing w:before="1" w:beforeAutospacing="0" w:after="0" w:afterAutospacing="0" w:line="237" w:lineRule="auto"/>
              <w:ind w:left="102" w:right="18"/>
              <w:rPr>
                <w:rFonts w:hint="default" w:cs="Times New Roman"/>
                <w:color w:val="auto"/>
                <w:sz w:val="24"/>
                <w:szCs w:val="24"/>
                <w:highlight w:val="none"/>
              </w:rPr>
            </w:pPr>
            <w:r>
              <w:rPr>
                <w:rFonts w:hint="eastAsia" w:cs="Times New Roman"/>
                <w:color w:val="auto"/>
                <w:sz w:val="24"/>
                <w:szCs w:val="24"/>
                <w:highlight w:val="none"/>
              </w:rPr>
              <w:t>制造商名称</w:t>
            </w:r>
          </w:p>
        </w:tc>
        <w:tc>
          <w:tcPr>
            <w:tcW w:w="865" w:type="dxa"/>
            <w:vMerge w:val="restart"/>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b/>
                <w:bCs/>
                <w:color w:val="auto"/>
                <w:sz w:val="24"/>
                <w:szCs w:val="24"/>
                <w:highlight w:val="none"/>
              </w:rPr>
            </w:pPr>
          </w:p>
          <w:p>
            <w:pPr>
              <w:pStyle w:val="714"/>
              <w:keepNext w:val="0"/>
              <w:keepLines w:val="0"/>
              <w:suppressLineNumbers w:val="0"/>
              <w:kinsoku w:val="0"/>
              <w:overflowPunct w:val="0"/>
              <w:spacing w:before="6" w:beforeAutospacing="0" w:after="0" w:afterAutospacing="0"/>
              <w:ind w:left="0" w:right="0"/>
              <w:rPr>
                <w:rFonts w:hint="default" w:cs="Times New Roman"/>
                <w:b/>
                <w:bCs/>
                <w:color w:val="auto"/>
                <w:sz w:val="24"/>
                <w:szCs w:val="24"/>
                <w:highlight w:val="none"/>
              </w:rPr>
            </w:pPr>
          </w:p>
          <w:p>
            <w:pPr>
              <w:pStyle w:val="714"/>
              <w:keepNext w:val="0"/>
              <w:keepLines w:val="0"/>
              <w:suppressLineNumbers w:val="0"/>
              <w:kinsoku w:val="0"/>
              <w:overflowPunct w:val="0"/>
              <w:spacing w:before="0" w:beforeAutospacing="0" w:after="0" w:afterAutospacing="0"/>
              <w:ind w:left="100" w:right="0"/>
              <w:rPr>
                <w:rFonts w:hint="default" w:cs="Times New Roman"/>
                <w:color w:val="auto"/>
                <w:sz w:val="24"/>
                <w:szCs w:val="24"/>
                <w:highlight w:val="none"/>
              </w:rPr>
            </w:pPr>
            <w:r>
              <w:rPr>
                <w:rFonts w:hint="eastAsia" w:cs="Times New Roman"/>
                <w:color w:val="auto"/>
                <w:sz w:val="24"/>
                <w:szCs w:val="24"/>
                <w:highlight w:val="none"/>
              </w:rPr>
              <w:t>数量</w:t>
            </w:r>
          </w:p>
        </w:tc>
        <w:tc>
          <w:tcPr>
            <w:tcW w:w="1727" w:type="dxa"/>
            <w:gridSpan w:val="2"/>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87" w:beforeAutospacing="0" w:after="0" w:afterAutospacing="0" w:line="237" w:lineRule="auto"/>
              <w:ind w:left="103" w:right="0"/>
              <w:rPr>
                <w:rFonts w:hint="default" w:cs="Times New Roman"/>
                <w:color w:val="auto"/>
                <w:sz w:val="24"/>
                <w:szCs w:val="24"/>
                <w:highlight w:val="none"/>
              </w:rPr>
            </w:pPr>
            <w:r>
              <w:rPr>
                <w:rFonts w:hint="eastAsia" w:cs="Times New Roman"/>
                <w:color w:val="auto"/>
                <w:sz w:val="24"/>
                <w:szCs w:val="24"/>
                <w:highlight w:val="none"/>
              </w:rPr>
              <w:t>小型、微型企业报价</w:t>
            </w:r>
          </w:p>
        </w:tc>
        <w:tc>
          <w:tcPr>
            <w:tcW w:w="1876" w:type="dxa"/>
            <w:gridSpan w:val="2"/>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4" w:beforeAutospacing="0" w:after="0" w:afterAutospacing="0"/>
              <w:ind w:left="0" w:right="0"/>
              <w:rPr>
                <w:rFonts w:hint="default" w:cs="Times New Roman"/>
                <w:b/>
                <w:bCs/>
                <w:color w:val="auto"/>
                <w:sz w:val="24"/>
                <w:szCs w:val="24"/>
                <w:highlight w:val="none"/>
              </w:rPr>
            </w:pPr>
          </w:p>
          <w:p>
            <w:pPr>
              <w:pStyle w:val="714"/>
              <w:keepNext w:val="0"/>
              <w:keepLines w:val="0"/>
              <w:suppressLineNumbers w:val="0"/>
              <w:kinsoku w:val="0"/>
              <w:overflowPunct w:val="0"/>
              <w:spacing w:before="0" w:beforeAutospacing="0" w:after="0" w:afterAutospacing="0"/>
              <w:ind w:left="102" w:right="0"/>
              <w:rPr>
                <w:rFonts w:hint="default" w:cs="Times New Roman"/>
                <w:color w:val="auto"/>
                <w:sz w:val="24"/>
                <w:szCs w:val="24"/>
                <w:highlight w:val="none"/>
              </w:rPr>
            </w:pPr>
            <w:r>
              <w:rPr>
                <w:rFonts w:hint="eastAsia" w:cs="Times New Roman"/>
                <w:color w:val="auto"/>
                <w:sz w:val="24"/>
                <w:szCs w:val="24"/>
                <w:highlight w:val="none"/>
              </w:rPr>
              <w:t>监狱企业报价</w:t>
            </w:r>
          </w:p>
        </w:tc>
        <w:tc>
          <w:tcPr>
            <w:tcW w:w="1809" w:type="dxa"/>
            <w:gridSpan w:val="2"/>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87" w:beforeAutospacing="0" w:after="0" w:afterAutospacing="0" w:line="237" w:lineRule="auto"/>
              <w:ind w:left="102" w:right="71"/>
              <w:rPr>
                <w:rFonts w:hint="default" w:cs="Times New Roman"/>
                <w:color w:val="auto"/>
                <w:sz w:val="24"/>
                <w:szCs w:val="24"/>
                <w:highlight w:val="none"/>
              </w:rPr>
            </w:pPr>
            <w:r>
              <w:rPr>
                <w:rFonts w:hint="eastAsia" w:cs="Times New Roman"/>
                <w:color w:val="auto"/>
                <w:sz w:val="24"/>
                <w:szCs w:val="24"/>
                <w:highlight w:val="none"/>
              </w:rPr>
              <w:t>残疾人福利性单位报价</w:t>
            </w:r>
          </w:p>
        </w:tc>
      </w:tr>
      <w:tr>
        <w:tblPrEx>
          <w:tblCellMar>
            <w:top w:w="0" w:type="dxa"/>
            <w:left w:w="0" w:type="dxa"/>
            <w:bottom w:w="0" w:type="dxa"/>
            <w:right w:w="0" w:type="dxa"/>
          </w:tblCellMar>
        </w:tblPrEx>
        <w:trPr>
          <w:trHeight w:val="840" w:hRule="atLeast"/>
        </w:trPr>
        <w:tc>
          <w:tcPr>
            <w:tcW w:w="464" w:type="dxa"/>
            <w:vMerge w:val="continue"/>
            <w:tcBorders>
              <w:top w:val="single" w:color="000000" w:sz="4" w:space="0"/>
              <w:left w:val="single" w:color="000000" w:sz="4" w:space="0"/>
              <w:bottom w:val="single" w:color="000000" w:sz="4" w:space="0"/>
              <w:right w:val="single" w:color="000000" w:sz="4" w:space="0"/>
            </w:tcBorders>
            <w:noWrap w:val="0"/>
            <w:vAlign w:val="top"/>
          </w:tcPr>
          <w:p>
            <w:pPr>
              <w:keepNext w:val="0"/>
              <w:keepLines w:val="0"/>
              <w:suppressLineNumbers w:val="0"/>
              <w:spacing w:before="0" w:beforeAutospacing="0" w:after="0" w:afterAutospacing="0"/>
              <w:ind w:left="0" w:right="0"/>
              <w:rPr>
                <w:rFonts w:hint="default" w:ascii="宋体" w:hAnsi="宋体" w:cs="Times New Roman"/>
                <w:color w:val="auto"/>
                <w:sz w:val="24"/>
                <w:szCs w:val="24"/>
                <w:highlight w:val="none"/>
              </w:rPr>
            </w:pPr>
          </w:p>
        </w:tc>
        <w:tc>
          <w:tcPr>
            <w:tcW w:w="1039" w:type="dxa"/>
            <w:vMerge w:val="continue"/>
            <w:tcBorders>
              <w:top w:val="single" w:color="000000" w:sz="4" w:space="0"/>
              <w:left w:val="single" w:color="000000" w:sz="4" w:space="0"/>
              <w:bottom w:val="single" w:color="000000" w:sz="4" w:space="0"/>
              <w:right w:val="single" w:color="000000" w:sz="4" w:space="0"/>
            </w:tcBorders>
            <w:noWrap w:val="0"/>
            <w:vAlign w:val="top"/>
          </w:tcPr>
          <w:p>
            <w:pPr>
              <w:keepNext w:val="0"/>
              <w:keepLines w:val="0"/>
              <w:suppressLineNumbers w:val="0"/>
              <w:spacing w:before="0" w:beforeAutospacing="0" w:after="0" w:afterAutospacing="0"/>
              <w:ind w:left="0" w:right="0"/>
              <w:rPr>
                <w:rFonts w:hint="default" w:ascii="宋体" w:hAnsi="宋体" w:cs="Times New Roman"/>
                <w:color w:val="auto"/>
                <w:sz w:val="24"/>
                <w:szCs w:val="24"/>
                <w:highlight w:val="none"/>
              </w:rPr>
            </w:pPr>
          </w:p>
        </w:tc>
        <w:tc>
          <w:tcPr>
            <w:tcW w:w="1009" w:type="dxa"/>
            <w:vMerge w:val="continue"/>
            <w:tcBorders>
              <w:top w:val="single" w:color="000000" w:sz="4" w:space="0"/>
              <w:left w:val="single" w:color="000000" w:sz="4" w:space="0"/>
              <w:bottom w:val="single" w:color="000000" w:sz="4" w:space="0"/>
              <w:right w:val="single" w:color="000000" w:sz="4" w:space="0"/>
            </w:tcBorders>
            <w:noWrap w:val="0"/>
            <w:vAlign w:val="top"/>
          </w:tcPr>
          <w:p>
            <w:pPr>
              <w:keepNext w:val="0"/>
              <w:keepLines w:val="0"/>
              <w:suppressLineNumbers w:val="0"/>
              <w:spacing w:before="0" w:beforeAutospacing="0" w:after="0" w:afterAutospacing="0"/>
              <w:ind w:left="0" w:right="0"/>
              <w:rPr>
                <w:rFonts w:hint="default" w:ascii="宋体" w:hAnsi="宋体" w:cs="Times New Roman"/>
                <w:color w:val="auto"/>
                <w:sz w:val="24"/>
                <w:szCs w:val="24"/>
                <w:highlight w:val="none"/>
              </w:rPr>
            </w:pPr>
          </w:p>
        </w:tc>
        <w:tc>
          <w:tcPr>
            <w:tcW w:w="771" w:type="dxa"/>
            <w:vMerge w:val="continue"/>
            <w:tcBorders>
              <w:top w:val="single" w:color="000000" w:sz="4" w:space="0"/>
              <w:left w:val="single" w:color="000000" w:sz="4" w:space="0"/>
              <w:bottom w:val="single" w:color="000000" w:sz="4" w:space="0"/>
              <w:right w:val="single" w:color="000000" w:sz="4" w:space="0"/>
            </w:tcBorders>
            <w:noWrap w:val="0"/>
            <w:vAlign w:val="top"/>
          </w:tcPr>
          <w:p>
            <w:pPr>
              <w:keepNext w:val="0"/>
              <w:keepLines w:val="0"/>
              <w:suppressLineNumbers w:val="0"/>
              <w:spacing w:before="0" w:beforeAutospacing="0" w:after="0" w:afterAutospacing="0"/>
              <w:ind w:left="0" w:right="0"/>
              <w:rPr>
                <w:rFonts w:hint="default" w:ascii="宋体" w:hAnsi="宋体" w:cs="Times New Roman"/>
                <w:color w:val="auto"/>
                <w:sz w:val="24"/>
                <w:szCs w:val="24"/>
                <w:highlight w:val="none"/>
              </w:rPr>
            </w:pPr>
          </w:p>
        </w:tc>
        <w:tc>
          <w:tcPr>
            <w:tcW w:w="865" w:type="dxa"/>
            <w:vMerge w:val="continue"/>
            <w:tcBorders>
              <w:top w:val="single" w:color="000000" w:sz="4" w:space="0"/>
              <w:left w:val="single" w:color="000000" w:sz="4" w:space="0"/>
              <w:bottom w:val="single" w:color="000000" w:sz="4" w:space="0"/>
              <w:right w:val="single" w:color="000000" w:sz="4" w:space="0"/>
            </w:tcBorders>
            <w:noWrap w:val="0"/>
            <w:vAlign w:val="top"/>
          </w:tcPr>
          <w:p>
            <w:pPr>
              <w:keepNext w:val="0"/>
              <w:keepLines w:val="0"/>
              <w:suppressLineNumbers w:val="0"/>
              <w:spacing w:before="0" w:beforeAutospacing="0" w:after="0" w:afterAutospacing="0"/>
              <w:ind w:left="0" w:right="0"/>
              <w:rPr>
                <w:rFonts w:hint="default" w:ascii="宋体" w:hAnsi="宋体" w:cs="Times New Roman"/>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10" w:beforeAutospacing="0" w:after="0" w:afterAutospacing="0"/>
              <w:ind w:left="0" w:right="0"/>
              <w:rPr>
                <w:rFonts w:hint="default" w:cs="Times New Roman"/>
                <w:b/>
                <w:bCs/>
                <w:color w:val="auto"/>
                <w:sz w:val="24"/>
                <w:szCs w:val="24"/>
                <w:highlight w:val="none"/>
              </w:rPr>
            </w:pPr>
          </w:p>
          <w:p>
            <w:pPr>
              <w:pStyle w:val="714"/>
              <w:keepNext w:val="0"/>
              <w:keepLines w:val="0"/>
              <w:suppressLineNumbers w:val="0"/>
              <w:kinsoku w:val="0"/>
              <w:overflowPunct w:val="0"/>
              <w:spacing w:before="0" w:beforeAutospacing="0" w:after="0" w:afterAutospacing="0"/>
              <w:ind w:left="103" w:right="0"/>
              <w:rPr>
                <w:rFonts w:hint="default" w:cs="Times New Roman"/>
                <w:color w:val="auto"/>
                <w:sz w:val="24"/>
                <w:szCs w:val="24"/>
                <w:highlight w:val="none"/>
              </w:rPr>
            </w:pPr>
            <w:r>
              <w:rPr>
                <w:rFonts w:hint="eastAsia" w:cs="Times New Roman"/>
                <w:color w:val="auto"/>
                <w:sz w:val="24"/>
                <w:szCs w:val="24"/>
                <w:highlight w:val="none"/>
              </w:rPr>
              <w:t>单价</w:t>
            </w:r>
          </w:p>
        </w:tc>
        <w:tc>
          <w:tcPr>
            <w:tcW w:w="862"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10" w:beforeAutospacing="0" w:after="0" w:afterAutospacing="0"/>
              <w:ind w:left="0" w:right="0"/>
              <w:rPr>
                <w:rFonts w:hint="default" w:cs="Times New Roman"/>
                <w:b/>
                <w:bCs/>
                <w:color w:val="auto"/>
                <w:sz w:val="24"/>
                <w:szCs w:val="24"/>
                <w:highlight w:val="none"/>
              </w:rPr>
            </w:pPr>
          </w:p>
          <w:p>
            <w:pPr>
              <w:pStyle w:val="714"/>
              <w:keepNext w:val="0"/>
              <w:keepLines w:val="0"/>
              <w:suppressLineNumbers w:val="0"/>
              <w:kinsoku w:val="0"/>
              <w:overflowPunct w:val="0"/>
              <w:spacing w:before="0" w:beforeAutospacing="0" w:after="0" w:afterAutospacing="0"/>
              <w:ind w:left="100" w:right="0"/>
              <w:rPr>
                <w:rFonts w:hint="default" w:cs="Times New Roman"/>
                <w:color w:val="auto"/>
                <w:sz w:val="24"/>
                <w:szCs w:val="24"/>
                <w:highlight w:val="none"/>
              </w:rPr>
            </w:pPr>
            <w:r>
              <w:rPr>
                <w:rFonts w:hint="eastAsia" w:cs="Times New Roman"/>
                <w:color w:val="auto"/>
                <w:sz w:val="24"/>
                <w:szCs w:val="24"/>
                <w:highlight w:val="none"/>
              </w:rPr>
              <w:t>小计</w:t>
            </w:r>
          </w:p>
        </w:tc>
        <w:tc>
          <w:tcPr>
            <w:tcW w:w="1011"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10" w:beforeAutospacing="0" w:after="0" w:afterAutospacing="0"/>
              <w:ind w:left="0" w:right="0"/>
              <w:rPr>
                <w:rFonts w:hint="default" w:cs="Times New Roman"/>
                <w:b/>
                <w:bCs/>
                <w:color w:val="auto"/>
                <w:sz w:val="24"/>
                <w:szCs w:val="24"/>
                <w:highlight w:val="none"/>
              </w:rPr>
            </w:pPr>
          </w:p>
          <w:p>
            <w:pPr>
              <w:pStyle w:val="714"/>
              <w:keepNext w:val="0"/>
              <w:keepLines w:val="0"/>
              <w:suppressLineNumbers w:val="0"/>
              <w:kinsoku w:val="0"/>
              <w:overflowPunct w:val="0"/>
              <w:spacing w:before="0" w:beforeAutospacing="0" w:after="0" w:afterAutospacing="0"/>
              <w:ind w:left="102" w:right="0"/>
              <w:rPr>
                <w:rFonts w:hint="default" w:cs="Times New Roman"/>
                <w:color w:val="auto"/>
                <w:sz w:val="24"/>
                <w:szCs w:val="24"/>
                <w:highlight w:val="none"/>
              </w:rPr>
            </w:pPr>
            <w:r>
              <w:rPr>
                <w:rFonts w:hint="eastAsia" w:cs="Times New Roman"/>
                <w:color w:val="auto"/>
                <w:sz w:val="24"/>
                <w:szCs w:val="24"/>
                <w:highlight w:val="none"/>
              </w:rPr>
              <w:t>单价</w:t>
            </w: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10" w:beforeAutospacing="0" w:after="0" w:afterAutospacing="0"/>
              <w:ind w:left="0" w:right="0"/>
              <w:rPr>
                <w:rFonts w:hint="default" w:cs="Times New Roman"/>
                <w:b/>
                <w:bCs/>
                <w:color w:val="auto"/>
                <w:sz w:val="24"/>
                <w:szCs w:val="24"/>
                <w:highlight w:val="none"/>
              </w:rPr>
            </w:pPr>
          </w:p>
          <w:p>
            <w:pPr>
              <w:pStyle w:val="714"/>
              <w:keepNext w:val="0"/>
              <w:keepLines w:val="0"/>
              <w:suppressLineNumbers w:val="0"/>
              <w:kinsoku w:val="0"/>
              <w:overflowPunct w:val="0"/>
              <w:spacing w:before="0" w:beforeAutospacing="0" w:after="0" w:afterAutospacing="0"/>
              <w:ind w:left="100" w:right="0"/>
              <w:rPr>
                <w:rFonts w:hint="default" w:cs="Times New Roman"/>
                <w:color w:val="auto"/>
                <w:sz w:val="24"/>
                <w:szCs w:val="24"/>
                <w:highlight w:val="none"/>
              </w:rPr>
            </w:pPr>
            <w:r>
              <w:rPr>
                <w:rFonts w:hint="eastAsia" w:cs="Times New Roman"/>
                <w:color w:val="auto"/>
                <w:sz w:val="24"/>
                <w:szCs w:val="24"/>
                <w:highlight w:val="none"/>
              </w:rPr>
              <w:t>小计</w:t>
            </w: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10" w:beforeAutospacing="0" w:after="0" w:afterAutospacing="0"/>
              <w:ind w:left="0" w:right="0"/>
              <w:rPr>
                <w:rFonts w:hint="default" w:cs="Times New Roman"/>
                <w:b/>
                <w:bCs/>
                <w:color w:val="auto"/>
                <w:sz w:val="24"/>
                <w:szCs w:val="24"/>
                <w:highlight w:val="none"/>
              </w:rPr>
            </w:pPr>
          </w:p>
          <w:p>
            <w:pPr>
              <w:pStyle w:val="714"/>
              <w:keepNext w:val="0"/>
              <w:keepLines w:val="0"/>
              <w:suppressLineNumbers w:val="0"/>
              <w:kinsoku w:val="0"/>
              <w:overflowPunct w:val="0"/>
              <w:spacing w:before="0" w:beforeAutospacing="0" w:after="0" w:afterAutospacing="0"/>
              <w:ind w:left="102" w:right="0"/>
              <w:rPr>
                <w:rFonts w:hint="default" w:cs="Times New Roman"/>
                <w:color w:val="auto"/>
                <w:sz w:val="24"/>
                <w:szCs w:val="24"/>
                <w:highlight w:val="none"/>
              </w:rPr>
            </w:pPr>
            <w:r>
              <w:rPr>
                <w:rFonts w:hint="eastAsia" w:cs="Times New Roman"/>
                <w:color w:val="auto"/>
                <w:sz w:val="24"/>
                <w:szCs w:val="24"/>
                <w:highlight w:val="none"/>
              </w:rPr>
              <w:t>单价</w:t>
            </w:r>
          </w:p>
        </w:tc>
        <w:tc>
          <w:tcPr>
            <w:tcW w:w="944"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10" w:beforeAutospacing="0" w:after="0" w:afterAutospacing="0"/>
              <w:ind w:left="0" w:right="0"/>
              <w:rPr>
                <w:rFonts w:hint="default" w:cs="Times New Roman"/>
                <w:b/>
                <w:bCs/>
                <w:color w:val="auto"/>
                <w:sz w:val="24"/>
                <w:szCs w:val="24"/>
                <w:highlight w:val="none"/>
              </w:rPr>
            </w:pPr>
          </w:p>
          <w:p>
            <w:pPr>
              <w:pStyle w:val="714"/>
              <w:keepNext w:val="0"/>
              <w:keepLines w:val="0"/>
              <w:suppressLineNumbers w:val="0"/>
              <w:kinsoku w:val="0"/>
              <w:overflowPunct w:val="0"/>
              <w:spacing w:before="0" w:beforeAutospacing="0" w:after="0" w:afterAutospacing="0"/>
              <w:ind w:left="102" w:right="0"/>
              <w:rPr>
                <w:rFonts w:hint="default" w:cs="Times New Roman"/>
                <w:color w:val="auto"/>
                <w:sz w:val="24"/>
                <w:szCs w:val="24"/>
                <w:highlight w:val="none"/>
              </w:rPr>
            </w:pPr>
            <w:r>
              <w:rPr>
                <w:rFonts w:hint="eastAsia" w:cs="Times New Roman"/>
                <w:color w:val="auto"/>
                <w:sz w:val="24"/>
                <w:szCs w:val="24"/>
                <w:highlight w:val="none"/>
              </w:rPr>
              <w:t>小计</w:t>
            </w:r>
          </w:p>
        </w:tc>
      </w:tr>
      <w:tr>
        <w:tblPrEx>
          <w:tblCellMar>
            <w:top w:w="0" w:type="dxa"/>
            <w:left w:w="0" w:type="dxa"/>
            <w:bottom w:w="0" w:type="dxa"/>
            <w:right w:w="0" w:type="dxa"/>
          </w:tblCellMar>
        </w:tblPrEx>
        <w:trPr>
          <w:trHeight w:val="532" w:hRule="atLeast"/>
        </w:trPr>
        <w:tc>
          <w:tcPr>
            <w:tcW w:w="464"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1039"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1009"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771"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862"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1011"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944"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r>
      <w:tr>
        <w:tblPrEx>
          <w:tblCellMar>
            <w:top w:w="0" w:type="dxa"/>
            <w:left w:w="0" w:type="dxa"/>
            <w:bottom w:w="0" w:type="dxa"/>
            <w:right w:w="0" w:type="dxa"/>
          </w:tblCellMar>
        </w:tblPrEx>
        <w:trPr>
          <w:trHeight w:val="514" w:hRule="atLeast"/>
        </w:trPr>
        <w:tc>
          <w:tcPr>
            <w:tcW w:w="464"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1039"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1009"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771"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862"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1011"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865"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944" w:type="dxa"/>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r>
      <w:tr>
        <w:tblPrEx>
          <w:tblCellMar>
            <w:top w:w="0" w:type="dxa"/>
            <w:left w:w="0" w:type="dxa"/>
            <w:bottom w:w="0" w:type="dxa"/>
            <w:right w:w="0" w:type="dxa"/>
          </w:tblCellMar>
        </w:tblPrEx>
        <w:trPr>
          <w:trHeight w:val="1014" w:hRule="atLeast"/>
        </w:trPr>
        <w:tc>
          <w:tcPr>
            <w:tcW w:w="4148" w:type="dxa"/>
            <w:gridSpan w:val="5"/>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12" w:beforeAutospacing="0" w:after="0" w:afterAutospacing="0" w:line="312" w:lineRule="exact"/>
              <w:ind w:left="666" w:right="12" w:hanging="84"/>
              <w:rPr>
                <w:rFonts w:hint="default" w:cs="Times New Roman"/>
                <w:color w:val="auto"/>
                <w:sz w:val="24"/>
                <w:szCs w:val="24"/>
                <w:highlight w:val="none"/>
              </w:rPr>
            </w:pPr>
            <w:r>
              <w:rPr>
                <w:rFonts w:hint="eastAsia" w:cs="Times New Roman"/>
                <w:color w:val="auto"/>
                <w:sz w:val="24"/>
                <w:szCs w:val="24"/>
                <w:highlight w:val="none"/>
              </w:rPr>
              <w:t>小型、微型企业、监狱、残疾人福利性单位提供服务报价总计</w:t>
            </w:r>
          </w:p>
        </w:tc>
        <w:tc>
          <w:tcPr>
            <w:tcW w:w="1727" w:type="dxa"/>
            <w:gridSpan w:val="2"/>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1876" w:type="dxa"/>
            <w:gridSpan w:val="2"/>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c>
          <w:tcPr>
            <w:tcW w:w="1809" w:type="dxa"/>
            <w:gridSpan w:val="2"/>
            <w:tcBorders>
              <w:top w:val="single" w:color="000000" w:sz="4" w:space="0"/>
              <w:left w:val="single" w:color="000000" w:sz="4" w:space="0"/>
              <w:bottom w:val="single" w:color="000000" w:sz="4" w:space="0"/>
              <w:right w:val="single" w:color="000000" w:sz="4" w:space="0"/>
            </w:tcBorders>
            <w:noWrap w:val="0"/>
            <w:vAlign w:val="top"/>
          </w:tcPr>
          <w:p>
            <w:pPr>
              <w:pStyle w:val="714"/>
              <w:keepNext w:val="0"/>
              <w:keepLines w:val="0"/>
              <w:suppressLineNumbers w:val="0"/>
              <w:kinsoku w:val="0"/>
              <w:overflowPunct w:val="0"/>
              <w:spacing w:before="0" w:beforeAutospacing="0" w:after="0" w:afterAutospacing="0"/>
              <w:ind w:left="0" w:right="0"/>
              <w:rPr>
                <w:rFonts w:hint="default" w:cs="Times New Roman"/>
                <w:color w:val="auto"/>
                <w:sz w:val="24"/>
                <w:szCs w:val="24"/>
                <w:highlight w:val="none"/>
              </w:rPr>
            </w:pPr>
          </w:p>
        </w:tc>
      </w:tr>
    </w:tbl>
    <w:p>
      <w:pPr>
        <w:pStyle w:val="714"/>
        <w:kinsoku w:val="0"/>
        <w:overflowPunct w:val="0"/>
        <w:spacing w:line="360" w:lineRule="auto"/>
        <w:rPr>
          <w:rFonts w:hint="eastAsia"/>
          <w:color w:val="auto"/>
          <w:sz w:val="24"/>
          <w:szCs w:val="24"/>
          <w:highlight w:val="none"/>
        </w:rPr>
      </w:pPr>
      <w:r>
        <w:rPr>
          <w:rFonts w:hint="eastAsia"/>
          <w:color w:val="auto"/>
          <w:sz w:val="24"/>
          <w:szCs w:val="24"/>
          <w:highlight w:val="none"/>
        </w:rPr>
        <w:t>附注：</w:t>
      </w:r>
    </w:p>
    <w:p>
      <w:pPr>
        <w:pStyle w:val="714"/>
        <w:kinsoku w:val="0"/>
        <w:overflowPunct w:val="0"/>
        <w:spacing w:line="360" w:lineRule="auto"/>
        <w:ind w:right="-21" w:rightChars="-10"/>
        <w:rPr>
          <w:rFonts w:hint="eastAsia"/>
          <w:color w:val="auto"/>
          <w:sz w:val="24"/>
          <w:szCs w:val="24"/>
          <w:highlight w:val="none"/>
        </w:rPr>
      </w:pPr>
      <w:r>
        <w:rPr>
          <w:rFonts w:hint="eastAsia"/>
          <w:color w:val="auto"/>
          <w:sz w:val="24"/>
          <w:szCs w:val="24"/>
          <w:highlight w:val="none"/>
        </w:rPr>
        <w:t>1、填入的小型、微型企业报价必须是该企业制造（货物）、承建（工程）、承接（服务）。</w:t>
      </w:r>
    </w:p>
    <w:p>
      <w:pPr>
        <w:pStyle w:val="714"/>
        <w:kinsoku w:val="0"/>
        <w:overflowPunct w:val="0"/>
        <w:spacing w:line="360" w:lineRule="auto"/>
        <w:ind w:right="-21" w:rightChars="-10"/>
        <w:rPr>
          <w:rFonts w:hint="eastAsia"/>
          <w:color w:val="auto"/>
          <w:sz w:val="24"/>
          <w:szCs w:val="24"/>
          <w:highlight w:val="none"/>
        </w:rPr>
      </w:pPr>
      <w:r>
        <w:rPr>
          <w:rFonts w:hint="eastAsia"/>
          <w:color w:val="auto"/>
          <w:sz w:val="24"/>
          <w:szCs w:val="24"/>
          <w:highlight w:val="none"/>
        </w:rPr>
        <w:t>2、填入的监狱企业报价、残疾人福利性单位报价内容须是该企业制造生产且使用该企业商号或者注册商标的产品（或代理的其它监狱企业、残疾人福利性单位生产的产品）。</w:t>
      </w:r>
    </w:p>
    <w:p>
      <w:pPr>
        <w:pStyle w:val="714"/>
        <w:kinsoku w:val="0"/>
        <w:overflowPunct w:val="0"/>
        <w:spacing w:line="360" w:lineRule="auto"/>
        <w:ind w:right="-21" w:rightChars="-10"/>
        <w:rPr>
          <w:rFonts w:hint="eastAsia"/>
          <w:color w:val="auto"/>
          <w:sz w:val="24"/>
          <w:szCs w:val="24"/>
          <w:highlight w:val="none"/>
        </w:rPr>
      </w:pPr>
      <w:r>
        <w:rPr>
          <w:rFonts w:hint="eastAsia"/>
          <w:color w:val="auto"/>
          <w:sz w:val="24"/>
          <w:szCs w:val="24"/>
          <w:highlight w:val="none"/>
        </w:rPr>
        <w:t>3、填写本表的监狱企业应当在响应文件（投标文件中）提供由省级以上监狱管理局、戒毒管理局（含新疆生产建设兵团）出具的属于监狱企业证明文件彩色扫描件。代理监狱企业生产产品的，须提供所代理企业的监狱企业证明。</w:t>
      </w:r>
    </w:p>
    <w:p>
      <w:pPr>
        <w:pStyle w:val="714"/>
        <w:kinsoku w:val="0"/>
        <w:overflowPunct w:val="0"/>
        <w:spacing w:line="360" w:lineRule="auto"/>
        <w:ind w:right="-21" w:rightChars="-10"/>
        <w:rPr>
          <w:rFonts w:hint="eastAsia"/>
          <w:color w:val="auto"/>
          <w:sz w:val="24"/>
          <w:szCs w:val="24"/>
          <w:highlight w:val="none"/>
        </w:rPr>
      </w:pPr>
      <w:r>
        <w:rPr>
          <w:rFonts w:hint="eastAsia"/>
          <w:color w:val="auto"/>
          <w:sz w:val="24"/>
          <w:szCs w:val="24"/>
          <w:highlight w:val="none"/>
        </w:rPr>
        <w:t>4、填写本表的小型和微型企业应当出具《中小企业声明函》。</w:t>
      </w:r>
    </w:p>
    <w:p>
      <w:pPr>
        <w:pStyle w:val="714"/>
        <w:kinsoku w:val="0"/>
        <w:overflowPunct w:val="0"/>
        <w:spacing w:line="360" w:lineRule="auto"/>
        <w:ind w:right="-21" w:rightChars="-10"/>
        <w:rPr>
          <w:rFonts w:hint="eastAsia"/>
          <w:color w:val="auto"/>
          <w:sz w:val="24"/>
          <w:szCs w:val="24"/>
          <w:highlight w:val="none"/>
        </w:rPr>
      </w:pPr>
      <w:r>
        <w:rPr>
          <w:rFonts w:hint="eastAsia"/>
          <w:color w:val="auto"/>
          <w:sz w:val="24"/>
          <w:szCs w:val="24"/>
          <w:highlight w:val="none"/>
        </w:rPr>
        <w:t>5、填写本表的残疾人福利性单位应当提供《残疾人福利性单位声明》。代理残疾人福利性单位企业生产产品的应当提供所代理企业的残疾人福利性单位声明。</w:t>
      </w:r>
    </w:p>
    <w:p>
      <w:pPr>
        <w:pStyle w:val="714"/>
        <w:kinsoku w:val="0"/>
        <w:overflowPunct w:val="0"/>
        <w:spacing w:line="360" w:lineRule="auto"/>
        <w:ind w:right="-21" w:rightChars="-10"/>
        <w:rPr>
          <w:rFonts w:hint="eastAsia"/>
          <w:color w:val="auto"/>
          <w:sz w:val="24"/>
          <w:szCs w:val="24"/>
          <w:highlight w:val="none"/>
        </w:rPr>
      </w:pPr>
      <w:r>
        <w:rPr>
          <w:rFonts w:hint="eastAsia"/>
          <w:color w:val="auto"/>
          <w:sz w:val="24"/>
          <w:szCs w:val="24"/>
          <w:highlight w:val="none"/>
        </w:rPr>
        <w:t>6、不填报本表，不需提供《监狱企业证明文件》、《中小企业声明函》、《残疾人福利性单位声明函》，但评审时不享受政府采购政策的价格折扣或价格加分。</w:t>
      </w:r>
    </w:p>
    <w:p>
      <w:pPr>
        <w:rPr>
          <w:rFonts w:ascii="宋体" w:hAnsi="宋体"/>
          <w:b/>
          <w:color w:val="auto"/>
          <w:sz w:val="30"/>
          <w:szCs w:val="30"/>
          <w:highlight w:val="none"/>
        </w:rPr>
      </w:pPr>
      <w:r>
        <w:rPr>
          <w:rFonts w:ascii="宋体" w:hAnsi="宋体"/>
          <w:b/>
          <w:color w:val="auto"/>
          <w:sz w:val="30"/>
          <w:szCs w:val="30"/>
          <w:highlight w:val="none"/>
        </w:rPr>
        <w:br w:type="page"/>
      </w:r>
    </w:p>
    <w:p>
      <w:pPr>
        <w:spacing w:line="400" w:lineRule="exact"/>
        <w:jc w:val="center"/>
        <w:rPr>
          <w:rFonts w:ascii="宋体" w:hAnsi="宋体"/>
          <w:color w:val="auto"/>
          <w:sz w:val="30"/>
          <w:szCs w:val="30"/>
          <w:highlight w:val="none"/>
        </w:rPr>
      </w:pPr>
      <w:r>
        <w:rPr>
          <w:rFonts w:ascii="宋体" w:hAnsi="宋体"/>
          <w:b/>
          <w:color w:val="auto"/>
          <w:sz w:val="30"/>
          <w:szCs w:val="30"/>
          <w:highlight w:val="none"/>
        </w:rPr>
        <w:t>中小企业声明函</w:t>
      </w:r>
      <w:r>
        <w:rPr>
          <w:rFonts w:hint="eastAsia"/>
          <w:b/>
          <w:color w:val="auto"/>
          <w:sz w:val="30"/>
          <w:szCs w:val="30"/>
          <w:highlight w:val="none"/>
        </w:rPr>
        <w:t>（货物）</w:t>
      </w:r>
    </w:p>
    <w:p>
      <w:pPr>
        <w:autoSpaceDE w:val="0"/>
        <w:autoSpaceDN w:val="0"/>
        <w:spacing w:line="360" w:lineRule="auto"/>
        <w:ind w:firstLine="505"/>
        <w:rPr>
          <w:rFonts w:hint="eastAsia" w:ascii="宋体" w:hAnsi="宋体"/>
          <w:color w:val="auto"/>
          <w:sz w:val="24"/>
          <w:highlight w:val="none"/>
          <w:lang w:val="zh-CN"/>
        </w:rPr>
      </w:pPr>
      <w:r>
        <w:rPr>
          <w:rFonts w:hint="eastAsia" w:ascii="宋体" w:hAnsi="宋体"/>
          <w:color w:val="auto"/>
          <w:sz w:val="24"/>
          <w:highlight w:val="none"/>
          <w:lang w:val="zh-CN"/>
        </w:rPr>
        <w:t>本公司（联合体）郑重声明，根据《政府采购促进中小企业发展管理办法》（财库﹝2020﹞46 号）的规定，本公司（联合体）参加</w:t>
      </w:r>
      <w:r>
        <w:rPr>
          <w:rFonts w:hint="eastAsia" w:ascii="宋体" w:hAnsi="宋体"/>
          <w:color w:val="auto"/>
          <w:sz w:val="24"/>
          <w:highlight w:val="none"/>
          <w:u w:val="single"/>
          <w:lang w:val="zh-CN"/>
        </w:rPr>
        <w:t xml:space="preserve">          </w:t>
      </w:r>
      <w:r>
        <w:rPr>
          <w:rFonts w:ascii="宋体" w:hAnsi="宋体"/>
          <w:color w:val="auto"/>
          <w:sz w:val="24"/>
          <w:highlight w:val="none"/>
          <w:lang w:val="zh-CN"/>
        </w:rPr>
        <w:t>（</w:t>
      </w:r>
      <w:r>
        <w:rPr>
          <w:rFonts w:hint="eastAsia" w:ascii="宋体" w:hAnsi="宋体"/>
          <w:color w:val="auto"/>
          <w:sz w:val="24"/>
          <w:highlight w:val="none"/>
          <w:lang w:val="zh-CN"/>
        </w:rPr>
        <w:t>单位</w:t>
      </w:r>
      <w:r>
        <w:rPr>
          <w:rFonts w:ascii="宋体" w:hAnsi="宋体"/>
          <w:color w:val="auto"/>
          <w:sz w:val="24"/>
          <w:highlight w:val="none"/>
          <w:lang w:val="zh-CN"/>
        </w:rPr>
        <w:t>名称）</w:t>
      </w:r>
      <w:r>
        <w:rPr>
          <w:rFonts w:hint="eastAsia" w:ascii="宋体" w:hAnsi="宋体"/>
          <w:color w:val="auto"/>
          <w:sz w:val="24"/>
          <w:highlight w:val="none"/>
          <w:u w:val="single"/>
          <w:lang w:val="zh-CN"/>
        </w:rPr>
        <w:t xml:space="preserve">         </w:t>
      </w:r>
      <w:r>
        <w:rPr>
          <w:rFonts w:ascii="宋体" w:hAnsi="宋体"/>
          <w:color w:val="auto"/>
          <w:sz w:val="24"/>
          <w:highlight w:val="none"/>
          <w:lang w:val="zh-CN"/>
        </w:rPr>
        <w:t>（</w:t>
      </w:r>
      <w:r>
        <w:rPr>
          <w:rFonts w:hint="eastAsia" w:ascii="宋体" w:hAnsi="宋体"/>
          <w:color w:val="auto"/>
          <w:sz w:val="24"/>
          <w:highlight w:val="none"/>
          <w:lang w:val="zh-CN"/>
        </w:rPr>
        <w:t>项目名称</w:t>
      </w:r>
      <w:r>
        <w:rPr>
          <w:rFonts w:ascii="宋体" w:hAnsi="宋体"/>
          <w:color w:val="auto"/>
          <w:sz w:val="24"/>
          <w:highlight w:val="none"/>
          <w:lang w:val="zh-CN"/>
        </w:rPr>
        <w:t>）</w:t>
      </w:r>
      <w:r>
        <w:rPr>
          <w:rFonts w:hint="eastAsia" w:ascii="宋体" w:hAnsi="宋体"/>
          <w:color w:val="auto"/>
          <w:sz w:val="24"/>
          <w:highlight w:val="none"/>
          <w:lang w:val="zh-CN"/>
        </w:rPr>
        <w:t>采购活动，提供的货物全部由符合政策要求的中小企业制造。相关企业（含联合体中的中小企业、签订分包意向协议的中小企业）的具体情况如下</w:t>
      </w:r>
      <w:r>
        <w:rPr>
          <w:rFonts w:ascii="宋体" w:hAnsi="宋体"/>
          <w:color w:val="auto"/>
          <w:sz w:val="24"/>
          <w:highlight w:val="none"/>
          <w:lang w:val="zh-CN"/>
        </w:rPr>
        <w:t xml:space="preserve">         </w:t>
      </w:r>
    </w:p>
    <w:p>
      <w:pPr>
        <w:autoSpaceDE w:val="0"/>
        <w:autoSpaceDN w:val="0"/>
        <w:spacing w:line="360" w:lineRule="auto"/>
        <w:ind w:firstLine="505"/>
        <w:rPr>
          <w:rFonts w:hint="eastAsia" w:ascii="宋体" w:hAnsi="宋体"/>
          <w:color w:val="auto"/>
          <w:sz w:val="24"/>
          <w:highlight w:val="none"/>
          <w:lang w:val="zh-CN"/>
        </w:rPr>
      </w:pPr>
      <w:r>
        <w:rPr>
          <w:rFonts w:hint="eastAsia" w:ascii="宋体" w:hAnsi="宋体"/>
          <w:color w:val="auto"/>
          <w:sz w:val="24"/>
          <w:highlight w:val="none"/>
          <w:lang w:val="zh-CN"/>
        </w:rPr>
        <w:t>1、（标的名称）属于（采购文件中明确的所属行业） 行业；制造商为（企业名称），从业人员</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人，营业收入为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万元，资产总额为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万元，属于（中型企业、小型企业、微型企业）；</w:t>
      </w:r>
    </w:p>
    <w:p>
      <w:pPr>
        <w:autoSpaceDE w:val="0"/>
        <w:autoSpaceDN w:val="0"/>
        <w:spacing w:line="360" w:lineRule="auto"/>
        <w:ind w:firstLine="505"/>
        <w:rPr>
          <w:rFonts w:hint="eastAsia" w:ascii="宋体" w:hAnsi="宋体"/>
          <w:color w:val="auto"/>
          <w:sz w:val="24"/>
          <w:highlight w:val="none"/>
          <w:lang w:val="zh-CN"/>
        </w:rPr>
      </w:pPr>
      <w:r>
        <w:rPr>
          <w:rFonts w:hint="eastAsia" w:ascii="宋体" w:hAnsi="宋体"/>
          <w:color w:val="auto"/>
          <w:sz w:val="24"/>
          <w:highlight w:val="none"/>
          <w:lang w:val="zh-CN"/>
        </w:rPr>
        <w:t>2、（标的名称）属于（采购文件中明确的所属行业） 行业；制造商为（企业名称），从业人员</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人，营业收入为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万元，资产总额为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万元，属于（中型企业、小型企业、微型企业）；</w:t>
      </w:r>
    </w:p>
    <w:p>
      <w:pPr>
        <w:autoSpaceDE w:val="0"/>
        <w:autoSpaceDN w:val="0"/>
        <w:spacing w:line="360" w:lineRule="auto"/>
        <w:ind w:firstLine="505"/>
        <w:rPr>
          <w:rFonts w:hint="eastAsia" w:ascii="宋体" w:hAnsi="宋体"/>
          <w:color w:val="auto"/>
          <w:sz w:val="24"/>
          <w:highlight w:val="none"/>
          <w:lang w:val="zh-CN"/>
        </w:rPr>
      </w:pPr>
      <w:r>
        <w:rPr>
          <w:rFonts w:hint="eastAsia" w:ascii="宋体" w:hAnsi="宋体"/>
          <w:color w:val="auto"/>
          <w:sz w:val="24"/>
          <w:highlight w:val="none"/>
          <w:lang w:val="zh-CN"/>
        </w:rPr>
        <w:t>以上企业，不属于大企业的分支机构，不存在控股股东为大企业的情形，也不存在与大企业的负责人为同一人的情形。</w:t>
      </w:r>
    </w:p>
    <w:p>
      <w:pPr>
        <w:autoSpaceDE w:val="0"/>
        <w:autoSpaceDN w:val="0"/>
        <w:spacing w:line="360" w:lineRule="auto"/>
        <w:ind w:firstLine="505"/>
        <w:rPr>
          <w:rFonts w:ascii="宋体" w:hAnsi="宋体"/>
          <w:color w:val="auto"/>
          <w:sz w:val="24"/>
          <w:highlight w:val="none"/>
        </w:rPr>
      </w:pPr>
      <w:r>
        <w:rPr>
          <w:rFonts w:hint="eastAsia" w:ascii="宋体" w:hAnsi="宋体"/>
          <w:color w:val="auto"/>
          <w:sz w:val="24"/>
          <w:highlight w:val="none"/>
        </w:rPr>
        <w:t>本企业对上述声明内容的真实性负责。如有虚假，将依法承担相应责任。</w:t>
      </w:r>
      <w:r>
        <w:rPr>
          <w:rFonts w:ascii="宋体" w:hAnsi="宋体"/>
          <w:color w:val="auto"/>
          <w:szCs w:val="21"/>
          <w:highlight w:val="none"/>
          <w:lang w:val="zh-CN"/>
        </w:rPr>
        <w:t xml:space="preserve">            </w:t>
      </w:r>
    </w:p>
    <w:p>
      <w:pPr>
        <w:tabs>
          <w:tab w:val="left" w:pos="4860"/>
        </w:tabs>
        <w:autoSpaceDE w:val="0"/>
        <w:autoSpaceDN w:val="0"/>
        <w:spacing w:line="500" w:lineRule="exact"/>
        <w:ind w:right="1560" w:firstLine="504"/>
        <w:jc w:val="center"/>
        <w:rPr>
          <w:rFonts w:hint="eastAsia" w:ascii="宋体" w:hAnsi="宋体"/>
          <w:color w:val="auto"/>
          <w:szCs w:val="21"/>
          <w:highlight w:val="none"/>
          <w:lang w:val="zh-CN"/>
        </w:rPr>
      </w:pPr>
    </w:p>
    <w:p>
      <w:pPr>
        <w:tabs>
          <w:tab w:val="left" w:pos="4860"/>
        </w:tabs>
        <w:autoSpaceDE w:val="0"/>
        <w:autoSpaceDN w:val="0"/>
        <w:spacing w:line="500" w:lineRule="exact"/>
        <w:ind w:right="1560" w:firstLine="504"/>
        <w:jc w:val="center"/>
        <w:rPr>
          <w:rFonts w:hint="eastAsia" w:ascii="宋体" w:hAnsi="宋体"/>
          <w:color w:val="auto"/>
          <w:sz w:val="30"/>
          <w:szCs w:val="30"/>
          <w:highlight w:val="none"/>
          <w:lang w:val="zh-CN"/>
        </w:rPr>
      </w:pPr>
      <w:r>
        <w:rPr>
          <w:rFonts w:ascii="宋体" w:hAnsi="宋体"/>
          <w:color w:val="auto"/>
          <w:szCs w:val="21"/>
          <w:highlight w:val="none"/>
          <w:lang w:val="zh-CN"/>
        </w:rPr>
        <w:t xml:space="preserve">                       </w:t>
      </w:r>
      <w:r>
        <w:rPr>
          <w:rFonts w:ascii="宋体" w:hAnsi="宋体"/>
          <w:color w:val="auto"/>
          <w:sz w:val="24"/>
          <w:highlight w:val="none"/>
        </w:rPr>
        <w:t xml:space="preserve">           </w:t>
      </w:r>
      <w:r>
        <w:rPr>
          <w:rFonts w:hint="eastAsia" w:ascii="宋体" w:hAnsi="宋体"/>
          <w:color w:val="auto"/>
          <w:sz w:val="24"/>
          <w:highlight w:val="none"/>
        </w:rPr>
        <w:t>企业名称（签章或盖章）：</w:t>
      </w:r>
      <w:r>
        <w:rPr>
          <w:rFonts w:ascii="宋体" w:hAnsi="宋体"/>
          <w:color w:val="auto"/>
          <w:sz w:val="24"/>
          <w:highlight w:val="none"/>
        </w:rPr>
        <w:t xml:space="preserve"> </w:t>
      </w:r>
    </w:p>
    <w:p>
      <w:pPr>
        <w:autoSpaceDE w:val="0"/>
        <w:autoSpaceDN w:val="0"/>
        <w:spacing w:line="500" w:lineRule="exact"/>
        <w:ind w:firstLine="4560" w:firstLineChars="1900"/>
        <w:rPr>
          <w:rFonts w:hint="eastAsia" w:ascii="宋体" w:hAnsi="宋体"/>
          <w:color w:val="auto"/>
          <w:sz w:val="24"/>
          <w:highlight w:val="none"/>
          <w:lang w:val="zh-CN"/>
        </w:rPr>
      </w:pPr>
    </w:p>
    <w:p>
      <w:pPr>
        <w:autoSpaceDE w:val="0"/>
        <w:autoSpaceDN w:val="0"/>
        <w:spacing w:line="500" w:lineRule="exact"/>
        <w:ind w:firstLine="4560" w:firstLineChars="1900"/>
        <w:rPr>
          <w:rFonts w:hint="eastAsia" w:ascii="宋体" w:hAnsi="宋体"/>
          <w:color w:val="auto"/>
          <w:sz w:val="24"/>
          <w:highlight w:val="none"/>
          <w:lang w:val="zh-CN"/>
        </w:rPr>
      </w:pPr>
      <w:r>
        <w:rPr>
          <w:rFonts w:ascii="宋体" w:hAnsi="宋体"/>
          <w:color w:val="auto"/>
          <w:sz w:val="24"/>
          <w:highlight w:val="none"/>
          <w:lang w:val="zh-CN"/>
        </w:rPr>
        <w:t xml:space="preserve">日期：     年 </w:t>
      </w:r>
      <w:r>
        <w:rPr>
          <w:rFonts w:hint="eastAsia" w:ascii="宋体" w:hAnsi="宋体"/>
          <w:color w:val="auto"/>
          <w:sz w:val="24"/>
          <w:highlight w:val="none"/>
          <w:lang w:val="zh-CN"/>
        </w:rPr>
        <w:t xml:space="preserve"> </w:t>
      </w:r>
      <w:r>
        <w:rPr>
          <w:rFonts w:ascii="宋体" w:hAnsi="宋体"/>
          <w:color w:val="auto"/>
          <w:sz w:val="24"/>
          <w:highlight w:val="none"/>
          <w:lang w:val="zh-CN"/>
        </w:rPr>
        <w:t xml:space="preserve">月 </w:t>
      </w:r>
      <w:r>
        <w:rPr>
          <w:rFonts w:hint="eastAsia" w:ascii="宋体" w:hAnsi="宋体"/>
          <w:color w:val="auto"/>
          <w:sz w:val="24"/>
          <w:highlight w:val="none"/>
          <w:lang w:val="zh-CN"/>
        </w:rPr>
        <w:t xml:space="preserve"> </w:t>
      </w:r>
      <w:r>
        <w:rPr>
          <w:rFonts w:ascii="宋体" w:hAnsi="宋体"/>
          <w:color w:val="auto"/>
          <w:sz w:val="24"/>
          <w:highlight w:val="none"/>
          <w:lang w:val="zh-CN"/>
        </w:rPr>
        <w:t>日</w:t>
      </w:r>
    </w:p>
    <w:p>
      <w:pPr>
        <w:widowControl/>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从业人员、营业收入、资产总额填报上一年度数据，无上一年度数据的新成立企业可不填报。</w:t>
      </w:r>
    </w:p>
    <w:p>
      <w:pPr>
        <w:spacing w:line="400" w:lineRule="exact"/>
        <w:jc w:val="center"/>
        <w:rPr>
          <w:rFonts w:ascii="宋体" w:hAnsi="宋体"/>
          <w:b/>
          <w:color w:val="auto"/>
          <w:sz w:val="30"/>
          <w:szCs w:val="30"/>
          <w:highlight w:val="none"/>
        </w:rPr>
      </w:pPr>
    </w:p>
    <w:p>
      <w:pPr>
        <w:pStyle w:val="90"/>
        <w:rPr>
          <w:rFonts w:ascii="宋体" w:hAnsi="宋体"/>
          <w:b/>
          <w:color w:val="auto"/>
          <w:sz w:val="30"/>
          <w:szCs w:val="30"/>
          <w:highlight w:val="none"/>
        </w:rPr>
      </w:pPr>
    </w:p>
    <w:p>
      <w:pPr>
        <w:rPr>
          <w:rFonts w:ascii="宋体" w:hAnsi="宋体"/>
          <w:b/>
          <w:color w:val="auto"/>
          <w:sz w:val="30"/>
          <w:szCs w:val="30"/>
          <w:highlight w:val="none"/>
        </w:rPr>
      </w:pPr>
    </w:p>
    <w:p>
      <w:pPr>
        <w:spacing w:line="400" w:lineRule="exact"/>
        <w:jc w:val="center"/>
        <w:rPr>
          <w:rFonts w:ascii="宋体" w:hAnsi="宋体"/>
          <w:b/>
          <w:color w:val="auto"/>
          <w:sz w:val="30"/>
          <w:szCs w:val="30"/>
          <w:highlight w:val="none"/>
        </w:rPr>
      </w:pPr>
    </w:p>
    <w:p>
      <w:pPr>
        <w:rPr>
          <w:rFonts w:ascii="宋体" w:hAnsi="宋体"/>
          <w:b/>
          <w:color w:val="auto"/>
          <w:sz w:val="30"/>
          <w:szCs w:val="30"/>
          <w:highlight w:val="none"/>
        </w:rPr>
      </w:pPr>
      <w:r>
        <w:rPr>
          <w:rFonts w:ascii="宋体" w:hAnsi="宋体"/>
          <w:b/>
          <w:color w:val="auto"/>
          <w:sz w:val="30"/>
          <w:szCs w:val="30"/>
          <w:highlight w:val="none"/>
        </w:rPr>
        <w:br w:type="page"/>
      </w:r>
    </w:p>
    <w:p>
      <w:pPr>
        <w:spacing w:line="400" w:lineRule="exact"/>
        <w:jc w:val="center"/>
        <w:rPr>
          <w:rFonts w:ascii="宋体" w:hAnsi="宋体"/>
          <w:color w:val="auto"/>
          <w:sz w:val="30"/>
          <w:szCs w:val="30"/>
          <w:highlight w:val="none"/>
        </w:rPr>
      </w:pPr>
      <w:r>
        <w:rPr>
          <w:rFonts w:ascii="宋体" w:hAnsi="宋体"/>
          <w:b/>
          <w:color w:val="auto"/>
          <w:sz w:val="30"/>
          <w:szCs w:val="30"/>
          <w:highlight w:val="none"/>
        </w:rPr>
        <w:t>中小企业声明函</w:t>
      </w:r>
      <w:r>
        <w:rPr>
          <w:rFonts w:hint="eastAsia"/>
          <w:b/>
          <w:color w:val="auto"/>
          <w:sz w:val="30"/>
          <w:szCs w:val="30"/>
          <w:highlight w:val="none"/>
        </w:rPr>
        <w:t>（工程、服务）</w:t>
      </w:r>
    </w:p>
    <w:p>
      <w:pPr>
        <w:autoSpaceDE w:val="0"/>
        <w:autoSpaceDN w:val="0"/>
        <w:spacing w:line="360" w:lineRule="auto"/>
        <w:ind w:firstLine="505"/>
        <w:rPr>
          <w:rFonts w:hint="eastAsia" w:ascii="宋体" w:hAnsi="宋体"/>
          <w:color w:val="auto"/>
          <w:sz w:val="24"/>
          <w:highlight w:val="none"/>
          <w:lang w:val="zh-CN"/>
        </w:rPr>
      </w:pPr>
      <w:r>
        <w:rPr>
          <w:rFonts w:hint="eastAsia" w:ascii="宋体" w:hAnsi="宋体"/>
          <w:color w:val="auto"/>
          <w:sz w:val="24"/>
          <w:highlight w:val="none"/>
          <w:lang w:val="zh-CN"/>
        </w:rPr>
        <w:t>本公司（联合体）郑重声明，根据《政府采购促进中小企业发展管理办法》（财库﹝2020﹞46 号）的规定，本公司（联合体）参加</w:t>
      </w:r>
      <w:r>
        <w:rPr>
          <w:rFonts w:hint="eastAsia" w:ascii="宋体" w:hAnsi="宋体"/>
          <w:color w:val="auto"/>
          <w:sz w:val="24"/>
          <w:highlight w:val="none"/>
          <w:u w:val="single"/>
          <w:lang w:val="zh-CN"/>
        </w:rPr>
        <w:t xml:space="preserve">          </w:t>
      </w:r>
      <w:r>
        <w:rPr>
          <w:rFonts w:ascii="宋体" w:hAnsi="宋体"/>
          <w:color w:val="auto"/>
          <w:sz w:val="24"/>
          <w:highlight w:val="none"/>
          <w:lang w:val="zh-CN"/>
        </w:rPr>
        <w:t>（</w:t>
      </w:r>
      <w:r>
        <w:rPr>
          <w:rFonts w:hint="eastAsia" w:ascii="宋体" w:hAnsi="宋体"/>
          <w:color w:val="auto"/>
          <w:sz w:val="24"/>
          <w:highlight w:val="none"/>
          <w:lang w:val="zh-CN"/>
        </w:rPr>
        <w:t>单位</w:t>
      </w:r>
      <w:r>
        <w:rPr>
          <w:rFonts w:ascii="宋体" w:hAnsi="宋体"/>
          <w:color w:val="auto"/>
          <w:sz w:val="24"/>
          <w:highlight w:val="none"/>
          <w:lang w:val="zh-CN"/>
        </w:rPr>
        <w:t>名称）</w:t>
      </w:r>
      <w:r>
        <w:rPr>
          <w:rFonts w:hint="eastAsia" w:ascii="宋体" w:hAnsi="宋体"/>
          <w:color w:val="auto"/>
          <w:sz w:val="24"/>
          <w:highlight w:val="none"/>
          <w:u w:val="single"/>
          <w:lang w:val="zh-CN"/>
        </w:rPr>
        <w:t xml:space="preserve">         </w:t>
      </w:r>
      <w:r>
        <w:rPr>
          <w:rFonts w:ascii="宋体" w:hAnsi="宋体"/>
          <w:color w:val="auto"/>
          <w:sz w:val="24"/>
          <w:highlight w:val="none"/>
          <w:lang w:val="zh-CN"/>
        </w:rPr>
        <w:t>（</w:t>
      </w:r>
      <w:r>
        <w:rPr>
          <w:rFonts w:hint="eastAsia" w:ascii="宋体" w:hAnsi="宋体"/>
          <w:color w:val="auto"/>
          <w:sz w:val="24"/>
          <w:highlight w:val="none"/>
          <w:lang w:val="zh-CN"/>
        </w:rPr>
        <w:t>项目名称</w:t>
      </w:r>
      <w:r>
        <w:rPr>
          <w:rFonts w:ascii="宋体" w:hAnsi="宋体"/>
          <w:color w:val="auto"/>
          <w:sz w:val="24"/>
          <w:highlight w:val="none"/>
          <w:lang w:val="zh-CN"/>
        </w:rPr>
        <w:t>）</w:t>
      </w:r>
      <w:r>
        <w:rPr>
          <w:rFonts w:hint="eastAsia" w:ascii="宋体" w:hAnsi="宋体"/>
          <w:color w:val="auto"/>
          <w:sz w:val="24"/>
          <w:highlight w:val="none"/>
          <w:lang w:val="zh-CN"/>
        </w:rPr>
        <w:t>采购活动，工程的施工单位全部为符合政策要求的中小企业（或者：服务全部由符合政策要求的中小企业承接）。相关企业（含联合体中的中小企业、签订分包意向协议的中小企业） 的具体情况如下：</w:t>
      </w:r>
      <w:r>
        <w:rPr>
          <w:rFonts w:ascii="宋体" w:hAnsi="宋体"/>
          <w:color w:val="auto"/>
          <w:sz w:val="24"/>
          <w:highlight w:val="none"/>
          <w:lang w:val="zh-CN"/>
        </w:rPr>
        <w:t xml:space="preserve">         </w:t>
      </w:r>
    </w:p>
    <w:p>
      <w:pPr>
        <w:autoSpaceDE w:val="0"/>
        <w:autoSpaceDN w:val="0"/>
        <w:spacing w:line="360" w:lineRule="auto"/>
        <w:ind w:firstLine="505"/>
        <w:rPr>
          <w:rFonts w:hint="eastAsia" w:ascii="宋体" w:hAnsi="宋体"/>
          <w:color w:val="auto"/>
          <w:sz w:val="24"/>
          <w:highlight w:val="none"/>
          <w:lang w:val="zh-CN"/>
        </w:rPr>
      </w:pPr>
      <w:r>
        <w:rPr>
          <w:rFonts w:hint="eastAsia" w:ascii="宋体" w:hAnsi="宋体"/>
          <w:color w:val="auto"/>
          <w:sz w:val="24"/>
          <w:highlight w:val="none"/>
          <w:lang w:val="zh-CN"/>
        </w:rPr>
        <w:t>1、（标的名称）属于（采购文件中明确的所属行业） 行业；制造商为（企业名称），从业人员</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人，营业收入为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万元，资产总额为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万元，属于（中型企业、小型企业、微型企业）；</w:t>
      </w:r>
    </w:p>
    <w:p>
      <w:pPr>
        <w:autoSpaceDE w:val="0"/>
        <w:autoSpaceDN w:val="0"/>
        <w:spacing w:line="360" w:lineRule="auto"/>
        <w:ind w:firstLine="505"/>
        <w:rPr>
          <w:rFonts w:hint="eastAsia" w:ascii="宋体" w:hAnsi="宋体"/>
          <w:color w:val="auto"/>
          <w:sz w:val="24"/>
          <w:highlight w:val="none"/>
          <w:lang w:val="zh-CN"/>
        </w:rPr>
      </w:pPr>
      <w:r>
        <w:rPr>
          <w:rFonts w:hint="eastAsia" w:ascii="宋体" w:hAnsi="宋体"/>
          <w:color w:val="auto"/>
          <w:sz w:val="24"/>
          <w:highlight w:val="none"/>
          <w:lang w:val="zh-CN"/>
        </w:rPr>
        <w:t>2、（标的名称）属于（采购文件中明确的所属行业） 行业；制造商为（企业名称），从业人员</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人，营业收入为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万元，资产总额为</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万元，属于（中型企业、小型企业、微型企业）；</w:t>
      </w:r>
    </w:p>
    <w:p>
      <w:pPr>
        <w:autoSpaceDE w:val="0"/>
        <w:autoSpaceDN w:val="0"/>
        <w:spacing w:line="360" w:lineRule="auto"/>
        <w:ind w:firstLine="505"/>
        <w:rPr>
          <w:rFonts w:hint="eastAsia" w:ascii="宋体" w:hAnsi="宋体"/>
          <w:color w:val="auto"/>
          <w:sz w:val="24"/>
          <w:highlight w:val="none"/>
          <w:lang w:val="zh-CN"/>
        </w:rPr>
      </w:pPr>
      <w:r>
        <w:rPr>
          <w:rFonts w:hint="eastAsia" w:ascii="宋体" w:hAnsi="宋体"/>
          <w:color w:val="auto"/>
          <w:sz w:val="24"/>
          <w:highlight w:val="none"/>
          <w:lang w:val="zh-CN"/>
        </w:rPr>
        <w:t>以上企业，不属于大企业的分支机构，不存在控股股东为大企业的情形，也不存在与大企业的负责人为同一人的情形。</w:t>
      </w:r>
    </w:p>
    <w:p>
      <w:pPr>
        <w:autoSpaceDE w:val="0"/>
        <w:autoSpaceDN w:val="0"/>
        <w:spacing w:line="360" w:lineRule="auto"/>
        <w:ind w:firstLine="505"/>
        <w:rPr>
          <w:rFonts w:ascii="宋体" w:hAnsi="宋体"/>
          <w:color w:val="auto"/>
          <w:sz w:val="24"/>
          <w:highlight w:val="none"/>
        </w:rPr>
      </w:pPr>
      <w:r>
        <w:rPr>
          <w:rFonts w:hint="eastAsia" w:ascii="宋体" w:hAnsi="宋体"/>
          <w:color w:val="auto"/>
          <w:sz w:val="24"/>
          <w:highlight w:val="none"/>
        </w:rPr>
        <w:t>本企业对上述声明内容的真实性负责。如有虚假，将依法承担相应责任。</w:t>
      </w:r>
      <w:r>
        <w:rPr>
          <w:rFonts w:ascii="宋体" w:hAnsi="宋体"/>
          <w:color w:val="auto"/>
          <w:szCs w:val="21"/>
          <w:highlight w:val="none"/>
          <w:lang w:val="zh-CN"/>
        </w:rPr>
        <w:t xml:space="preserve">            </w:t>
      </w:r>
    </w:p>
    <w:p>
      <w:pPr>
        <w:tabs>
          <w:tab w:val="left" w:pos="4860"/>
        </w:tabs>
        <w:autoSpaceDE w:val="0"/>
        <w:autoSpaceDN w:val="0"/>
        <w:spacing w:line="500" w:lineRule="exact"/>
        <w:ind w:right="1560" w:firstLine="504"/>
        <w:jc w:val="center"/>
        <w:rPr>
          <w:rFonts w:hint="eastAsia" w:ascii="宋体" w:hAnsi="宋体"/>
          <w:color w:val="auto"/>
          <w:sz w:val="30"/>
          <w:szCs w:val="30"/>
          <w:highlight w:val="none"/>
          <w:lang w:val="zh-CN"/>
        </w:rPr>
      </w:pPr>
      <w:r>
        <w:rPr>
          <w:rFonts w:ascii="宋体" w:hAnsi="宋体"/>
          <w:color w:val="auto"/>
          <w:szCs w:val="21"/>
          <w:highlight w:val="none"/>
          <w:lang w:val="zh-CN"/>
        </w:rPr>
        <w:t xml:space="preserve">                       </w:t>
      </w:r>
      <w:r>
        <w:rPr>
          <w:rFonts w:ascii="宋体" w:hAnsi="宋体"/>
          <w:color w:val="auto"/>
          <w:sz w:val="24"/>
          <w:highlight w:val="none"/>
        </w:rPr>
        <w:t xml:space="preserve">           </w:t>
      </w:r>
      <w:r>
        <w:rPr>
          <w:rFonts w:hint="eastAsia" w:ascii="宋体" w:hAnsi="宋体"/>
          <w:color w:val="auto"/>
          <w:sz w:val="24"/>
          <w:highlight w:val="none"/>
        </w:rPr>
        <w:t>企业名称（签章或盖章）：</w:t>
      </w:r>
      <w:r>
        <w:rPr>
          <w:rFonts w:ascii="宋体" w:hAnsi="宋体"/>
          <w:color w:val="auto"/>
          <w:sz w:val="24"/>
          <w:highlight w:val="none"/>
        </w:rPr>
        <w:t xml:space="preserve"> </w:t>
      </w:r>
    </w:p>
    <w:p>
      <w:pPr>
        <w:autoSpaceDE w:val="0"/>
        <w:autoSpaceDN w:val="0"/>
        <w:spacing w:line="500" w:lineRule="exact"/>
        <w:ind w:firstLine="4560" w:firstLineChars="1900"/>
        <w:rPr>
          <w:rFonts w:hint="eastAsia" w:ascii="宋体" w:hAnsi="宋体"/>
          <w:color w:val="auto"/>
          <w:sz w:val="24"/>
          <w:highlight w:val="none"/>
          <w:lang w:val="zh-CN"/>
        </w:rPr>
      </w:pPr>
    </w:p>
    <w:p>
      <w:pPr>
        <w:autoSpaceDE w:val="0"/>
        <w:autoSpaceDN w:val="0"/>
        <w:spacing w:line="500" w:lineRule="exact"/>
        <w:ind w:firstLine="4560" w:firstLineChars="1900"/>
        <w:rPr>
          <w:rFonts w:hint="eastAsia" w:ascii="宋体" w:hAnsi="宋体"/>
          <w:color w:val="auto"/>
          <w:sz w:val="24"/>
          <w:highlight w:val="none"/>
          <w:lang w:val="zh-CN"/>
        </w:rPr>
      </w:pPr>
      <w:r>
        <w:rPr>
          <w:rFonts w:ascii="宋体" w:hAnsi="宋体"/>
          <w:color w:val="auto"/>
          <w:sz w:val="24"/>
          <w:highlight w:val="none"/>
          <w:lang w:val="zh-CN"/>
        </w:rPr>
        <w:t xml:space="preserve">日期：     年 </w:t>
      </w:r>
      <w:r>
        <w:rPr>
          <w:rFonts w:hint="eastAsia" w:ascii="宋体" w:hAnsi="宋体"/>
          <w:color w:val="auto"/>
          <w:sz w:val="24"/>
          <w:highlight w:val="none"/>
          <w:lang w:val="zh-CN"/>
        </w:rPr>
        <w:t xml:space="preserve"> </w:t>
      </w:r>
      <w:r>
        <w:rPr>
          <w:rFonts w:ascii="宋体" w:hAnsi="宋体"/>
          <w:color w:val="auto"/>
          <w:sz w:val="24"/>
          <w:highlight w:val="none"/>
          <w:lang w:val="zh-CN"/>
        </w:rPr>
        <w:t xml:space="preserve">月 </w:t>
      </w:r>
      <w:r>
        <w:rPr>
          <w:rFonts w:hint="eastAsia" w:ascii="宋体" w:hAnsi="宋体"/>
          <w:color w:val="auto"/>
          <w:sz w:val="24"/>
          <w:highlight w:val="none"/>
          <w:lang w:val="zh-CN"/>
        </w:rPr>
        <w:t xml:space="preserve"> </w:t>
      </w:r>
      <w:r>
        <w:rPr>
          <w:rFonts w:ascii="宋体" w:hAnsi="宋体"/>
          <w:color w:val="auto"/>
          <w:sz w:val="24"/>
          <w:highlight w:val="none"/>
          <w:lang w:val="zh-CN"/>
        </w:rPr>
        <w:t>日</w:t>
      </w:r>
    </w:p>
    <w:p>
      <w:pPr>
        <w:widowControl/>
        <w:spacing w:line="480" w:lineRule="auto"/>
        <w:rPr>
          <w:rFonts w:hint="eastAsia" w:ascii="宋体" w:hAnsi="宋体"/>
          <w:color w:val="auto"/>
          <w:sz w:val="24"/>
          <w:highlight w:val="none"/>
          <w:lang w:val="zh-CN"/>
        </w:rPr>
      </w:pPr>
      <w:r>
        <w:rPr>
          <w:rFonts w:hint="eastAsia" w:ascii="宋体" w:hAnsi="宋体"/>
          <w:color w:val="auto"/>
          <w:sz w:val="24"/>
          <w:highlight w:val="none"/>
          <w:lang w:val="zh-CN"/>
        </w:rPr>
        <w:t>从业人员、营业收入、资产总额填报上一年度数据，无上一年度数据的新成立企业可不填报。</w:t>
      </w:r>
    </w:p>
    <w:p>
      <w:pPr>
        <w:rPr>
          <w:rFonts w:hint="eastAsia" w:hAnsi="宋体"/>
          <w:b/>
          <w:color w:val="auto"/>
          <w:sz w:val="30"/>
          <w:szCs w:val="30"/>
          <w:highlight w:val="none"/>
        </w:rPr>
      </w:pPr>
    </w:p>
    <w:p>
      <w:pPr>
        <w:pStyle w:val="90"/>
        <w:rPr>
          <w:rFonts w:hint="eastAsia" w:hAnsi="宋体"/>
          <w:b/>
          <w:color w:val="auto"/>
          <w:sz w:val="30"/>
          <w:szCs w:val="30"/>
          <w:highlight w:val="none"/>
        </w:rPr>
      </w:pPr>
    </w:p>
    <w:p>
      <w:pPr>
        <w:rPr>
          <w:rFonts w:hAnsi="宋体"/>
          <w:b/>
          <w:color w:val="auto"/>
          <w:sz w:val="30"/>
          <w:szCs w:val="30"/>
          <w:highlight w:val="none"/>
        </w:rPr>
      </w:pPr>
      <w:r>
        <w:rPr>
          <w:rFonts w:hAnsi="宋体"/>
          <w:b/>
          <w:color w:val="auto"/>
          <w:sz w:val="30"/>
          <w:szCs w:val="30"/>
          <w:highlight w:val="none"/>
        </w:rPr>
        <w:br w:type="page"/>
      </w:r>
    </w:p>
    <w:p>
      <w:pPr>
        <w:rPr>
          <w:rFonts w:hint="eastAsia" w:hAnsi="宋体"/>
          <w:b/>
          <w:color w:val="auto"/>
          <w:sz w:val="30"/>
          <w:szCs w:val="30"/>
          <w:highlight w:val="none"/>
        </w:rPr>
      </w:pPr>
      <w:r>
        <w:rPr>
          <w:rFonts w:hAnsi="宋体"/>
          <w:b/>
          <w:color w:val="auto"/>
          <w:sz w:val="30"/>
          <w:szCs w:val="30"/>
          <w:highlight w:val="none"/>
        </w:rPr>
        <w:t>附件：</w:t>
      </w:r>
      <w:r>
        <w:rPr>
          <w:rFonts w:hint="eastAsia" w:hAnsi="宋体"/>
          <w:b/>
          <w:color w:val="auto"/>
          <w:sz w:val="30"/>
          <w:szCs w:val="30"/>
          <w:highlight w:val="none"/>
        </w:rPr>
        <w:t xml:space="preserve">              </w:t>
      </w:r>
    </w:p>
    <w:p>
      <w:pPr>
        <w:jc w:val="center"/>
        <w:rPr>
          <w:color w:val="auto"/>
          <w:sz w:val="24"/>
          <w:highlight w:val="none"/>
        </w:rPr>
      </w:pPr>
      <w:r>
        <w:rPr>
          <w:rFonts w:hint="eastAsia" w:hAnsi="宋体"/>
          <w:b/>
          <w:color w:val="auto"/>
          <w:sz w:val="30"/>
          <w:szCs w:val="30"/>
          <w:highlight w:val="none"/>
        </w:rPr>
        <w:t>残疾人福利性单位声明函</w:t>
      </w:r>
    </w:p>
    <w:p>
      <w:pPr>
        <w:spacing w:line="588" w:lineRule="exact"/>
        <w:rPr>
          <w:rFonts w:ascii="仿宋_GB2312" w:eastAsia="仿宋_GB2312"/>
          <w:b/>
          <w:color w:val="auto"/>
          <w:spacing w:val="6"/>
          <w:sz w:val="30"/>
          <w:szCs w:val="30"/>
          <w:highlight w:val="none"/>
        </w:rPr>
      </w:pPr>
    </w:p>
    <w:p>
      <w:pPr>
        <w:spacing w:line="600" w:lineRule="exact"/>
        <w:ind w:firstLine="504" w:firstLineChars="200"/>
        <w:rPr>
          <w:color w:val="auto"/>
          <w:spacing w:val="6"/>
          <w:sz w:val="24"/>
          <w:highlight w:val="none"/>
        </w:rPr>
      </w:pPr>
      <w:r>
        <w:rPr>
          <w:rFonts w:hAnsi="宋体"/>
          <w:color w:val="auto"/>
          <w:spacing w:val="6"/>
          <w:sz w:val="24"/>
          <w:highlight w:val="none"/>
        </w:rPr>
        <w:t>本单位郑重声明，根据《财政部</w:t>
      </w:r>
      <w:r>
        <w:rPr>
          <w:color w:val="auto"/>
          <w:spacing w:val="6"/>
          <w:sz w:val="24"/>
          <w:highlight w:val="none"/>
        </w:rPr>
        <w:t xml:space="preserve"> </w:t>
      </w:r>
      <w:r>
        <w:rPr>
          <w:rFonts w:hAnsi="宋体"/>
          <w:color w:val="auto"/>
          <w:spacing w:val="6"/>
          <w:sz w:val="24"/>
          <w:highlight w:val="none"/>
        </w:rPr>
        <w:t>民政部</w:t>
      </w:r>
      <w:r>
        <w:rPr>
          <w:color w:val="auto"/>
          <w:spacing w:val="6"/>
          <w:sz w:val="24"/>
          <w:highlight w:val="none"/>
        </w:rPr>
        <w:t xml:space="preserve"> </w:t>
      </w:r>
      <w:r>
        <w:rPr>
          <w:rFonts w:hAnsi="宋体"/>
          <w:color w:val="auto"/>
          <w:spacing w:val="6"/>
          <w:sz w:val="24"/>
          <w:highlight w:val="none"/>
        </w:rPr>
        <w:t>中国残疾人联合会关于促进残疾人就业政府采购政策的通知》（财库</w:t>
      </w:r>
      <w:r>
        <w:rPr>
          <w:rFonts w:hAnsi="宋体"/>
          <w:color w:val="auto"/>
          <w:sz w:val="24"/>
          <w:highlight w:val="none"/>
        </w:rPr>
        <w:t>〔</w:t>
      </w:r>
      <w:r>
        <w:rPr>
          <w:color w:val="auto"/>
          <w:sz w:val="24"/>
          <w:highlight w:val="none"/>
        </w:rPr>
        <w:t>2017</w:t>
      </w:r>
      <w:r>
        <w:rPr>
          <w:rFonts w:hAnsi="宋体"/>
          <w:color w:val="auto"/>
          <w:sz w:val="24"/>
          <w:highlight w:val="none"/>
        </w:rPr>
        <w:t>〕</w:t>
      </w:r>
      <w:r>
        <w:rPr>
          <w:color w:val="auto"/>
          <w:sz w:val="24"/>
          <w:highlight w:val="none"/>
        </w:rPr>
        <w:t xml:space="preserve"> 141</w:t>
      </w:r>
      <w:r>
        <w:rPr>
          <w:rFonts w:hAnsi="宋体"/>
          <w:color w:val="auto"/>
          <w:spacing w:val="6"/>
          <w:sz w:val="24"/>
          <w:highlight w:val="none"/>
        </w:rPr>
        <w:t>号）的规定，本单位为符合条件的残疾人福利性单位，且本单位参加</w:t>
      </w:r>
      <w:r>
        <w:rPr>
          <w:rFonts w:hint="eastAsia"/>
          <w:color w:val="auto"/>
          <w:spacing w:val="6"/>
          <w:sz w:val="24"/>
          <w:highlight w:val="none"/>
          <w:u w:val="single"/>
        </w:rPr>
        <w:t xml:space="preserve">       </w:t>
      </w:r>
      <w:r>
        <w:rPr>
          <w:rFonts w:hAnsi="宋体"/>
          <w:color w:val="auto"/>
          <w:spacing w:val="6"/>
          <w:sz w:val="24"/>
          <w:highlight w:val="none"/>
        </w:rPr>
        <w:t>单位的</w:t>
      </w:r>
      <w:r>
        <w:rPr>
          <w:rFonts w:hint="eastAsia"/>
          <w:color w:val="auto"/>
          <w:spacing w:val="6"/>
          <w:sz w:val="24"/>
          <w:highlight w:val="none"/>
          <w:u w:val="single"/>
        </w:rPr>
        <w:t xml:space="preserve">                   </w:t>
      </w:r>
      <w:r>
        <w:rPr>
          <w:rFonts w:hAnsi="宋体"/>
          <w:color w:val="auto"/>
          <w:spacing w:val="6"/>
          <w:sz w:val="24"/>
          <w:highlight w:val="none"/>
        </w:rPr>
        <w:t>项目采购活动提供本单位制造的货物（由本单位承担工程</w:t>
      </w:r>
      <w:r>
        <w:rPr>
          <w:color w:val="auto"/>
          <w:spacing w:val="6"/>
          <w:sz w:val="24"/>
          <w:highlight w:val="none"/>
        </w:rPr>
        <w:t>/</w:t>
      </w:r>
      <w:r>
        <w:rPr>
          <w:rFonts w:hAnsi="宋体"/>
          <w:color w:val="auto"/>
          <w:spacing w:val="6"/>
          <w:sz w:val="24"/>
          <w:highlight w:val="none"/>
        </w:rPr>
        <w:t>提供服务），或者提供其他残疾人福利性单位制造的货物（不包括使用非残疾人福利性单位注册商标的货物）。</w:t>
      </w:r>
    </w:p>
    <w:p>
      <w:pPr>
        <w:spacing w:line="600" w:lineRule="exact"/>
        <w:ind w:firstLine="504" w:firstLineChars="200"/>
        <w:rPr>
          <w:color w:val="auto"/>
          <w:spacing w:val="6"/>
          <w:sz w:val="24"/>
          <w:highlight w:val="none"/>
        </w:rPr>
      </w:pPr>
      <w:r>
        <w:rPr>
          <w:rFonts w:hAnsi="宋体"/>
          <w:color w:val="auto"/>
          <w:spacing w:val="6"/>
          <w:sz w:val="24"/>
          <w:highlight w:val="none"/>
        </w:rPr>
        <w:t>本单位对上述声明的真实性负责。如有虚假，将依法承担相应责任。</w:t>
      </w:r>
    </w:p>
    <w:p>
      <w:pPr>
        <w:spacing w:line="500" w:lineRule="exact"/>
        <w:ind w:firstLine="504" w:firstLineChars="200"/>
        <w:rPr>
          <w:color w:val="auto"/>
          <w:spacing w:val="6"/>
          <w:sz w:val="24"/>
          <w:highlight w:val="none"/>
        </w:rPr>
      </w:pPr>
    </w:p>
    <w:p>
      <w:pPr>
        <w:spacing w:line="500" w:lineRule="exact"/>
        <w:ind w:firstLine="504" w:firstLineChars="200"/>
        <w:rPr>
          <w:color w:val="auto"/>
          <w:spacing w:val="6"/>
          <w:sz w:val="24"/>
          <w:highlight w:val="none"/>
        </w:rPr>
      </w:pPr>
    </w:p>
    <w:p>
      <w:pPr>
        <w:tabs>
          <w:tab w:val="left" w:pos="4860"/>
        </w:tabs>
        <w:autoSpaceDE w:val="0"/>
        <w:autoSpaceDN w:val="0"/>
        <w:spacing w:line="588" w:lineRule="exact"/>
        <w:ind w:right="1560" w:firstLine="504"/>
        <w:jc w:val="center"/>
        <w:rPr>
          <w:color w:val="auto"/>
          <w:sz w:val="24"/>
          <w:highlight w:val="none"/>
          <w:lang w:val="zh-CN"/>
        </w:rPr>
      </w:pPr>
      <w:r>
        <w:rPr>
          <w:color w:val="auto"/>
          <w:spacing w:val="6"/>
          <w:sz w:val="24"/>
          <w:highlight w:val="none"/>
        </w:rPr>
        <w:t xml:space="preserve">             </w:t>
      </w:r>
      <w:r>
        <w:rPr>
          <w:rFonts w:hint="eastAsia"/>
          <w:color w:val="auto"/>
          <w:spacing w:val="6"/>
          <w:sz w:val="24"/>
          <w:highlight w:val="none"/>
        </w:rPr>
        <w:t xml:space="preserve">   </w:t>
      </w:r>
      <w:r>
        <w:rPr>
          <w:color w:val="auto"/>
          <w:spacing w:val="6"/>
          <w:sz w:val="24"/>
          <w:highlight w:val="none"/>
        </w:rPr>
        <w:t xml:space="preserve"> </w:t>
      </w:r>
      <w:r>
        <w:rPr>
          <w:color w:val="auto"/>
          <w:sz w:val="24"/>
          <w:highlight w:val="none"/>
          <w:lang w:val="zh-CN"/>
        </w:rPr>
        <w:t xml:space="preserve">企业名称： </w:t>
      </w:r>
    </w:p>
    <w:p>
      <w:pPr>
        <w:spacing w:line="500" w:lineRule="exact"/>
        <w:rPr>
          <w:rFonts w:hint="eastAsia"/>
          <w:color w:val="auto"/>
          <w:sz w:val="24"/>
          <w:highlight w:val="none"/>
          <w:lang w:val="zh-CN"/>
        </w:rPr>
      </w:pPr>
      <w:r>
        <w:rPr>
          <w:color w:val="auto"/>
          <w:sz w:val="24"/>
          <w:highlight w:val="none"/>
        </w:rPr>
        <w:t xml:space="preserve">                      </w:t>
      </w:r>
      <w:r>
        <w:rPr>
          <w:rFonts w:hint="eastAsia"/>
          <w:color w:val="auto"/>
          <w:sz w:val="24"/>
          <w:highlight w:val="none"/>
        </w:rPr>
        <w:t xml:space="preserve">                        </w:t>
      </w:r>
      <w:r>
        <w:rPr>
          <w:color w:val="auto"/>
          <w:sz w:val="24"/>
          <w:highlight w:val="none"/>
          <w:lang w:val="zh-CN"/>
        </w:rPr>
        <w:t xml:space="preserve">日期：   </w:t>
      </w:r>
      <w:r>
        <w:rPr>
          <w:color w:val="auto"/>
          <w:sz w:val="24"/>
          <w:highlight w:val="none"/>
        </w:rPr>
        <w:t xml:space="preserve">  </w:t>
      </w:r>
      <w:r>
        <w:rPr>
          <w:color w:val="auto"/>
          <w:sz w:val="24"/>
          <w:highlight w:val="none"/>
          <w:lang w:val="zh-CN"/>
        </w:rPr>
        <w:t>年</w:t>
      </w:r>
      <w:r>
        <w:rPr>
          <w:color w:val="auto"/>
          <w:sz w:val="24"/>
          <w:highlight w:val="none"/>
        </w:rPr>
        <w:t xml:space="preserve">  </w:t>
      </w:r>
      <w:r>
        <w:rPr>
          <w:color w:val="auto"/>
          <w:sz w:val="24"/>
          <w:highlight w:val="none"/>
          <w:lang w:val="zh-CN"/>
        </w:rPr>
        <w:t>月</w:t>
      </w:r>
      <w:r>
        <w:rPr>
          <w:color w:val="auto"/>
          <w:sz w:val="24"/>
          <w:highlight w:val="none"/>
        </w:rPr>
        <w:t xml:space="preserve">  </w:t>
      </w:r>
      <w:r>
        <w:rPr>
          <w:color w:val="auto"/>
          <w:sz w:val="24"/>
          <w:highlight w:val="none"/>
          <w:lang w:val="zh-CN"/>
        </w:rPr>
        <w:t>日</w:t>
      </w:r>
    </w:p>
    <w:p>
      <w:pPr>
        <w:spacing w:line="500" w:lineRule="exact"/>
        <w:rPr>
          <w:rFonts w:hint="eastAsia"/>
          <w:color w:val="auto"/>
          <w:sz w:val="24"/>
          <w:highlight w:val="none"/>
          <w:lang w:val="zh-CN"/>
        </w:rPr>
      </w:pPr>
    </w:p>
    <w:p>
      <w:pPr>
        <w:spacing w:line="500" w:lineRule="exact"/>
        <w:rPr>
          <w:rFonts w:hint="eastAsia"/>
          <w:color w:val="auto"/>
          <w:sz w:val="24"/>
          <w:highlight w:val="none"/>
          <w:lang w:val="zh-CN"/>
        </w:rPr>
      </w:pPr>
    </w:p>
    <w:p>
      <w:pPr>
        <w:autoSpaceDE w:val="0"/>
        <w:autoSpaceDN w:val="0"/>
        <w:spacing w:line="588" w:lineRule="exact"/>
        <w:ind w:firstLine="504"/>
        <w:rPr>
          <w:rFonts w:hint="eastAsia" w:ascii="宋体" w:hAnsi="宋体"/>
          <w:b/>
          <w:color w:val="auto"/>
          <w:szCs w:val="21"/>
          <w:highlight w:val="none"/>
          <w:lang w:val="zh-CN"/>
        </w:rPr>
      </w:pPr>
      <w:r>
        <w:rPr>
          <w:rFonts w:ascii="宋体" w:hAnsi="宋体"/>
          <w:b/>
          <w:color w:val="auto"/>
          <w:szCs w:val="21"/>
          <w:highlight w:val="none"/>
          <w:lang w:val="zh-CN"/>
        </w:rPr>
        <w:t>注：</w:t>
      </w:r>
      <w:r>
        <w:rPr>
          <w:rFonts w:hint="eastAsia" w:ascii="宋体" w:hAnsi="宋体"/>
          <w:b/>
          <w:color w:val="auto"/>
          <w:szCs w:val="21"/>
          <w:highlight w:val="none"/>
          <w:lang w:val="zh-CN"/>
        </w:rPr>
        <w:t>必须在电子响应文件中</w:t>
      </w:r>
      <w:r>
        <w:rPr>
          <w:rFonts w:ascii="宋体" w:hAnsi="宋体"/>
          <w:b/>
          <w:color w:val="auto"/>
          <w:szCs w:val="21"/>
          <w:highlight w:val="none"/>
          <w:lang w:val="zh-CN"/>
        </w:rPr>
        <w:t>附</w:t>
      </w:r>
      <w:r>
        <w:rPr>
          <w:rFonts w:hint="eastAsia" w:ascii="宋体" w:hAnsi="宋体"/>
          <w:b/>
          <w:color w:val="auto"/>
          <w:szCs w:val="21"/>
          <w:highlight w:val="none"/>
          <w:lang w:val="zh-CN"/>
        </w:rPr>
        <w:t>本公司全体缴纳社保职工花名册（并用醒目字体标注安置残疾人职工的姓名）、本公司安置残疾人职工的身份证、《中华人民共和国残疾人证》或者《中华人民共和国残疾军人证（1至8级）》、劳动合同或服务协议以上证件或证明材料原件扫描件</w:t>
      </w:r>
      <w:r>
        <w:rPr>
          <w:rFonts w:ascii="宋体" w:hAnsi="宋体"/>
          <w:b/>
          <w:color w:val="auto"/>
          <w:kern w:val="0"/>
          <w:szCs w:val="21"/>
          <w:highlight w:val="none"/>
          <w:lang w:val="zh-CN"/>
        </w:rPr>
        <w:t>。</w:t>
      </w:r>
      <w:r>
        <w:rPr>
          <w:rFonts w:hint="eastAsia" w:ascii="宋体" w:hAnsi="宋体"/>
          <w:b/>
          <w:color w:val="auto"/>
          <w:kern w:val="0"/>
          <w:szCs w:val="21"/>
          <w:highlight w:val="none"/>
          <w:lang w:val="zh-CN"/>
        </w:rPr>
        <w:t>未按以上要求提供的将不予认定。</w:t>
      </w:r>
    </w:p>
    <w:p>
      <w:pPr>
        <w:spacing w:line="400" w:lineRule="atLeast"/>
        <w:ind w:left="-181" w:leftChars="-86" w:firstLine="310" w:firstLineChars="148"/>
        <w:rPr>
          <w:rFonts w:hint="eastAsia" w:ascii="宋体" w:hAnsi="宋体"/>
          <w:color w:val="auto"/>
          <w:highlight w:val="none"/>
          <w:lang w:val="zh-CN"/>
        </w:rPr>
      </w:pPr>
    </w:p>
    <w:p>
      <w:pPr>
        <w:spacing w:line="400" w:lineRule="atLeast"/>
        <w:ind w:left="-181" w:leftChars="-86" w:firstLine="310" w:firstLineChars="148"/>
        <w:rPr>
          <w:rFonts w:hint="eastAsia" w:ascii="宋体" w:hAnsi="宋体"/>
          <w:color w:val="auto"/>
          <w:highlight w:val="none"/>
          <w:lang w:val="zh-CN"/>
        </w:rPr>
      </w:pPr>
    </w:p>
    <w:p>
      <w:pPr>
        <w:pStyle w:val="563"/>
        <w:jc w:val="center"/>
        <w:rPr>
          <w:rFonts w:hint="eastAsia" w:ascii="宋体" w:hAnsi="宋体" w:cs="宋体"/>
          <w:color w:val="auto"/>
          <w:sz w:val="24"/>
          <w:szCs w:val="24"/>
          <w:highlight w:val="none"/>
        </w:rPr>
      </w:pPr>
      <w:r>
        <w:rPr>
          <w:rFonts w:hint="eastAsia" w:ascii="宋体" w:hAnsi="宋体"/>
          <w:b w:val="0"/>
          <w:color w:val="auto"/>
          <w:sz w:val="32"/>
          <w:szCs w:val="32"/>
          <w:highlight w:val="none"/>
        </w:rPr>
        <w:br w:type="page"/>
      </w:r>
      <w:r>
        <w:rPr>
          <w:rFonts w:hint="eastAsia" w:ascii="宋体" w:hAnsi="宋体" w:cs="宋体"/>
          <w:color w:val="auto"/>
          <w:sz w:val="24"/>
          <w:szCs w:val="24"/>
          <w:highlight w:val="none"/>
        </w:rPr>
        <w:t>附1关于印发中小企业划型标准规定的通知工信部联企业〔2011〕300号</w:t>
      </w:r>
    </w:p>
    <w:p>
      <w:pPr>
        <w:spacing w:line="440" w:lineRule="exact"/>
        <w:textAlignment w:val="center"/>
        <w:rPr>
          <w:rFonts w:hint="eastAsia" w:ascii="宋体" w:hAnsi="宋体"/>
          <w:color w:val="auto"/>
          <w:kern w:val="0"/>
          <w:highlight w:val="none"/>
        </w:rPr>
      </w:pPr>
      <w:r>
        <w:rPr>
          <w:rFonts w:hint="eastAsia" w:ascii="宋体" w:hAnsi="宋体"/>
          <w:color w:val="auto"/>
          <w:kern w:val="0"/>
          <w:highlight w:val="none"/>
        </w:rPr>
        <w:t>各省、自治区、直辖市人民政府，国务院各部委、各直属机构及有关单位：</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spacing w:line="440" w:lineRule="exact"/>
        <w:ind w:firstLine="1890" w:firstLineChars="900"/>
        <w:textAlignment w:val="center"/>
        <w:rPr>
          <w:rFonts w:hint="eastAsia" w:ascii="宋体" w:hAnsi="宋体"/>
          <w:color w:val="auto"/>
          <w:kern w:val="0"/>
          <w:highlight w:val="none"/>
        </w:rPr>
      </w:pPr>
      <w:r>
        <w:rPr>
          <w:rFonts w:hint="eastAsia" w:ascii="宋体" w:hAnsi="宋体"/>
          <w:color w:val="auto"/>
          <w:kern w:val="0"/>
          <w:highlight w:val="none"/>
        </w:rPr>
        <w:t>工业和信息化部　国家统计局国家发展和改革委员会　财政部</w:t>
      </w:r>
    </w:p>
    <w:p>
      <w:pPr>
        <w:spacing w:line="440" w:lineRule="exact"/>
        <w:ind w:left="3686"/>
        <w:jc w:val="center"/>
        <w:textAlignment w:val="center"/>
        <w:rPr>
          <w:rFonts w:hint="eastAsia" w:ascii="宋体" w:hAnsi="宋体"/>
          <w:color w:val="auto"/>
          <w:kern w:val="0"/>
          <w:highlight w:val="none"/>
        </w:rPr>
      </w:pPr>
      <w:r>
        <w:rPr>
          <w:rFonts w:hint="eastAsia" w:ascii="宋体" w:hAnsi="宋体"/>
          <w:color w:val="auto"/>
          <w:kern w:val="0"/>
          <w:highlight w:val="none"/>
        </w:rPr>
        <w:t>二〇一一年六月十八日</w:t>
      </w:r>
    </w:p>
    <w:p>
      <w:pPr>
        <w:spacing w:line="440" w:lineRule="exact"/>
        <w:jc w:val="center"/>
        <w:textAlignment w:val="center"/>
        <w:rPr>
          <w:rFonts w:hint="eastAsia" w:ascii="宋体" w:hAnsi="宋体"/>
          <w:color w:val="auto"/>
          <w:kern w:val="0"/>
          <w:highlight w:val="none"/>
        </w:rPr>
      </w:pPr>
      <w:r>
        <w:rPr>
          <w:rFonts w:hint="eastAsia" w:ascii="宋体" w:hAnsi="宋体"/>
          <w:bCs/>
          <w:color w:val="auto"/>
          <w:kern w:val="0"/>
          <w:highlight w:val="none"/>
        </w:rPr>
        <w:t>中小企业划型标准规定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一、根据《中华人民共和国中小企业促进法》和《国务院关于进一步促进中小企业发展的若干意见》(国发〔2009〕36号)，制定本规定。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二、中小企业划分为中型、小型、微型三种类型，具体标准根据企业从业人员、营业收入、资产总额等指标，结合行业特点制定。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四、各行业划型标准为：</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（一）农、林、牧、渔业。营业收入20000万元以下的为中小微型企业。其中，营业收入500万元及以上的为中型企业，营业收入50万元及以上的为小型企业，营业收入50万元以下的为微型企业。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（十六）其他未列明行业。从业人员300人以下的为中小微型企业。其中，从业人员100人及以上的为中型企业；从业人员10人及以上的为小型企业；从业人员10人以下的为微型企业。</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五、企业类型的划分以统计部门的统计数据为依据。</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六、本规定适用于在中华人民共和国境内依法设立的各类所有制和各种组织形式的企业。个体工商户和本规定以外的行业，参照本规定进行划型。</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八、本规定由工业和信息化部、国家统计局会同有关部门根据《国民经济行业分类》修订情况和企业发展变化情况适时修订。</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九、本规定由工业和信息化部、国家统计局会同有关部门负责解释。</w:t>
      </w:r>
    </w:p>
    <w:p>
      <w:pPr>
        <w:spacing w:line="440" w:lineRule="exact"/>
        <w:ind w:firstLine="420" w:firstLineChars="200"/>
        <w:textAlignment w:val="center"/>
        <w:rPr>
          <w:rFonts w:hint="eastAsia" w:ascii="宋体" w:hAnsi="宋体"/>
          <w:color w:val="auto"/>
          <w:kern w:val="0"/>
          <w:highlight w:val="none"/>
        </w:rPr>
      </w:pPr>
      <w:r>
        <w:rPr>
          <w:rFonts w:hint="eastAsia" w:ascii="宋体" w:hAnsi="宋体"/>
          <w:color w:val="auto"/>
          <w:kern w:val="0"/>
          <w:highlight w:val="none"/>
        </w:rPr>
        <w:t>十、本规定自发布之日起执行，原国家经贸委、原国家计委、财政部和国家统计局2003年颁布的《中小企业标准暂行规定》同时废止。</w:t>
      </w:r>
    </w:p>
    <w:p>
      <w:pPr>
        <w:spacing w:line="480" w:lineRule="exact"/>
        <w:ind w:firstLine="600" w:firstLineChars="200"/>
        <w:jc w:val="center"/>
        <w:textAlignment w:val="center"/>
        <w:rPr>
          <w:rStyle w:val="713"/>
          <w:rFonts w:hint="eastAsia" w:ascii="宋体" w:hAnsi="宋体" w:cs="宋体"/>
          <w:color w:val="auto"/>
          <w:kern w:val="0"/>
          <w:sz w:val="30"/>
          <w:szCs w:val="30"/>
          <w:highlight w:val="none"/>
        </w:rPr>
      </w:pPr>
    </w:p>
    <w:p>
      <w:pPr>
        <w:spacing w:line="480" w:lineRule="exact"/>
        <w:ind w:firstLine="600" w:firstLineChars="200"/>
        <w:jc w:val="center"/>
        <w:textAlignment w:val="center"/>
        <w:rPr>
          <w:rStyle w:val="713"/>
          <w:rFonts w:hint="eastAsia" w:ascii="宋体" w:hAnsi="宋体" w:cs="宋体"/>
          <w:color w:val="auto"/>
          <w:kern w:val="0"/>
          <w:sz w:val="30"/>
          <w:szCs w:val="30"/>
          <w:highlight w:val="none"/>
        </w:rPr>
      </w:pPr>
    </w:p>
    <w:p>
      <w:pPr>
        <w:spacing w:line="480" w:lineRule="exact"/>
        <w:ind w:firstLine="600" w:firstLineChars="200"/>
        <w:jc w:val="center"/>
        <w:textAlignment w:val="center"/>
        <w:rPr>
          <w:rStyle w:val="713"/>
          <w:rFonts w:hint="eastAsia" w:ascii="宋体" w:hAnsi="宋体" w:cs="宋体"/>
          <w:color w:val="auto"/>
          <w:kern w:val="0"/>
          <w:sz w:val="30"/>
          <w:szCs w:val="30"/>
          <w:highlight w:val="none"/>
        </w:rPr>
      </w:pPr>
      <w:r>
        <w:rPr>
          <w:rStyle w:val="713"/>
          <w:rFonts w:hint="eastAsia" w:ascii="宋体" w:hAnsi="宋体" w:cs="宋体"/>
          <w:color w:val="auto"/>
          <w:kern w:val="0"/>
          <w:sz w:val="30"/>
          <w:szCs w:val="30"/>
          <w:highlight w:val="none"/>
        </w:rPr>
        <w:t>关于印发《政府采购促进中小企业发展管理办法》的通知</w:t>
      </w:r>
    </w:p>
    <w:p>
      <w:pPr>
        <w:spacing w:line="480" w:lineRule="exact"/>
        <w:ind w:firstLine="480" w:firstLineChars="200"/>
        <w:jc w:val="center"/>
        <w:textAlignment w:val="center"/>
        <w:rPr>
          <w:rStyle w:val="713"/>
          <w:rFonts w:hint="eastAsia" w:ascii="宋体" w:hAnsi="宋体" w:cs="宋体"/>
          <w:color w:val="auto"/>
          <w:kern w:val="0"/>
          <w:sz w:val="24"/>
          <w:szCs w:val="22"/>
          <w:highlight w:val="none"/>
        </w:rPr>
      </w:pPr>
      <w:r>
        <w:rPr>
          <w:rStyle w:val="713"/>
          <w:rFonts w:hint="eastAsia" w:ascii="宋体" w:hAnsi="宋体" w:cs="宋体"/>
          <w:color w:val="auto"/>
          <w:kern w:val="0"/>
          <w:sz w:val="24"/>
          <w:szCs w:val="22"/>
          <w:highlight w:val="none"/>
        </w:rPr>
        <w:t>财库〔2020〕46号</w:t>
      </w:r>
    </w:p>
    <w:p>
      <w:pPr>
        <w:spacing w:line="480" w:lineRule="exact"/>
        <w:ind w:firstLine="480" w:firstLineChars="200"/>
        <w:textAlignment w:val="center"/>
        <w:rPr>
          <w:rStyle w:val="713"/>
          <w:rFonts w:hint="eastAsia" w:ascii="宋体" w:hAnsi="宋体" w:cs="宋体"/>
          <w:color w:val="auto"/>
          <w:kern w:val="0"/>
          <w:sz w:val="24"/>
          <w:szCs w:val="22"/>
          <w:highlight w:val="none"/>
        </w:rPr>
      </w:pPr>
      <w:r>
        <w:rPr>
          <w:rStyle w:val="713"/>
          <w:rFonts w:hint="eastAsia" w:ascii="宋体" w:hAnsi="宋体" w:cs="宋体"/>
          <w:color w:val="auto"/>
          <w:kern w:val="0"/>
          <w:sz w:val="24"/>
          <w:szCs w:val="22"/>
          <w:highlight w:val="none"/>
        </w:rPr>
        <w:t>各中央预算单位办公厅（室），各省、自治区、直辖市、计划单列市财政厅（局）、工业和信息化主管部门，新疆生产建设兵团财政局、工业和信息化主管部门：</w:t>
      </w:r>
    </w:p>
    <w:p>
      <w:pPr>
        <w:spacing w:line="480" w:lineRule="exact"/>
        <w:ind w:firstLine="480" w:firstLineChars="200"/>
        <w:textAlignment w:val="center"/>
        <w:rPr>
          <w:rStyle w:val="713"/>
          <w:rFonts w:hint="eastAsia" w:ascii="宋体" w:hAnsi="宋体" w:cs="宋体"/>
          <w:color w:val="auto"/>
          <w:kern w:val="0"/>
          <w:sz w:val="24"/>
          <w:szCs w:val="22"/>
          <w:highlight w:val="none"/>
        </w:rPr>
      </w:pPr>
      <w:r>
        <w:rPr>
          <w:rStyle w:val="713"/>
          <w:rFonts w:hint="eastAsia" w:ascii="宋体" w:hAnsi="宋体" w:cs="宋体"/>
          <w:color w:val="auto"/>
          <w:kern w:val="0"/>
          <w:sz w:val="24"/>
          <w:szCs w:val="22"/>
          <w:highlight w:val="none"/>
        </w:rPr>
        <w:t>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pPr>
        <w:spacing w:line="480" w:lineRule="exact"/>
        <w:ind w:firstLine="480" w:firstLineChars="200"/>
        <w:textAlignment w:val="center"/>
        <w:rPr>
          <w:rStyle w:val="713"/>
          <w:rFonts w:hint="eastAsia" w:ascii="宋体" w:hAnsi="宋体" w:cs="宋体"/>
          <w:color w:val="auto"/>
          <w:kern w:val="0"/>
          <w:sz w:val="24"/>
          <w:szCs w:val="22"/>
          <w:highlight w:val="none"/>
        </w:rPr>
      </w:pPr>
      <w:r>
        <w:rPr>
          <w:rStyle w:val="713"/>
          <w:rFonts w:hint="eastAsia" w:ascii="宋体" w:hAnsi="宋体" w:cs="宋体"/>
          <w:color w:val="auto"/>
          <w:kern w:val="0"/>
          <w:sz w:val="24"/>
          <w:szCs w:val="22"/>
          <w:highlight w:val="none"/>
        </w:rPr>
        <w:t>附件：政府采购促进中小企业发展管理办法</w:t>
      </w:r>
    </w:p>
    <w:p>
      <w:pPr>
        <w:spacing w:line="480" w:lineRule="exact"/>
        <w:ind w:firstLine="480" w:firstLineChars="200"/>
        <w:jc w:val="right"/>
        <w:textAlignment w:val="center"/>
        <w:rPr>
          <w:rStyle w:val="713"/>
          <w:rFonts w:hint="eastAsia" w:ascii="宋体" w:hAnsi="宋体" w:cs="宋体"/>
          <w:color w:val="auto"/>
          <w:kern w:val="0"/>
          <w:sz w:val="24"/>
          <w:szCs w:val="22"/>
          <w:highlight w:val="none"/>
        </w:rPr>
      </w:pPr>
      <w:r>
        <w:rPr>
          <w:rStyle w:val="713"/>
          <w:rFonts w:hint="eastAsia" w:ascii="宋体" w:hAnsi="宋体" w:cs="宋体"/>
          <w:color w:val="auto"/>
          <w:kern w:val="0"/>
          <w:sz w:val="24"/>
          <w:szCs w:val="22"/>
          <w:highlight w:val="none"/>
        </w:rPr>
        <w:t>财  政  部</w:t>
      </w:r>
    </w:p>
    <w:p>
      <w:pPr>
        <w:spacing w:line="480" w:lineRule="exact"/>
        <w:ind w:firstLine="480" w:firstLineChars="200"/>
        <w:jc w:val="right"/>
        <w:textAlignment w:val="center"/>
        <w:rPr>
          <w:rStyle w:val="713"/>
          <w:rFonts w:hint="eastAsia" w:ascii="宋体" w:hAnsi="宋体" w:cs="宋体"/>
          <w:color w:val="auto"/>
          <w:kern w:val="0"/>
          <w:sz w:val="24"/>
          <w:szCs w:val="22"/>
          <w:highlight w:val="none"/>
        </w:rPr>
      </w:pPr>
      <w:r>
        <w:rPr>
          <w:rStyle w:val="713"/>
          <w:rFonts w:hint="eastAsia" w:ascii="宋体" w:hAnsi="宋体" w:cs="宋体"/>
          <w:color w:val="auto"/>
          <w:kern w:val="0"/>
          <w:sz w:val="24"/>
          <w:szCs w:val="22"/>
          <w:highlight w:val="none"/>
        </w:rPr>
        <w:t>工业和信息化部</w:t>
      </w:r>
    </w:p>
    <w:p>
      <w:pPr>
        <w:spacing w:line="480" w:lineRule="exact"/>
        <w:ind w:firstLine="480" w:firstLineChars="200"/>
        <w:jc w:val="right"/>
        <w:textAlignment w:val="center"/>
        <w:rPr>
          <w:rStyle w:val="713"/>
          <w:rFonts w:hint="eastAsia" w:ascii="宋体" w:hAnsi="宋体" w:cs="宋体"/>
          <w:color w:val="auto"/>
          <w:kern w:val="0"/>
          <w:sz w:val="24"/>
          <w:szCs w:val="22"/>
          <w:highlight w:val="none"/>
        </w:rPr>
      </w:pPr>
      <w:r>
        <w:rPr>
          <w:rStyle w:val="713"/>
          <w:rFonts w:hint="eastAsia" w:ascii="宋体" w:hAnsi="宋体" w:cs="宋体"/>
          <w:color w:val="auto"/>
          <w:kern w:val="0"/>
          <w:sz w:val="24"/>
          <w:szCs w:val="22"/>
          <w:highlight w:val="none"/>
        </w:rPr>
        <w:t>2020年12月18日</w:t>
      </w:r>
    </w:p>
    <w:p>
      <w:pP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br w:type="page"/>
      </w:r>
    </w:p>
    <w:p>
      <w:pPr>
        <w:widowControl/>
        <w:shd w:val="clear" w:color="auto" w:fill="FFFFFF"/>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附件2：</w:t>
      </w:r>
    </w:p>
    <w:p>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政府采购促进中小企业发展管理办法</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第一条 为了发挥政府采购的政策功能，促进中小企业健康发展，根据《中华人民共和国政府采购法》、《中华人民共和国中小企业促进法》等有关法律法规，制定本办法。</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符合中小企业划分标准的个体工商户，在政府采购活动中视同中小企业。</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第三条 采购人在政府采购活动中应当通过加强采购需求管理，落实预留采购份额、价格评审优惠、优先采购等 措施，提高中小企业在政府采购中的份额，支持中小企业发展。</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第四条 在政府采购活动中，供应商提供的货物、工程或者服务符合下列情形的，享受本办法规定的中小企业扶持政策：</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（一）在货物采购项目中，货物由中小企业制造，即货 物由中小企业生产且使用该中小企业商号或者注册商标；</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（二）在工程采购项目中，工程由中小企业承建，即工 程施工单位为中小企业；</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（三）在服务采购项目中，服务由中小企业承接，即提供服务的人员为中小企业依照《</w:t>
      </w:r>
      <w:r>
        <w:rPr>
          <w:rFonts w:hint="eastAsia" w:ascii="宋体" w:hAnsi="宋体" w:cs="宋体"/>
          <w:color w:val="auto"/>
          <w:sz w:val="24"/>
          <w:szCs w:val="24"/>
          <w:highlight w:val="none"/>
          <w:lang w:eastAsia="zh-CN"/>
        </w:rPr>
        <w:t>中华人民共和国劳动合同法</w:t>
      </w:r>
      <w:r>
        <w:rPr>
          <w:rFonts w:hint="eastAsia" w:ascii="宋体" w:hAnsi="宋体" w:cs="宋体"/>
          <w:color w:val="auto"/>
          <w:sz w:val="24"/>
          <w:szCs w:val="24"/>
          <w:highlight w:val="none"/>
        </w:rPr>
        <w:t>》订立劳动合同的从业人员。</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在货物采购项目中，供应商提供的货物既有中小企业制造货物，也有大型企业制造货物的，不享受本办法规定的中小企业扶持政策。</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 年限等方面对中小企业实行差别待遇或者歧视待遇。</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符合下列情形之一的，可不专门面向中小企业预留采购份额：</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（一）法律法规和国家有关政策明确规定优先或者应当面向事业单位、社会组织等非企业主体采购的；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（二）因确需使用不可替代的专利、专有技术，基础设施限制，或者提供特定公共服务等原因，只能从中小企业之外的供应商处采购的；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（三）按照本办法规定预留采购份额无法确保充分供应、充分竞争，或者存在可能影响政府采购目标实现的情形；</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（四）框架协议采购项目；</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（五）省级以上人民政府财政部门规定的其他情形。 除上述情形外，其他均为适宜由中小企业提供的情形。</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第七条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采购限额标准以上，200 万元以下的货物和服务采购项目、400 万元以下的工程采购项目，适宜由中小企业提供的，采购人应当专门面向中小企业采购。</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第八条 超过 200 万元的货物和服务采购项目、超过400 万元的工程采购项目中适宜由中小企业提供的，预留该部分采购项目预算总额的 30%以上专门面向中小企业采购， 其中预留给小微企业的比例不低于 60%。预留份额通过下列措施进行：</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（一）将采购项目整体或者设置采购包专门面向中小企业采购；</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（二）要求供应商以联合体形式参加采购活动，且联合体中中小企业承担的部分达到一定比例；</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（三）要求获得采购合同的供应商将采购项目中的一定比例分包给一家或者多家中小企业。</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组成联合体或者接受分包合同的中小企业与联合体内 其他企业、分包企业之间不得存在直接控股、管理关系。</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第九条 对于经主管预算单位统筹后未预留份额专门面向中小企业采购的采购项目，以及预留份额项目中的非预留部分采购包，采购人、采购代理机构应当对符合本办法规定的小微企业报价给予 6%—10%（工程项目为 3%—5%）的扣除，用扣除后的价格参加评审。适用招标投标法的政府采购 工程建设项目，采用综合评估法但未采用低价优先法计算价格分的，评标时应当在采用原报价进行评分的基础上增加其价格得分的 3%—5%作为其价格分。</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接受大中型企业与小微企业组成联合体或者允许大中 型企业向一家或者多家小微企业分包的采购项目，对于联合协议或者分包意向协议约定小微企业的合同份额占到合同 总金额 30%以上的，采购人、采购代理机构应当对联合体或者大中型企业的报价给予 2%-3%（工程项目为 1%—2%）的扣除，用扣除后的价格参加评审。适用招标投标法的政府采购 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第十条 采购人应当严格按照本办法规定和主管预算单位制定的预留采购份额具体方案开展采购活动。预留份额的采购项目或者采购包，通过发布公告方式邀请供应商后， 符合资格条件的中小企业数量不足 3 家的，应当中止采购活动，视同未预留份额的采购项目或者采购包，按照本办法第九条有关规定重新组织采购活动。</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第十一条 中小企业参加政府采购活动，应当出具本办法规定的《中小企业声明函》（附 1），否则不得享受相关中小企业扶持政策。任何单位和个人不得要求供应商提供《中 小企业声明函》之外的中小企业身份证明文件。</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第十二条 采购项目涉及中小企业采购的，采购文件应当明确以下内容：</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（一）预留份额的采购项目或者采购包，明确该项目或相关采购包专门面向中小企业采购，以及相关标的及预算金额；</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（二）要求以联合体形式参加或者合同分包的，明确联合协议或者分包意向协议中中小企业合同金额应当达到的 比例，并作为供应商资格条件；</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（三）非预留份额的采购项目或者采购包，明确有关价格扣除比例或者价格分加分比例；</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（四）规定依据本办法规定享受扶持政策获得政府采购合同的，小微企业不得将合同分包给大中型企业，中型企业不得将合同分包给大型企业；</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（五）采购人认为具备相关条件的，明确对中小企业在资金支付期限、预付款比例等方面的优惠措施；</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（六）明确采购标的对应的中小企业划分标准所属行业；</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（七）法律法规和省级以上人民政府财政部门规定的其他事项。</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第十三条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中标、成交供应商享受本办法规定的中小企业扶持政策的，采购人、采购代理机构应当随中标、成交结果公开中标、成交供应商的《中小企业声明函》。</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适用招标投标法的政府采购工程建设项目，应当在公示中标候选人时公开中标候选人的《中小企业声明函》。</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第十五条 鼓励各地区、各部门在采购活动中允许中小企业引入信用担保手段，为中小企业在投标（响应）保证、履约保证等方面提供专业化服务。鼓励中小企业依法合规通过政府采购合同融资。</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第十六条 政府采购监督检查、投诉处理及政府采购行政处罚中对中小企业的认定，由货物制造商或者工程、服务供应商注册登记所在地的县级以上人民政府中小企业主管 部门负责。</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中小企业主管部门应当在收到财政部门或者有关招标 投标行政监督部门关于协助开展中小企业认定函后 10 个工作日内做出书面答复。</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第十七条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各地区、各部门应当对涉及中小企业采购的 预算项目实施全过程绩效管理，合理设置绩效目标和指标， 落实扶持中小企业有关政策要求，定期开展绩效监控和评价， 强化绩效评价结果应用。</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第十八条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主管预算单位应当自 2022 年起向同级财政部门报告本部门上一年度面向中小企业预留份额和采购的 具体情况，并在中国政府采购网公开预留项目执行情况(附 2)。未达到本办法规定的预留份额比例的，应当作出说明。 </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第十九条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第二十条 供应商按照本办法规定提供声明函内容不实的，属于提供虚假材料谋取中标、成交，依照《中华人民 共和国政府采购法》等国家有关规定追究相应责任。</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适用招标投标法的政府采购工程建设项目，投标人按照 本办法规定提供声明函内容不实的，属于弄虚作假骗取中标， 依照《中华人民共和国招标投标法》等国家有关规定追究相应责任。</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 有关规定追究相应责任；涉嫌犯罪的，依法移送有关国家机 关处理。</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第二十二条 对外援助项目、国家相关资格或者资质管理制度另有规定的项目，不适用本办法。</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第二十三条 关于视同中小企业的其他主体的政府采购扶持政策，由财政部会同有关部门另行规定。</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第二十四条 省级财政部门可以会同中小企业主管部门根据本办法的规定制定具体实施办法。</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第二十五条 本办法自 2021 年 1 月 1 日起施行。《财政部 工业和信息化部关于印发〈政府采购促进中小企业发展暂行办法〉的通知》（财库﹝2011﹞181 号）同时废止。</w:t>
      </w:r>
    </w:p>
    <w:p>
      <w:pPr>
        <w:spacing w:line="360" w:lineRule="auto"/>
        <w:ind w:firstLine="480" w:firstLineChars="200"/>
        <w:rPr>
          <w:rFonts w:hint="eastAsia" w:ascii="宋体" w:hAnsi="宋体" w:cs="宋体"/>
          <w:color w:val="auto"/>
          <w:sz w:val="24"/>
          <w:szCs w:val="24"/>
          <w:highlight w:val="none"/>
        </w:rPr>
      </w:pP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附：1.中小企业声明函</w:t>
      </w:r>
    </w:p>
    <w:p>
      <w:pPr>
        <w:spacing w:line="360" w:lineRule="auto"/>
        <w:ind w:firstLine="960" w:firstLineChars="400"/>
        <w:rPr>
          <w:rFonts w:hint="eastAsia" w:ascii="宋体" w:hAnsi="宋体" w:cs="宋体"/>
          <w:color w:val="auto"/>
          <w:sz w:val="24"/>
          <w:szCs w:val="24"/>
          <w:highlight w:val="none"/>
        </w:rPr>
      </w:pPr>
      <w:r>
        <w:rPr>
          <w:rFonts w:hint="eastAsia" w:ascii="宋体" w:hAnsi="宋体" w:cs="宋体"/>
          <w:color w:val="auto"/>
          <w:sz w:val="24"/>
          <w:szCs w:val="24"/>
          <w:highlight w:val="none"/>
        </w:rPr>
        <w:t>2.面向中小企业预留项目执行情况公告</w:t>
      </w:r>
    </w:p>
    <w:p>
      <w:pPr>
        <w:shd w:val="clear" w:color="auto" w:fill="FFFFFF"/>
        <w:spacing w:line="480" w:lineRule="exact"/>
        <w:textAlignment w:val="center"/>
        <w:rPr>
          <w:rFonts w:hint="eastAsia" w:ascii="宋体" w:hAnsi="宋体" w:cs="宋体"/>
          <w:b/>
          <w:color w:val="auto"/>
          <w:sz w:val="30"/>
          <w:szCs w:val="30"/>
          <w:highlight w:val="none"/>
        </w:rPr>
      </w:pPr>
    </w:p>
    <w:p>
      <w:pPr>
        <w:rPr>
          <w:rFonts w:hint="eastAsia" w:ascii="宋体" w:hAnsi="宋体"/>
          <w:b/>
          <w:color w:val="auto"/>
          <w:highlight w:val="none"/>
        </w:rPr>
      </w:pPr>
      <w:r>
        <w:rPr>
          <w:rFonts w:hint="eastAsia" w:ascii="宋体" w:hAnsi="宋体"/>
          <w:b/>
          <w:color w:val="auto"/>
          <w:highlight w:val="none"/>
        </w:rPr>
        <w:br w:type="page"/>
      </w:r>
    </w:p>
    <w:p>
      <w:pPr>
        <w:shd w:val="clear" w:color="auto" w:fill="FFFFFF"/>
        <w:spacing w:line="460" w:lineRule="exact"/>
        <w:jc w:val="center"/>
        <w:textAlignment w:val="center"/>
        <w:rPr>
          <w:rFonts w:hint="eastAsia" w:ascii="宋体" w:hAnsi="宋体"/>
          <w:color w:val="auto"/>
          <w:kern w:val="0"/>
          <w:highlight w:val="none"/>
        </w:rPr>
      </w:pPr>
      <w:r>
        <w:rPr>
          <w:rFonts w:hint="eastAsia" w:ascii="宋体" w:hAnsi="宋体"/>
          <w:b/>
          <w:color w:val="auto"/>
          <w:highlight w:val="none"/>
        </w:rPr>
        <w:t>附3：关于促进残疾人就业政府采购政策的通知</w:t>
      </w:r>
    </w:p>
    <w:p>
      <w:pPr>
        <w:shd w:val="clear" w:color="auto" w:fill="FFFFFF"/>
        <w:spacing w:line="460" w:lineRule="exact"/>
        <w:jc w:val="center"/>
        <w:textAlignment w:val="center"/>
        <w:rPr>
          <w:rFonts w:hint="eastAsia" w:ascii="宋体" w:hAnsi="宋体"/>
          <w:color w:val="auto"/>
          <w:kern w:val="0"/>
          <w:highlight w:val="none"/>
        </w:rPr>
      </w:pPr>
      <w:r>
        <w:rPr>
          <w:rFonts w:hint="eastAsia" w:ascii="宋体" w:hAnsi="宋体"/>
          <w:color w:val="auto"/>
          <w:kern w:val="0"/>
          <w:highlight w:val="none"/>
        </w:rPr>
        <w:t>财库〔2017〕141号</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xml:space="preserve">    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为了发挥政府采购促进残疾人就业的作用，进一步保障残疾人权益，依照《政府采购法》、《残疾人保障法》等法律法规及相关规定，现就促进残疾人就业政府采购政策通知如下：</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一、享受政府采购支持政策的残疾人福利性单位应当同时满足以下条件：</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（一）安置的残疾人占本单位在职职工人数的比例不低于25%（含25%），并且安置的残疾人人数不少于10人（含10人）；</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（二）依法与安置的每位残疾人签订了一年以上（含一年）的劳动合同或服务协议；</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（三）为安置的每位残疾人按月足额缴纳了基本养老保险、基本医疗保险、失业保险、工伤保险和生育保险等社会保险费；</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（四）通过银行等金融机构向安置的每位残疾人，按月支付了不低于单位所在区县适用的经省级人民政府批准的月最低工资标准的工资；</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（五）提供本单位制造的货物、承担的工程或者服务（以下简称产品），或者提供其他残疾人福利性单位制造的货物（不包括使用非残疾人福利性单位注册商标的货物）。</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中标、成交供应商为残疾人福利性单位的，采购人或者其委托的采购代理机构应当随中标、成交结果同时公告其《残疾人福利性单位声明函》，接受社会监督。</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供应商提供的《残疾人福利性单位声明函》与事实不符的，依照《政府采购法》第七十七条第一款的规定追究法律责任。</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四、采购人采购公开招标数额标准以上的货物或者服务，因落实促进残疾人就业政策的需要，依法履行有关报批程序后，可采用公开招标以外的采购方式。</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六、省级财政部门可以结合本地区残疾人生产、经营的实际情况，细化政府采购支持措施。对符合国家有关部门规定条件的残疾人辅助性就业机构，可通过上述措施予以支持。各地制定的有关文件应当报财政部备案。</w:t>
      </w:r>
    </w:p>
    <w:p>
      <w:pPr>
        <w:shd w:val="clear" w:color="auto" w:fill="FFFFFF"/>
        <w:spacing w:line="460" w:lineRule="exact"/>
        <w:jc w:val="left"/>
        <w:textAlignment w:val="center"/>
        <w:rPr>
          <w:rFonts w:hint="eastAsia" w:ascii="宋体" w:hAnsi="宋体"/>
          <w:color w:val="auto"/>
          <w:kern w:val="0"/>
          <w:highlight w:val="none"/>
        </w:rPr>
      </w:pPr>
      <w:r>
        <w:rPr>
          <w:rFonts w:hint="eastAsia" w:ascii="宋体" w:hAnsi="宋体"/>
          <w:color w:val="auto"/>
          <w:kern w:val="0"/>
          <w:highlight w:val="none"/>
        </w:rPr>
        <w:t>　　七、本通知自2017年10月1日起执行。</w:t>
      </w:r>
    </w:p>
    <w:p>
      <w:pPr>
        <w:shd w:val="clear" w:color="auto" w:fill="FFFFFF"/>
        <w:spacing w:line="460" w:lineRule="exact"/>
        <w:ind w:firstLine="420" w:firstLineChars="200"/>
        <w:jc w:val="right"/>
        <w:textAlignment w:val="center"/>
        <w:rPr>
          <w:rFonts w:hint="eastAsia" w:ascii="宋体" w:hAnsi="宋体"/>
          <w:color w:val="auto"/>
          <w:kern w:val="0"/>
          <w:highlight w:val="none"/>
        </w:rPr>
      </w:pPr>
      <w:r>
        <w:rPr>
          <w:rFonts w:hint="eastAsia" w:ascii="宋体" w:hAnsi="宋体"/>
          <w:color w:val="auto"/>
          <w:kern w:val="0"/>
          <w:highlight w:val="none"/>
        </w:rPr>
        <w:t>财政部 民政部 中国残疾人联合会</w:t>
      </w:r>
    </w:p>
    <w:p>
      <w:pPr>
        <w:widowControl/>
        <w:jc w:val="right"/>
        <w:rPr>
          <w:rFonts w:hint="eastAsia" w:ascii="宋体" w:hAnsi="宋体"/>
          <w:color w:val="auto"/>
          <w:kern w:val="0"/>
          <w:highlight w:val="none"/>
        </w:rPr>
      </w:pPr>
      <w:r>
        <w:rPr>
          <w:rFonts w:hint="eastAsia" w:ascii="宋体" w:hAnsi="宋体"/>
          <w:color w:val="auto"/>
          <w:kern w:val="0"/>
          <w:highlight w:val="none"/>
        </w:rPr>
        <w:t>2017年8月22日</w:t>
      </w:r>
    </w:p>
    <w:p>
      <w:pPr>
        <w:widowControl/>
        <w:jc w:val="left"/>
        <w:rPr>
          <w:rFonts w:hint="eastAsia" w:ascii="宋体" w:hAnsi="宋体"/>
          <w:color w:val="auto"/>
          <w:kern w:val="0"/>
          <w:highlight w:val="none"/>
        </w:rPr>
      </w:pPr>
    </w:p>
    <w:p>
      <w:pPr>
        <w:widowControl/>
        <w:jc w:val="center"/>
        <w:rPr>
          <w:color w:val="auto"/>
          <w:highlight w:val="none"/>
        </w:rPr>
      </w:pPr>
    </w:p>
    <w:p>
      <w:pPr>
        <w:widowControl/>
        <w:jc w:val="left"/>
        <w:rPr>
          <w:color w:val="auto"/>
          <w:highlight w:val="none"/>
        </w:rPr>
      </w:pPr>
    </w:p>
    <w:p>
      <w:pPr>
        <w:widowControl/>
        <w:jc w:val="left"/>
        <w:rPr>
          <w:color w:val="auto"/>
          <w:highlight w:val="none"/>
        </w:rPr>
      </w:pPr>
      <w:r>
        <w:rPr>
          <w:color w:val="auto"/>
          <w:highlight w:val="none"/>
        </w:rPr>
        <w:drawing>
          <wp:inline distT="0" distB="0" distL="114300" distR="114300">
            <wp:extent cx="5340985" cy="6215380"/>
            <wp:effectExtent l="0" t="0" r="12065" b="13970"/>
            <wp:docPr id="15"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4"/>
                    <pic:cNvPicPr>
                      <a:picLocks noChangeAspect="1"/>
                    </pic:cNvPicPr>
                  </pic:nvPicPr>
                  <pic:blipFill>
                    <a:blip r:embed="rId15"/>
                    <a:stretch>
                      <a:fillRect/>
                    </a:stretch>
                  </pic:blipFill>
                  <pic:spPr>
                    <a:xfrm>
                      <a:off x="0" y="0"/>
                      <a:ext cx="5340985" cy="6215380"/>
                    </a:xfrm>
                    <a:prstGeom prst="rect">
                      <a:avLst/>
                    </a:prstGeom>
                    <a:noFill/>
                    <a:ln>
                      <a:noFill/>
                    </a:ln>
                  </pic:spPr>
                </pic:pic>
              </a:graphicData>
            </a:graphic>
          </wp:inline>
        </w:drawing>
      </w:r>
    </w:p>
    <w:p>
      <w:pPr>
        <w:widowControl/>
        <w:jc w:val="left"/>
        <w:rPr>
          <w:color w:val="auto"/>
          <w:highlight w:val="none"/>
        </w:rPr>
      </w:pPr>
      <w:r>
        <w:rPr>
          <w:color w:val="auto"/>
          <w:highlight w:val="none"/>
        </w:rPr>
        <w:br w:type="page"/>
      </w:r>
    </w:p>
    <w:p>
      <w:pPr>
        <w:pStyle w:val="90"/>
        <w:jc w:val="center"/>
        <w:rPr>
          <w:color w:val="auto"/>
          <w:highlight w:val="none"/>
        </w:rPr>
      </w:pPr>
      <w:r>
        <w:rPr>
          <w:color w:val="auto"/>
          <w:highlight w:val="none"/>
        </w:rPr>
        <w:drawing>
          <wp:inline distT="0" distB="0" distL="114300" distR="114300">
            <wp:extent cx="5234305" cy="6417945"/>
            <wp:effectExtent l="0" t="0" r="4445" b="1905"/>
            <wp:docPr id="16"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5"/>
                    <pic:cNvPicPr>
                      <a:picLocks noChangeAspect="1"/>
                    </pic:cNvPicPr>
                  </pic:nvPicPr>
                  <pic:blipFill>
                    <a:blip r:embed="rId16"/>
                    <a:stretch>
                      <a:fillRect/>
                    </a:stretch>
                  </pic:blipFill>
                  <pic:spPr>
                    <a:xfrm>
                      <a:off x="0" y="0"/>
                      <a:ext cx="5234305" cy="6417945"/>
                    </a:xfrm>
                    <a:prstGeom prst="rect">
                      <a:avLst/>
                    </a:prstGeom>
                    <a:noFill/>
                    <a:ln>
                      <a:noFill/>
                    </a:ln>
                  </pic:spPr>
                </pic:pic>
              </a:graphicData>
            </a:graphic>
          </wp:inline>
        </w:drawing>
      </w:r>
      <w:r>
        <w:rPr>
          <w:color w:val="auto"/>
          <w:highlight w:val="none"/>
        </w:rPr>
        <w:drawing>
          <wp:inline distT="0" distB="0" distL="114300" distR="114300">
            <wp:extent cx="5337810" cy="6233795"/>
            <wp:effectExtent l="0" t="0" r="15240" b="14605"/>
            <wp:docPr id="17"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6"/>
                    <pic:cNvPicPr>
                      <a:picLocks noChangeAspect="1"/>
                    </pic:cNvPicPr>
                  </pic:nvPicPr>
                  <pic:blipFill>
                    <a:blip r:embed="rId17"/>
                    <a:stretch>
                      <a:fillRect/>
                    </a:stretch>
                  </pic:blipFill>
                  <pic:spPr>
                    <a:xfrm>
                      <a:off x="0" y="0"/>
                      <a:ext cx="5337810" cy="6233795"/>
                    </a:xfrm>
                    <a:prstGeom prst="rect">
                      <a:avLst/>
                    </a:prstGeom>
                    <a:noFill/>
                    <a:ln>
                      <a:noFill/>
                    </a:ln>
                  </pic:spPr>
                </pic:pic>
              </a:graphicData>
            </a:graphic>
          </wp:inline>
        </w:drawing>
      </w:r>
      <w:r>
        <w:rPr>
          <w:color w:val="auto"/>
          <w:highlight w:val="none"/>
        </w:rPr>
        <w:drawing>
          <wp:inline distT="0" distB="0" distL="114300" distR="114300">
            <wp:extent cx="5337810" cy="2153285"/>
            <wp:effectExtent l="0" t="0" r="15240" b="18415"/>
            <wp:docPr id="18"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7"/>
                    <pic:cNvPicPr>
                      <a:picLocks noChangeAspect="1"/>
                    </pic:cNvPicPr>
                  </pic:nvPicPr>
                  <pic:blipFill>
                    <a:blip r:embed="rId18"/>
                    <a:stretch>
                      <a:fillRect/>
                    </a:stretch>
                  </pic:blipFill>
                  <pic:spPr>
                    <a:xfrm>
                      <a:off x="0" y="0"/>
                      <a:ext cx="5337810" cy="2153285"/>
                    </a:xfrm>
                    <a:prstGeom prst="rect">
                      <a:avLst/>
                    </a:prstGeom>
                    <a:noFill/>
                    <a:ln>
                      <a:noFill/>
                    </a:ln>
                  </pic:spPr>
                </pic:pic>
              </a:graphicData>
            </a:graphic>
          </wp:inline>
        </w:drawing>
      </w:r>
      <w:r>
        <w:rPr>
          <w:color w:val="auto"/>
          <w:highlight w:val="none"/>
        </w:rPr>
        <w:drawing>
          <wp:inline distT="0" distB="0" distL="114300" distR="114300">
            <wp:extent cx="5206365" cy="7504430"/>
            <wp:effectExtent l="0" t="0" r="13335" b="1270"/>
            <wp:docPr id="7"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4"/>
                    <pic:cNvPicPr>
                      <a:picLocks noChangeAspect="1"/>
                    </pic:cNvPicPr>
                  </pic:nvPicPr>
                  <pic:blipFill>
                    <a:blip r:embed="rId19"/>
                    <a:stretch>
                      <a:fillRect/>
                    </a:stretch>
                  </pic:blipFill>
                  <pic:spPr>
                    <a:xfrm>
                      <a:off x="0" y="0"/>
                      <a:ext cx="5206365" cy="7504430"/>
                    </a:xfrm>
                    <a:prstGeom prst="rect">
                      <a:avLst/>
                    </a:prstGeom>
                    <a:noFill/>
                    <a:ln>
                      <a:noFill/>
                    </a:ln>
                  </pic:spPr>
                </pic:pic>
              </a:graphicData>
            </a:graphic>
          </wp:inline>
        </w:drawing>
      </w:r>
    </w:p>
    <w:p>
      <w:pPr>
        <w:rPr>
          <w:color w:val="auto"/>
          <w:highlight w:val="none"/>
          <w:lang w:val="zh-CN"/>
        </w:rPr>
      </w:pPr>
    </w:p>
    <w:p>
      <w:pPr>
        <w:rPr>
          <w:color w:val="auto"/>
          <w:highlight w:val="none"/>
          <w:lang w:val="zh-CN"/>
        </w:rPr>
      </w:pPr>
      <w:r>
        <w:rPr>
          <w:color w:val="auto"/>
          <w:highlight w:val="none"/>
        </w:rPr>
        <w:drawing>
          <wp:inline distT="0" distB="0" distL="114300" distR="114300">
            <wp:extent cx="5215255" cy="8182610"/>
            <wp:effectExtent l="0" t="0" r="4445" b="8890"/>
            <wp:docPr id="1"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7"/>
                    <pic:cNvPicPr>
                      <a:picLocks noChangeAspect="1"/>
                    </pic:cNvPicPr>
                  </pic:nvPicPr>
                  <pic:blipFill>
                    <a:blip r:embed="rId20"/>
                    <a:stretch>
                      <a:fillRect/>
                    </a:stretch>
                  </pic:blipFill>
                  <pic:spPr>
                    <a:xfrm>
                      <a:off x="0" y="0"/>
                      <a:ext cx="5215255" cy="8182610"/>
                    </a:xfrm>
                    <a:prstGeom prst="rect">
                      <a:avLst/>
                    </a:prstGeom>
                    <a:noFill/>
                    <a:ln>
                      <a:noFill/>
                    </a:ln>
                  </pic:spPr>
                </pic:pic>
              </a:graphicData>
            </a:graphic>
          </wp:inline>
        </w:drawing>
      </w:r>
    </w:p>
    <w:p>
      <w:pPr>
        <w:jc w:val="center"/>
        <w:rPr>
          <w:b/>
          <w:color w:val="auto"/>
          <w:sz w:val="32"/>
          <w:szCs w:val="32"/>
          <w:highlight w:val="none"/>
        </w:rPr>
      </w:pPr>
      <w:r>
        <w:rPr>
          <w:color w:val="auto"/>
          <w:highlight w:val="none"/>
        </w:rPr>
        <w:drawing>
          <wp:inline distT="0" distB="0" distL="114300" distR="114300">
            <wp:extent cx="5158740" cy="5596255"/>
            <wp:effectExtent l="0" t="0" r="3810" b="4445"/>
            <wp:docPr id="19"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8"/>
                    <pic:cNvPicPr>
                      <a:picLocks noChangeAspect="1"/>
                    </pic:cNvPicPr>
                  </pic:nvPicPr>
                  <pic:blipFill>
                    <a:blip r:embed="rId21"/>
                    <a:stretch>
                      <a:fillRect/>
                    </a:stretch>
                  </pic:blipFill>
                  <pic:spPr>
                    <a:xfrm>
                      <a:off x="0" y="0"/>
                      <a:ext cx="5158740" cy="5596255"/>
                    </a:xfrm>
                    <a:prstGeom prst="rect">
                      <a:avLst/>
                    </a:prstGeom>
                    <a:noFill/>
                    <a:ln>
                      <a:noFill/>
                    </a:ln>
                  </pic:spPr>
                </pic:pic>
              </a:graphicData>
            </a:graphic>
          </wp:inline>
        </w:drawing>
      </w:r>
      <w:r>
        <w:rPr>
          <w:color w:val="auto"/>
          <w:highlight w:val="none"/>
        </w:rPr>
        <w:t xml:space="preserve"> </w:t>
      </w:r>
      <w:r>
        <w:rPr>
          <w:color w:val="auto"/>
          <w:highlight w:val="none"/>
        </w:rPr>
        <w:drawing>
          <wp:inline distT="0" distB="0" distL="114300" distR="114300">
            <wp:extent cx="5183505" cy="2286000"/>
            <wp:effectExtent l="0" t="0" r="17145" b="0"/>
            <wp:docPr id="20"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9"/>
                    <pic:cNvPicPr>
                      <a:picLocks noChangeAspect="1"/>
                    </pic:cNvPicPr>
                  </pic:nvPicPr>
                  <pic:blipFill>
                    <a:blip r:embed="rId22"/>
                    <a:stretch>
                      <a:fillRect/>
                    </a:stretch>
                  </pic:blipFill>
                  <pic:spPr>
                    <a:xfrm>
                      <a:off x="0" y="0"/>
                      <a:ext cx="5183505" cy="2286000"/>
                    </a:xfrm>
                    <a:prstGeom prst="rect">
                      <a:avLst/>
                    </a:prstGeom>
                    <a:noFill/>
                    <a:ln>
                      <a:noFill/>
                    </a:ln>
                  </pic:spPr>
                </pic:pic>
              </a:graphicData>
            </a:graphic>
          </wp:inline>
        </w:drawing>
      </w:r>
    </w:p>
    <w:p>
      <w:pPr>
        <w:shd w:val="clear" w:color="auto" w:fill="FFFFFF"/>
        <w:spacing w:line="360" w:lineRule="exact"/>
        <w:rPr>
          <w:rFonts w:hint="eastAsia" w:eastAsia="黑体"/>
          <w:color w:val="auto"/>
          <w:sz w:val="28"/>
          <w:szCs w:val="28"/>
          <w:highlight w:val="none"/>
        </w:rPr>
      </w:pPr>
    </w:p>
    <w:p>
      <w:pPr>
        <w:spacing w:line="460" w:lineRule="exact"/>
        <w:ind w:left="-181" w:leftChars="-86" w:firstLine="310" w:firstLineChars="148"/>
        <w:jc w:val="right"/>
        <w:rPr>
          <w:rFonts w:hint="eastAsia" w:ascii="宋体" w:hAnsi="宋体"/>
          <w:color w:val="auto"/>
          <w:kern w:val="0"/>
          <w:highlight w:val="none"/>
        </w:rPr>
      </w:pPr>
    </w:p>
    <w:p>
      <w:pPr>
        <w:tabs>
          <w:tab w:val="left" w:pos="3135"/>
          <w:tab w:val="center" w:pos="7392"/>
        </w:tabs>
        <w:spacing w:before="120" w:beforeLines="50" w:line="400" w:lineRule="exact"/>
        <w:rPr>
          <w:rFonts w:hint="eastAsia"/>
          <w:b/>
          <w:color w:val="auto"/>
          <w:sz w:val="32"/>
          <w:szCs w:val="32"/>
          <w:highlight w:val="none"/>
        </w:rPr>
      </w:pPr>
    </w:p>
    <w:p>
      <w:pPr>
        <w:tabs>
          <w:tab w:val="left" w:pos="3135"/>
          <w:tab w:val="center" w:pos="7392"/>
        </w:tabs>
        <w:spacing w:before="120" w:beforeLines="50" w:line="400" w:lineRule="exact"/>
        <w:jc w:val="center"/>
        <w:rPr>
          <w:b/>
          <w:color w:val="auto"/>
          <w:sz w:val="32"/>
          <w:szCs w:val="32"/>
          <w:highlight w:val="none"/>
        </w:rPr>
      </w:pPr>
    </w:p>
    <w:p>
      <w:pPr>
        <w:tabs>
          <w:tab w:val="left" w:pos="3135"/>
          <w:tab w:val="center" w:pos="7392"/>
        </w:tabs>
        <w:spacing w:before="120" w:beforeLines="50" w:line="400" w:lineRule="exact"/>
        <w:jc w:val="center"/>
        <w:rPr>
          <w:b/>
          <w:color w:val="auto"/>
          <w:sz w:val="32"/>
          <w:szCs w:val="32"/>
          <w:highlight w:val="none"/>
        </w:rPr>
      </w:pPr>
      <w:r>
        <w:rPr>
          <w:b/>
          <w:color w:val="auto"/>
          <w:sz w:val="32"/>
          <w:szCs w:val="32"/>
          <w:highlight w:val="none"/>
        </w:rPr>
        <w:t>投标人资格审查统计表</w:t>
      </w:r>
    </w:p>
    <w:p>
      <w:pPr>
        <w:tabs>
          <w:tab w:val="left" w:pos="3135"/>
          <w:tab w:val="center" w:pos="7392"/>
        </w:tabs>
        <w:jc w:val="left"/>
        <w:rPr>
          <w:b/>
          <w:color w:val="auto"/>
          <w:sz w:val="24"/>
          <w:szCs w:val="24"/>
          <w:highlight w:val="none"/>
        </w:rPr>
      </w:pPr>
      <w:r>
        <w:rPr>
          <w:b/>
          <w:color w:val="auto"/>
          <w:sz w:val="24"/>
          <w:szCs w:val="24"/>
          <w:highlight w:val="none"/>
        </w:rPr>
        <w:t xml:space="preserve">投标人名称：                                                         </w:t>
      </w:r>
    </w:p>
    <w:tbl>
      <w:tblPr>
        <w:tblStyle w:val="73"/>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453"/>
        <w:gridCol w:w="4810"/>
        <w:gridCol w:w="1231"/>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7"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18"/>
                <w:szCs w:val="18"/>
                <w:highlight w:val="none"/>
              </w:rPr>
            </w:pPr>
            <w:r>
              <w:rPr>
                <w:rFonts w:hint="eastAsia" w:ascii="宋体" w:hAnsi="宋体" w:eastAsia="宋体" w:cs="宋体"/>
                <w:color w:val="auto"/>
                <w:sz w:val="18"/>
                <w:szCs w:val="18"/>
                <w:highlight w:val="none"/>
              </w:rPr>
              <w:t>序号</w:t>
            </w:r>
          </w:p>
        </w:tc>
        <w:tc>
          <w:tcPr>
            <w:tcW w:w="6263" w:type="dxa"/>
            <w:gridSpan w:val="2"/>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名称</w:t>
            </w:r>
          </w:p>
        </w:tc>
        <w:tc>
          <w:tcPr>
            <w:tcW w:w="1231"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内容</w:t>
            </w:r>
          </w:p>
        </w:tc>
        <w:tc>
          <w:tcPr>
            <w:tcW w:w="1544" w:type="dxa"/>
            <w:noWrap w:val="0"/>
            <w:vAlign w:val="center"/>
          </w:tcPr>
          <w:p>
            <w:pPr>
              <w:keepNext w:val="0"/>
              <w:keepLines w:val="0"/>
              <w:suppressLineNumbers w:val="0"/>
              <w:spacing w:before="0" w:beforeAutospacing="0" w:after="0" w:afterAutospacing="0" w:line="360" w:lineRule="auto"/>
              <w:ind w:left="-109" w:leftChars="-52" w:right="-189" w:rightChars="-9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检验结果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7" w:type="dxa"/>
            <w:noWrap w:val="0"/>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6263"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rightChars="0"/>
              <w:jc w:val="left"/>
              <w:textAlignment w:val="auto"/>
              <w:rPr>
                <w:rFonts w:hint="eastAsia" w:ascii="宋体" w:hAnsi="宋体" w:eastAsia="宋体" w:cs="宋体"/>
                <w:color w:val="auto"/>
                <w:sz w:val="18"/>
                <w:szCs w:val="18"/>
                <w:highlight w:val="none"/>
              </w:rPr>
            </w:pPr>
            <w:r>
              <w:rPr>
                <w:rFonts w:hint="eastAsia" w:ascii="Times New Roman" w:hAnsi="Times New Roman"/>
                <w:bCs/>
                <w:sz w:val="18"/>
                <w:szCs w:val="18"/>
                <w:highlight w:val="none"/>
              </w:rPr>
              <w:t>营业执照（或事业单位法人证书）；</w:t>
            </w:r>
          </w:p>
        </w:tc>
        <w:tc>
          <w:tcPr>
            <w:tcW w:w="1231"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是否</w:t>
            </w:r>
            <w:r>
              <w:rPr>
                <w:rFonts w:hint="eastAsia" w:ascii="宋体" w:hAnsi="宋体" w:cs="宋体"/>
                <w:color w:val="auto"/>
                <w:sz w:val="18"/>
                <w:szCs w:val="18"/>
                <w:highlight w:val="none"/>
                <w:lang w:val="en-US" w:eastAsia="zh-CN"/>
              </w:rPr>
              <w:t>提供</w:t>
            </w:r>
          </w:p>
        </w:tc>
        <w:tc>
          <w:tcPr>
            <w:tcW w:w="154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7" w:type="dxa"/>
            <w:noWrap w:val="0"/>
            <w:vAlign w:val="center"/>
          </w:tcPr>
          <w:p>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6263"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rightChars="0"/>
              <w:jc w:val="left"/>
              <w:textAlignment w:val="auto"/>
              <w:rPr>
                <w:rFonts w:hint="eastAsia" w:ascii="宋体" w:hAnsi="宋体" w:eastAsia="宋体" w:cs="宋体"/>
                <w:color w:val="auto"/>
                <w:sz w:val="18"/>
                <w:szCs w:val="18"/>
                <w:highlight w:val="none"/>
              </w:rPr>
            </w:pPr>
            <w:r>
              <w:rPr>
                <w:rFonts w:hint="eastAsia" w:ascii="Times New Roman" w:hAnsi="Times New Roman"/>
                <w:bCs/>
                <w:sz w:val="18"/>
                <w:szCs w:val="18"/>
                <w:highlight w:val="none"/>
              </w:rPr>
              <w:t>202</w:t>
            </w:r>
            <w:r>
              <w:rPr>
                <w:rFonts w:hint="eastAsia" w:ascii="Times New Roman" w:hAnsi="Times New Roman"/>
                <w:bCs/>
                <w:sz w:val="18"/>
                <w:szCs w:val="18"/>
                <w:highlight w:val="none"/>
                <w:lang w:val="en-US" w:eastAsia="zh-CN"/>
              </w:rPr>
              <w:t>1</w:t>
            </w:r>
            <w:r>
              <w:rPr>
                <w:rFonts w:hint="eastAsia" w:ascii="Times New Roman" w:hAnsi="Times New Roman"/>
                <w:bCs/>
                <w:sz w:val="18"/>
                <w:szCs w:val="18"/>
                <w:highlight w:val="none"/>
              </w:rPr>
              <w:t>年度或202</w:t>
            </w:r>
            <w:r>
              <w:rPr>
                <w:rFonts w:hint="eastAsia" w:ascii="Times New Roman" w:hAnsi="Times New Roman"/>
                <w:bCs/>
                <w:sz w:val="18"/>
                <w:szCs w:val="18"/>
                <w:highlight w:val="none"/>
                <w:lang w:val="en-US" w:eastAsia="zh-CN"/>
              </w:rPr>
              <w:t>2</w:t>
            </w:r>
            <w:r>
              <w:rPr>
                <w:rFonts w:hint="eastAsia" w:ascii="Times New Roman" w:hAnsi="Times New Roman"/>
                <w:bCs/>
                <w:sz w:val="18"/>
                <w:szCs w:val="18"/>
                <w:highlight w:val="none"/>
              </w:rPr>
              <w:t>年度财务状况报告。是指提供本单位的财务报告或财务报告表</w:t>
            </w:r>
            <w:r>
              <w:rPr>
                <w:rFonts w:hint="eastAsia" w:ascii="Times New Roman" w:hAnsi="Times New Roman"/>
                <w:bCs/>
                <w:sz w:val="18"/>
                <w:szCs w:val="18"/>
                <w:highlight w:val="none"/>
                <w:lang w:val="zh-CN"/>
              </w:rPr>
              <w:t>或基本账户开户行出具的银行资信证明</w:t>
            </w:r>
            <w:r>
              <w:rPr>
                <w:rFonts w:hint="eastAsia" w:ascii="Times New Roman" w:hAnsi="Times New Roman"/>
                <w:bCs/>
                <w:sz w:val="18"/>
                <w:szCs w:val="18"/>
                <w:highlight w:val="none"/>
              </w:rPr>
              <w:t>；（成立日期不足一年的附成立日期后的）；</w:t>
            </w:r>
          </w:p>
        </w:tc>
        <w:tc>
          <w:tcPr>
            <w:tcW w:w="1231" w:type="dxa"/>
            <w:noWrap w:val="0"/>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是否</w:t>
            </w:r>
            <w:r>
              <w:rPr>
                <w:rFonts w:hint="eastAsia" w:ascii="宋体" w:hAnsi="宋体" w:cs="宋体"/>
                <w:color w:val="auto"/>
                <w:sz w:val="18"/>
                <w:szCs w:val="18"/>
                <w:highlight w:val="none"/>
                <w:lang w:val="en-US" w:eastAsia="zh-CN"/>
              </w:rPr>
              <w:t>提供</w:t>
            </w:r>
          </w:p>
        </w:tc>
        <w:tc>
          <w:tcPr>
            <w:tcW w:w="1544" w:type="dxa"/>
            <w:noWrap w:val="0"/>
            <w:vAlign w:val="center"/>
          </w:tcPr>
          <w:p>
            <w:pPr>
              <w:keepNext w:val="0"/>
              <w:keepLines w:val="0"/>
              <w:widowControl/>
              <w:suppressLineNumbers w:val="0"/>
              <w:adjustRightInd w:val="0"/>
              <w:snapToGrid w:val="0"/>
              <w:spacing w:before="0" w:beforeAutospacing="0" w:after="0" w:afterAutospacing="0" w:line="360" w:lineRule="auto"/>
              <w:ind w:left="0" w:right="0"/>
              <w:rPr>
                <w:rFonts w:hint="eastAsia" w:ascii="宋体" w:hAnsi="宋体" w:eastAsia="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7" w:type="dxa"/>
            <w:noWrap w:val="0"/>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6263"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rightChars="0"/>
              <w:jc w:val="left"/>
              <w:textAlignment w:val="auto"/>
              <w:rPr>
                <w:rFonts w:hint="eastAsia" w:ascii="宋体" w:hAnsi="宋体" w:cs="宋体"/>
                <w:color w:val="auto"/>
                <w:sz w:val="18"/>
                <w:szCs w:val="18"/>
                <w:highlight w:val="none"/>
              </w:rPr>
            </w:pPr>
            <w:r>
              <w:rPr>
                <w:rFonts w:hint="default" w:ascii="Times New Roman" w:hAnsi="Times New Roman"/>
                <w:bCs/>
                <w:sz w:val="18"/>
                <w:szCs w:val="18"/>
                <w:highlight w:val="none"/>
              </w:rPr>
              <w:t>近半年内不少于一个月依法缴纳税收的证明（以发布公告时间往前推算半年）</w:t>
            </w:r>
            <w:r>
              <w:rPr>
                <w:rFonts w:hint="eastAsia" w:ascii="Times New Roman" w:hAnsi="Times New Roman"/>
                <w:bCs/>
                <w:sz w:val="18"/>
                <w:szCs w:val="18"/>
                <w:highlight w:val="none"/>
              </w:rPr>
              <w:t>（或《依法缴纳税收和社会保障资金承诺函》）</w:t>
            </w:r>
            <w:r>
              <w:rPr>
                <w:rFonts w:hint="default" w:ascii="Times New Roman" w:hAnsi="Times New Roman"/>
                <w:bCs/>
                <w:sz w:val="18"/>
                <w:szCs w:val="18"/>
                <w:highlight w:val="none"/>
              </w:rPr>
              <w:t>。是指提供本单位的缴税证明，为税务部门出具的完税凭证或缴税凭证或银行出具的“银行电子缴税付款凭证”；依法免税的供应商提供相应文件证明其依法免税；</w:t>
            </w:r>
          </w:p>
        </w:tc>
        <w:tc>
          <w:tcPr>
            <w:tcW w:w="1231"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是否</w:t>
            </w:r>
            <w:r>
              <w:rPr>
                <w:rFonts w:hint="eastAsia" w:ascii="宋体" w:hAnsi="宋体" w:cs="宋体"/>
                <w:color w:val="auto"/>
                <w:sz w:val="18"/>
                <w:szCs w:val="18"/>
                <w:highlight w:val="none"/>
                <w:lang w:val="en-US" w:eastAsia="zh-CN"/>
              </w:rPr>
              <w:t>提供</w:t>
            </w:r>
          </w:p>
        </w:tc>
        <w:tc>
          <w:tcPr>
            <w:tcW w:w="154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7" w:type="dxa"/>
            <w:noWrap w:val="0"/>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6263"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rightChars="0"/>
              <w:jc w:val="left"/>
              <w:textAlignment w:val="auto"/>
              <w:rPr>
                <w:rFonts w:hint="eastAsia" w:ascii="宋体" w:hAnsi="宋体" w:cs="宋体"/>
                <w:color w:val="auto"/>
                <w:sz w:val="18"/>
                <w:szCs w:val="18"/>
                <w:highlight w:val="none"/>
              </w:rPr>
            </w:pPr>
            <w:r>
              <w:rPr>
                <w:rFonts w:hint="default" w:ascii="Times New Roman" w:hAnsi="Times New Roman"/>
                <w:bCs/>
                <w:sz w:val="18"/>
                <w:szCs w:val="18"/>
                <w:highlight w:val="none"/>
              </w:rPr>
              <w:t>近半年内不少于一个月依法缴纳社会保障资金的证明（以发布公告时间往前推算半年）</w:t>
            </w:r>
            <w:r>
              <w:rPr>
                <w:rFonts w:hint="eastAsia" w:ascii="Times New Roman" w:hAnsi="Times New Roman"/>
                <w:bCs/>
                <w:sz w:val="18"/>
                <w:szCs w:val="18"/>
                <w:highlight w:val="none"/>
              </w:rPr>
              <w:t>（或《依法缴纳税收和社会保障资金承诺函》）</w:t>
            </w:r>
            <w:r>
              <w:rPr>
                <w:rFonts w:hint="default" w:ascii="Times New Roman" w:hAnsi="Times New Roman"/>
                <w:bCs/>
                <w:sz w:val="18"/>
                <w:szCs w:val="18"/>
                <w:highlight w:val="none"/>
              </w:rPr>
              <w:t>。指政府社会保障资金征收部门出具的单位职工社会保险缴费清单或专用收据或缴纳证明；依法不需要缴纳社会保障资金的供应商，应提供相应文件证明其依法不需要缴纳社会保障资金；</w:t>
            </w:r>
          </w:p>
        </w:tc>
        <w:tc>
          <w:tcPr>
            <w:tcW w:w="1231" w:type="dxa"/>
            <w:noWrap w:val="0"/>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是否</w:t>
            </w:r>
            <w:r>
              <w:rPr>
                <w:rFonts w:hint="eastAsia" w:ascii="宋体" w:hAnsi="宋体" w:cs="宋体"/>
                <w:color w:val="auto"/>
                <w:sz w:val="18"/>
                <w:szCs w:val="18"/>
                <w:highlight w:val="none"/>
                <w:lang w:val="en-US" w:eastAsia="zh-CN"/>
              </w:rPr>
              <w:t>提供</w:t>
            </w:r>
          </w:p>
        </w:tc>
        <w:tc>
          <w:tcPr>
            <w:tcW w:w="154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7" w:type="dxa"/>
            <w:noWrap w:val="0"/>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6263"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rightChars="0"/>
              <w:jc w:val="left"/>
              <w:textAlignment w:val="auto"/>
              <w:rPr>
                <w:rFonts w:hint="eastAsia" w:ascii="宋体" w:hAnsi="宋体" w:eastAsia="宋体" w:cs="宋体"/>
                <w:color w:val="auto"/>
                <w:sz w:val="18"/>
                <w:szCs w:val="18"/>
                <w:highlight w:val="none"/>
              </w:rPr>
            </w:pPr>
            <w:r>
              <w:rPr>
                <w:rFonts w:hint="eastAsia" w:ascii="Times New Roman" w:hAnsi="Times New Roman"/>
                <w:bCs/>
                <w:sz w:val="18"/>
                <w:szCs w:val="18"/>
                <w:highlight w:val="none"/>
              </w:rPr>
              <w:t>法定代表人（负责人）的授权委托书及授权代表的身份证；若法定代表人（负责人）参加，仅提供法定代表人（负责人）的身份证</w:t>
            </w:r>
            <w:r>
              <w:rPr>
                <w:rFonts w:hint="eastAsia" w:ascii="Times New Roman" w:hAnsi="Times New Roman"/>
                <w:bCs/>
                <w:sz w:val="18"/>
                <w:szCs w:val="18"/>
                <w:highlight w:val="none"/>
                <w:lang w:val="en-US" w:eastAsia="zh-CN"/>
              </w:rPr>
              <w:t>明</w:t>
            </w:r>
            <w:r>
              <w:rPr>
                <w:rFonts w:hint="eastAsia" w:ascii="Times New Roman" w:hAnsi="Times New Roman"/>
                <w:bCs/>
                <w:sz w:val="18"/>
                <w:szCs w:val="18"/>
                <w:highlight w:val="none"/>
              </w:rPr>
              <w:t>；</w:t>
            </w:r>
          </w:p>
        </w:tc>
        <w:tc>
          <w:tcPr>
            <w:tcW w:w="1231" w:type="dxa"/>
            <w:noWrap w:val="0"/>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是否</w:t>
            </w:r>
            <w:r>
              <w:rPr>
                <w:rFonts w:hint="eastAsia" w:ascii="宋体" w:hAnsi="宋体" w:cs="宋体"/>
                <w:color w:val="auto"/>
                <w:sz w:val="18"/>
                <w:szCs w:val="18"/>
                <w:highlight w:val="none"/>
                <w:lang w:val="en-US" w:eastAsia="zh-CN"/>
              </w:rPr>
              <w:t>提供</w:t>
            </w:r>
          </w:p>
        </w:tc>
        <w:tc>
          <w:tcPr>
            <w:tcW w:w="154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7" w:type="dxa"/>
            <w:noWrap w:val="0"/>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p>
        </w:tc>
        <w:tc>
          <w:tcPr>
            <w:tcW w:w="6263"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rightChars="0"/>
              <w:jc w:val="left"/>
              <w:textAlignment w:val="auto"/>
              <w:rPr>
                <w:rFonts w:hint="eastAsia" w:ascii="宋体" w:hAnsi="宋体" w:eastAsia="宋体" w:cs="宋体"/>
                <w:color w:val="auto"/>
                <w:sz w:val="18"/>
                <w:szCs w:val="18"/>
                <w:highlight w:val="none"/>
              </w:rPr>
            </w:pPr>
            <w:r>
              <w:rPr>
                <w:rFonts w:hint="eastAsia" w:ascii="Times New Roman" w:hAnsi="Times New Roman"/>
                <w:bCs/>
                <w:sz w:val="18"/>
                <w:szCs w:val="18"/>
                <w:highlight w:val="none"/>
              </w:rPr>
              <w:t xml:space="preserve">参加政府采购活动前3年内在经营活动中没有重大违法记录的书面声明和信用记录承诺。格式按附件《无重大违法记录声明》和《信用记录承诺函》； </w:t>
            </w:r>
          </w:p>
        </w:tc>
        <w:tc>
          <w:tcPr>
            <w:tcW w:w="1231" w:type="dxa"/>
            <w:noWrap w:val="0"/>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是否</w:t>
            </w:r>
            <w:r>
              <w:rPr>
                <w:rFonts w:hint="eastAsia" w:ascii="宋体" w:hAnsi="宋体" w:cs="宋体"/>
                <w:color w:val="auto"/>
                <w:sz w:val="18"/>
                <w:szCs w:val="18"/>
                <w:highlight w:val="none"/>
                <w:lang w:val="en-US" w:eastAsia="zh-CN"/>
              </w:rPr>
              <w:t>提供</w:t>
            </w:r>
          </w:p>
        </w:tc>
        <w:tc>
          <w:tcPr>
            <w:tcW w:w="154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7" w:type="dxa"/>
            <w:noWrap w:val="0"/>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w:t>
            </w:r>
          </w:p>
        </w:tc>
        <w:tc>
          <w:tcPr>
            <w:tcW w:w="6263"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rightChars="0"/>
              <w:jc w:val="left"/>
              <w:textAlignment w:val="auto"/>
              <w:rPr>
                <w:rFonts w:hint="eastAsia" w:ascii="宋体" w:hAnsi="宋体" w:eastAsia="宋体" w:cs="宋体"/>
                <w:color w:val="auto"/>
                <w:sz w:val="18"/>
                <w:szCs w:val="18"/>
                <w:highlight w:val="none"/>
                <w:lang w:val="zh-CN"/>
              </w:rPr>
            </w:pPr>
            <w:r>
              <w:rPr>
                <w:rFonts w:hint="eastAsia" w:ascii="Times New Roman" w:hAnsi="Times New Roman"/>
                <w:bCs/>
                <w:sz w:val="18"/>
                <w:szCs w:val="18"/>
                <w:highlight w:val="none"/>
              </w:rPr>
              <w:t>具备履行合同所必需的设备和专业技术能力的证明材料，是指提供《履行合同的设备技术能力证明表》，格式按附件</w:t>
            </w:r>
            <w:r>
              <w:rPr>
                <w:rFonts w:hint="eastAsia" w:ascii="Times New Roman" w:hAnsi="Times New Roman"/>
                <w:bCs/>
                <w:sz w:val="18"/>
                <w:szCs w:val="18"/>
                <w:highlight w:val="none"/>
                <w:lang w:eastAsia="zh-CN"/>
              </w:rPr>
              <w:t>；</w:t>
            </w:r>
          </w:p>
        </w:tc>
        <w:tc>
          <w:tcPr>
            <w:tcW w:w="1231" w:type="dxa"/>
            <w:noWrap w:val="0"/>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是否</w:t>
            </w:r>
            <w:r>
              <w:rPr>
                <w:rFonts w:hint="eastAsia" w:ascii="宋体" w:hAnsi="宋体" w:cs="宋体"/>
                <w:color w:val="auto"/>
                <w:sz w:val="18"/>
                <w:szCs w:val="18"/>
                <w:highlight w:val="none"/>
                <w:lang w:val="en-US" w:eastAsia="zh-CN"/>
              </w:rPr>
              <w:t>提供</w:t>
            </w:r>
          </w:p>
        </w:tc>
        <w:tc>
          <w:tcPr>
            <w:tcW w:w="154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7" w:type="dxa"/>
            <w:noWrap w:val="0"/>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8</w:t>
            </w:r>
          </w:p>
        </w:tc>
        <w:tc>
          <w:tcPr>
            <w:tcW w:w="6263"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rightChars="0"/>
              <w:jc w:val="left"/>
              <w:textAlignment w:val="auto"/>
              <w:rPr>
                <w:rFonts w:hint="eastAsia" w:ascii="宋体" w:hAnsi="宋体" w:cs="宋体"/>
                <w:color w:val="auto"/>
                <w:sz w:val="18"/>
                <w:szCs w:val="18"/>
                <w:highlight w:val="none"/>
              </w:rPr>
            </w:pPr>
            <w:r>
              <w:rPr>
                <w:rFonts w:hint="eastAsia" w:ascii="宋体" w:hAnsi="宋体" w:cs="宋体"/>
                <w:sz w:val="18"/>
                <w:szCs w:val="18"/>
                <w:highlight w:val="none"/>
              </w:rPr>
              <w:t>中小企业声明函（格式见附件）</w:t>
            </w:r>
            <w:r>
              <w:rPr>
                <w:rFonts w:hint="eastAsia" w:ascii="Times New Roman" w:hAnsi="Times New Roman"/>
                <w:bCs/>
                <w:sz w:val="18"/>
                <w:szCs w:val="18"/>
                <w:highlight w:val="none"/>
              </w:rPr>
              <w:t>。</w:t>
            </w:r>
          </w:p>
        </w:tc>
        <w:tc>
          <w:tcPr>
            <w:tcW w:w="1231" w:type="dxa"/>
            <w:noWrap w:val="0"/>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是否</w:t>
            </w:r>
            <w:r>
              <w:rPr>
                <w:rFonts w:hint="eastAsia" w:ascii="宋体" w:hAnsi="宋体" w:cs="宋体"/>
                <w:color w:val="auto"/>
                <w:sz w:val="18"/>
                <w:szCs w:val="18"/>
                <w:highlight w:val="none"/>
                <w:lang w:val="en-US" w:eastAsia="zh-CN"/>
              </w:rPr>
              <w:t>提供</w:t>
            </w:r>
          </w:p>
        </w:tc>
        <w:tc>
          <w:tcPr>
            <w:tcW w:w="1544" w:type="dxa"/>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21" w:type="dxa"/>
            <w:gridSpan w:val="4"/>
            <w:noWrap w:val="0"/>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是否审查合格</w:t>
            </w:r>
          </w:p>
        </w:tc>
        <w:tc>
          <w:tcPr>
            <w:tcW w:w="1544" w:type="dxa"/>
            <w:noWrap w:val="0"/>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80" w:type="dxa"/>
            <w:gridSpan w:val="2"/>
            <w:noWrap w:val="0"/>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核验人及委托代理人签字</w:t>
            </w:r>
          </w:p>
        </w:tc>
        <w:tc>
          <w:tcPr>
            <w:tcW w:w="7585" w:type="dxa"/>
            <w:gridSpan w:val="3"/>
            <w:noWrap w:val="0"/>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核验人：                                   </w:t>
            </w:r>
          </w:p>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18"/>
                <w:szCs w:val="18"/>
                <w:highlight w:val="none"/>
              </w:rPr>
            </w:pPr>
          </w:p>
          <w:p>
            <w:pPr>
              <w:keepNext w:val="0"/>
              <w:keepLines w:val="0"/>
              <w:suppressLineNumbers w:val="0"/>
              <w:spacing w:before="0" w:beforeAutospacing="0" w:after="0" w:afterAutospacing="0" w:line="360" w:lineRule="auto"/>
              <w:ind w:left="0" w:right="0" w:firstLine="3510" w:firstLineChars="195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委托代理人签字确认： </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b/>
          <w:bCs/>
          <w:color w:val="auto"/>
          <w:szCs w:val="21"/>
          <w:highlight w:val="none"/>
          <w:lang w:val="en-US" w:eastAsia="zh-CN"/>
        </w:rPr>
      </w:pPr>
      <w:r>
        <w:rPr>
          <w:b/>
          <w:bCs/>
          <w:color w:val="auto"/>
          <w:szCs w:val="21"/>
          <w:highlight w:val="none"/>
        </w:rPr>
        <w:t>说明：</w:t>
      </w:r>
      <w:r>
        <w:rPr>
          <w:rFonts w:hint="eastAsia"/>
          <w:b/>
          <w:bCs/>
          <w:color w:val="auto"/>
          <w:szCs w:val="21"/>
          <w:highlight w:val="none"/>
          <w:lang w:val="en-US" w:eastAsia="zh-CN"/>
        </w:rPr>
        <w:t>1、本表除检验结果一列外，其余内容自行填写完毕，并请将此表上传至系统电子投标文件其他材料中。</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b/>
          <w:color w:val="auto"/>
          <w:sz w:val="32"/>
          <w:szCs w:val="32"/>
          <w:highlight w:val="none"/>
        </w:rPr>
      </w:pPr>
      <w:r>
        <w:rPr>
          <w:rFonts w:hint="eastAsia"/>
          <w:b/>
          <w:bCs/>
          <w:color w:val="auto"/>
          <w:szCs w:val="21"/>
          <w:highlight w:val="none"/>
          <w:lang w:val="en-US" w:eastAsia="zh-CN"/>
        </w:rPr>
        <w:t>2 、本表格如果与资格条件有冲突不符合的条件，以资格条件内容为准。</w:t>
      </w:r>
    </w:p>
    <w:p>
      <w:pPr>
        <w:rPr>
          <w:b/>
          <w:color w:val="auto"/>
          <w:sz w:val="32"/>
          <w:szCs w:val="32"/>
          <w:highlight w:val="none"/>
        </w:rPr>
      </w:pPr>
      <w:r>
        <w:rPr>
          <w:b/>
          <w:color w:val="auto"/>
          <w:sz w:val="32"/>
          <w:szCs w:val="32"/>
          <w:highlight w:val="none"/>
        </w:rPr>
        <w:br w:type="page"/>
      </w:r>
    </w:p>
    <w:p>
      <w:pPr>
        <w:tabs>
          <w:tab w:val="left" w:pos="3135"/>
          <w:tab w:val="center" w:pos="7392"/>
        </w:tabs>
        <w:spacing w:before="120" w:beforeLines="50" w:line="400" w:lineRule="exact"/>
        <w:jc w:val="center"/>
        <w:rPr>
          <w:b/>
          <w:color w:val="auto"/>
          <w:sz w:val="32"/>
          <w:szCs w:val="32"/>
          <w:highlight w:val="none"/>
        </w:rPr>
      </w:pPr>
      <w:r>
        <w:rPr>
          <w:b/>
          <w:color w:val="auto"/>
          <w:sz w:val="32"/>
          <w:szCs w:val="32"/>
          <w:highlight w:val="none"/>
        </w:rPr>
        <w:t>投标人得分统计表</w:t>
      </w:r>
    </w:p>
    <w:tbl>
      <w:tblPr>
        <w:tblStyle w:val="73"/>
        <w:tblW w:w="9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5"/>
        <w:gridCol w:w="7161"/>
        <w:gridCol w:w="10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886" w:type="dxa"/>
            <w:gridSpan w:val="2"/>
            <w:noWrap w:val="0"/>
            <w:vAlign w:val="center"/>
          </w:tcPr>
          <w:p>
            <w:pPr>
              <w:keepNext w:val="0"/>
              <w:keepLines w:val="0"/>
              <w:pageBreakBefore w:val="0"/>
              <w:suppressLineNumbers w:val="0"/>
              <w:tabs>
                <w:tab w:val="left" w:pos="3135"/>
                <w:tab w:val="center" w:pos="7392"/>
              </w:tabs>
              <w:kinsoku/>
              <w:wordWrap/>
              <w:overflowPunct/>
              <w:topLinePunct w:val="0"/>
              <w:autoSpaceDE/>
              <w:autoSpaceDN/>
              <w:bidi w:val="0"/>
              <w:spacing w:before="0" w:beforeAutospacing="0" w:after="0" w:afterAutospacing="0" w:line="400" w:lineRule="exact"/>
              <w:ind w:left="0" w:right="0"/>
              <w:jc w:val="left"/>
              <w:textAlignment w:val="auto"/>
              <w:rPr>
                <w:rFonts w:hint="eastAsia" w:ascii="宋体" w:hAnsi="宋体" w:cs="Times New Roman"/>
                <w:color w:val="auto"/>
                <w:kern w:val="0"/>
                <w:sz w:val="24"/>
                <w:szCs w:val="20"/>
                <w:highlight w:val="none"/>
              </w:rPr>
            </w:pPr>
            <w:r>
              <w:rPr>
                <w:rFonts w:hint="default" w:ascii="Times New Roman" w:hAnsi="Times New Roman" w:cs="Times New Roman"/>
                <w:b/>
                <w:color w:val="auto"/>
                <w:sz w:val="24"/>
                <w:szCs w:val="24"/>
                <w:highlight w:val="none"/>
              </w:rPr>
              <w:t xml:space="preserve">投标人名称： </w:t>
            </w:r>
          </w:p>
        </w:tc>
        <w:tc>
          <w:tcPr>
            <w:tcW w:w="1013"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400" w:lineRule="exact"/>
              <w:ind w:left="0" w:right="0"/>
              <w:textAlignment w:val="auto"/>
              <w:rPr>
                <w:rFonts w:hint="eastAsia" w:ascii="宋体" w:hAnsi="宋体" w:eastAsia="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7" w:hRule="atLeast"/>
          <w:jc w:val="center"/>
        </w:trPr>
        <w:tc>
          <w:tcPr>
            <w:tcW w:w="8886" w:type="dxa"/>
            <w:gridSpan w:val="2"/>
            <w:noWrap w:val="0"/>
            <w:vAlign w:val="center"/>
          </w:tcPr>
          <w:p>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360" w:lineRule="auto"/>
              <w:ind w:left="0" w:leftChars="0" w:right="0" w:rightChars="0"/>
              <w:jc w:val="left"/>
              <w:textAlignment w:val="auto"/>
              <w:rPr>
                <w:rFonts w:hint="default" w:ascii="宋体" w:hAnsi="宋体" w:eastAsia="宋体" w:cs="Times New Roman"/>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所报室外健身器材产品投保产品质量险、产品责任险、公共责任险、团体意外伤害险、环境污染险的，提供认证证书原件扫描件或清晰照片，每提供一项得1分，最高得</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分。</w:t>
            </w:r>
          </w:p>
        </w:tc>
        <w:tc>
          <w:tcPr>
            <w:tcW w:w="1013"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400" w:lineRule="exact"/>
              <w:ind w:left="0" w:right="0"/>
              <w:textAlignment w:val="auto"/>
              <w:rPr>
                <w:rFonts w:hint="eastAsia" w:ascii="宋体" w:hAnsi="宋体" w:cs="Times New Roman"/>
                <w:color w:val="auto"/>
                <w:kern w:val="0"/>
                <w:sz w:val="24"/>
                <w:szCs w:val="20"/>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8886" w:type="dxa"/>
            <w:gridSpan w:val="2"/>
            <w:noWrap w:val="0"/>
            <w:vAlign w:val="center"/>
          </w:tcPr>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360" w:lineRule="auto"/>
              <w:ind w:left="0" w:leftChars="0" w:right="0" w:rightChars="0" w:firstLine="0" w:firstLineChars="0"/>
              <w:jc w:val="left"/>
              <w:textAlignment w:val="auto"/>
              <w:rPr>
                <w:rFonts w:hint="default" w:ascii="宋体" w:hAnsi="宋体" w:eastAsia="宋体" w:cs="Times New Roman"/>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投标人或生产厂家获得体育部门颁发的国家级体育示范单位的得2分、省级体育示范单位的得1分,最高得2分</w:t>
            </w:r>
            <w:r>
              <w:rPr>
                <w:rFonts w:hint="eastAsia" w:asciiTheme="minorEastAsia" w:hAnsiTheme="minorEastAsia" w:eastAsiaTheme="minorEastAsia" w:cstheme="minorEastAsia"/>
                <w:color w:val="auto"/>
                <w:sz w:val="24"/>
                <w:szCs w:val="24"/>
                <w:highlight w:val="none"/>
              </w:rPr>
              <w:t>。</w:t>
            </w:r>
          </w:p>
        </w:tc>
        <w:tc>
          <w:tcPr>
            <w:tcW w:w="1013"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400" w:lineRule="exact"/>
              <w:ind w:left="0" w:right="0"/>
              <w:textAlignment w:val="auto"/>
              <w:rPr>
                <w:rFonts w:hint="eastAsia" w:ascii="宋体" w:hAnsi="宋体" w:cs="Times New Roman"/>
                <w:color w:val="auto"/>
                <w:kern w:val="0"/>
                <w:sz w:val="24"/>
                <w:szCs w:val="20"/>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886" w:type="dxa"/>
            <w:gridSpan w:val="2"/>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400" w:lineRule="exact"/>
              <w:ind w:left="0" w:leftChars="0" w:right="0" w:rightChars="0"/>
              <w:textAlignment w:val="auto"/>
              <w:rPr>
                <w:rFonts w:hint="default" w:ascii="宋体" w:hAnsi="宋体" w:eastAsia="宋体" w:cs="Times New Roman"/>
                <w:bCs/>
                <w:color w:val="auto"/>
                <w:sz w:val="24"/>
                <w:szCs w:val="24"/>
                <w:highlight w:val="none"/>
                <w:lang w:val="en-US" w:eastAsia="zh-CN"/>
              </w:rPr>
            </w:pPr>
          </w:p>
        </w:tc>
        <w:tc>
          <w:tcPr>
            <w:tcW w:w="1013"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400" w:lineRule="exact"/>
              <w:ind w:left="0" w:right="0"/>
              <w:textAlignment w:val="auto"/>
              <w:rPr>
                <w:rFonts w:hint="eastAsia" w:ascii="宋体" w:hAnsi="宋体" w:cs="Times New Roman"/>
                <w:color w:val="auto"/>
                <w:kern w:val="0"/>
                <w:sz w:val="24"/>
                <w:szCs w:val="20"/>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886" w:type="dxa"/>
            <w:gridSpan w:val="2"/>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400" w:lineRule="exact"/>
              <w:ind w:left="0" w:leftChars="0" w:right="0" w:rightChars="0"/>
              <w:textAlignment w:val="auto"/>
              <w:rPr>
                <w:rFonts w:hint="default" w:ascii="宋体" w:hAnsi="宋体" w:eastAsia="宋体" w:cs="Times New Roman"/>
                <w:bCs/>
                <w:color w:val="auto"/>
                <w:sz w:val="24"/>
                <w:szCs w:val="24"/>
                <w:highlight w:val="none"/>
                <w:lang w:val="en-US" w:eastAsia="zh-CN"/>
              </w:rPr>
            </w:pPr>
          </w:p>
        </w:tc>
        <w:tc>
          <w:tcPr>
            <w:tcW w:w="1013"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400" w:lineRule="exact"/>
              <w:ind w:left="0" w:right="0"/>
              <w:textAlignment w:val="auto"/>
              <w:rPr>
                <w:rFonts w:hint="eastAsia" w:ascii="宋体" w:hAnsi="宋体" w:cs="Times New Roman"/>
                <w:color w:val="auto"/>
                <w:kern w:val="0"/>
                <w:sz w:val="24"/>
                <w:szCs w:val="20"/>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886" w:type="dxa"/>
            <w:gridSpan w:val="2"/>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400" w:lineRule="exact"/>
              <w:ind w:left="0" w:leftChars="0" w:right="0" w:rightChars="0"/>
              <w:jc w:val="center"/>
              <w:textAlignment w:val="auto"/>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w:t>
            </w:r>
          </w:p>
        </w:tc>
        <w:tc>
          <w:tcPr>
            <w:tcW w:w="1013"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400" w:lineRule="exact"/>
              <w:ind w:left="0" w:right="0"/>
              <w:textAlignment w:val="auto"/>
              <w:rPr>
                <w:rFonts w:hint="eastAsia" w:ascii="宋体" w:hAnsi="宋体" w:cs="Times New Roman"/>
                <w:color w:val="auto"/>
                <w:kern w:val="0"/>
                <w:sz w:val="24"/>
                <w:szCs w:val="20"/>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8886" w:type="dxa"/>
            <w:gridSpan w:val="2"/>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jc w:val="center"/>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合计得分：</w:t>
            </w:r>
          </w:p>
        </w:tc>
        <w:tc>
          <w:tcPr>
            <w:tcW w:w="1013"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jc w:val="center"/>
              <w:textAlignment w:val="auto"/>
              <w:rPr>
                <w:rFonts w:hint="default" w:ascii="Times New Roman" w:hAnsi="Times New Roman"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9" w:hRule="atLeast"/>
          <w:jc w:val="center"/>
        </w:trPr>
        <w:tc>
          <w:tcPr>
            <w:tcW w:w="1725" w:type="dxa"/>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400" w:lineRule="exact"/>
              <w:ind w:left="0" w:right="0"/>
              <w:jc w:val="center"/>
              <w:textAlignment w:val="auto"/>
              <w:rPr>
                <w:rFonts w:hint="eastAsia"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核验人及委托代理人签字</w:t>
            </w:r>
          </w:p>
        </w:tc>
        <w:tc>
          <w:tcPr>
            <w:tcW w:w="8174" w:type="dxa"/>
            <w:gridSpan w:val="2"/>
            <w:noWrap w:val="0"/>
            <w:vAlign w:val="center"/>
          </w:tcPr>
          <w:p>
            <w:pPr>
              <w:keepNext w:val="0"/>
              <w:keepLines w:val="0"/>
              <w:pageBreakBefore w:val="0"/>
              <w:suppressLineNumbers w:val="0"/>
              <w:kinsoku/>
              <w:wordWrap/>
              <w:overflowPunct/>
              <w:topLinePunct w:val="0"/>
              <w:autoSpaceDE/>
              <w:autoSpaceDN/>
              <w:bidi w:val="0"/>
              <w:spacing w:before="0" w:beforeAutospacing="0" w:after="0" w:afterAutospacing="0" w:line="400" w:lineRule="exact"/>
              <w:ind w:left="0" w:right="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核验人：</w:t>
            </w:r>
          </w:p>
          <w:p>
            <w:pPr>
              <w:keepNext w:val="0"/>
              <w:keepLines w:val="0"/>
              <w:pageBreakBefore w:val="0"/>
              <w:suppressLineNumbers w:val="0"/>
              <w:kinsoku/>
              <w:wordWrap/>
              <w:overflowPunct/>
              <w:topLinePunct w:val="0"/>
              <w:autoSpaceDE/>
              <w:autoSpaceDN/>
              <w:bidi w:val="0"/>
              <w:spacing w:before="0" w:beforeAutospacing="0" w:after="0" w:afterAutospacing="0" w:line="400" w:lineRule="exact"/>
              <w:ind w:left="0" w:right="0"/>
              <w:textAlignment w:val="auto"/>
              <w:rPr>
                <w:rFonts w:hint="default" w:ascii="Times New Roman" w:hAnsi="Times New Roman" w:cs="Times New Roman"/>
                <w:color w:val="auto"/>
                <w:sz w:val="24"/>
                <w:szCs w:val="24"/>
                <w:highlight w:val="none"/>
              </w:rPr>
            </w:pPr>
          </w:p>
          <w:p>
            <w:pPr>
              <w:keepNext w:val="0"/>
              <w:keepLines w:val="0"/>
              <w:pageBreakBefore w:val="0"/>
              <w:suppressLineNumbers w:val="0"/>
              <w:kinsoku/>
              <w:wordWrap/>
              <w:overflowPunct/>
              <w:topLinePunct w:val="0"/>
              <w:autoSpaceDE/>
              <w:autoSpaceDN/>
              <w:bidi w:val="0"/>
              <w:spacing w:before="0" w:beforeAutospacing="0" w:after="0" w:afterAutospacing="0" w:line="400" w:lineRule="exact"/>
              <w:ind w:left="0" w:right="0"/>
              <w:textAlignment w:val="auto"/>
              <w:rPr>
                <w:rFonts w:hint="default" w:ascii="Times New Roman" w:hAnsi="Times New Roman" w:cs="Times New Roman"/>
                <w:color w:val="auto"/>
                <w:sz w:val="24"/>
                <w:szCs w:val="24"/>
                <w:highlight w:val="none"/>
              </w:rPr>
            </w:pPr>
          </w:p>
          <w:p>
            <w:pPr>
              <w:keepNext w:val="0"/>
              <w:keepLines w:val="0"/>
              <w:pageBreakBefore w:val="0"/>
              <w:suppressLineNumbers w:val="0"/>
              <w:kinsoku/>
              <w:wordWrap/>
              <w:overflowPunct/>
              <w:topLinePunct w:val="0"/>
              <w:autoSpaceDE/>
              <w:autoSpaceDN/>
              <w:bidi w:val="0"/>
              <w:spacing w:before="0" w:beforeAutospacing="0" w:after="0" w:afterAutospacing="0" w:line="400" w:lineRule="exact"/>
              <w:ind w:left="0" w:right="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委托代理人签字确认： </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Chars="0"/>
        <w:textAlignment w:val="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说明：1、只填写符合采购文件和评标办法要求的有效证件及业绩情况，未填写在此表中的证件或业绩不予计分 。</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Chars="0"/>
        <w:textAlignment w:val="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2、本表中涉及的内容如果一项都没有，也要将此表上传至系统电子投标文件其他材料中。如不提供本表</w:t>
      </w:r>
      <w:r>
        <w:rPr>
          <w:rFonts w:hint="eastAsia" w:cs="Times New Roman"/>
          <w:b/>
          <w:bCs/>
          <w:color w:val="auto"/>
          <w:szCs w:val="21"/>
          <w:highlight w:val="none"/>
          <w:lang w:val="en-US" w:eastAsia="zh-CN"/>
        </w:rPr>
        <w:t>评审</w:t>
      </w:r>
      <w:r>
        <w:rPr>
          <w:rFonts w:hint="eastAsia" w:ascii="Times New Roman" w:hAnsi="Times New Roman" w:eastAsia="宋体" w:cs="Times New Roman"/>
          <w:b/>
          <w:bCs/>
          <w:color w:val="auto"/>
          <w:szCs w:val="21"/>
          <w:highlight w:val="none"/>
          <w:lang w:val="en-US" w:eastAsia="zh-CN"/>
        </w:rPr>
        <w:t>小组将不再对表中涉及业绩进行评审，表中涉及业绩按0分计。</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Chars="0"/>
        <w:textAlignment w:val="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3、未按采购文件要求上传原件扫描件至诚信库的或电子响应文件中未附链接的，不作为评审依据。具体上传要求详见采购文件要求。</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Chars="0"/>
        <w:textAlignment w:val="auto"/>
        <w:rPr>
          <w:color w:val="auto"/>
          <w:highlight w:val="none"/>
        </w:rPr>
      </w:pPr>
      <w:r>
        <w:rPr>
          <w:rFonts w:hint="eastAsia" w:ascii="Times New Roman" w:hAnsi="Times New Roman" w:eastAsia="宋体" w:cs="Times New Roman"/>
          <w:b/>
          <w:bCs/>
          <w:color w:val="auto"/>
          <w:szCs w:val="21"/>
          <w:highlight w:val="none"/>
          <w:lang w:val="en-US" w:eastAsia="zh-CN"/>
        </w:rPr>
        <w:t>4、此表内容如与评标办法不一致，以评标办法内容为准</w:t>
      </w:r>
    </w:p>
    <w:p>
      <w:pPr>
        <w:shd w:val="clear" w:color="auto" w:fill="FFFFFF"/>
        <w:spacing w:line="440" w:lineRule="exact"/>
        <w:jc w:val="center"/>
        <w:rPr>
          <w:b/>
          <w:bCs/>
          <w:color w:val="auto"/>
          <w:sz w:val="28"/>
          <w:szCs w:val="28"/>
          <w:highlight w:val="none"/>
        </w:rPr>
      </w:pPr>
    </w:p>
    <w:p>
      <w:pPr>
        <w:shd w:val="clear" w:color="auto" w:fill="FFFFFF"/>
        <w:spacing w:line="440" w:lineRule="exact"/>
        <w:jc w:val="center"/>
        <w:rPr>
          <w:b/>
          <w:bCs/>
          <w:color w:val="auto"/>
          <w:sz w:val="28"/>
          <w:szCs w:val="28"/>
          <w:highlight w:val="none"/>
        </w:rPr>
      </w:pPr>
    </w:p>
    <w:p>
      <w:pPr>
        <w:rPr>
          <w:b/>
          <w:bCs/>
          <w:color w:val="auto"/>
          <w:sz w:val="28"/>
          <w:szCs w:val="28"/>
          <w:highlight w:val="none"/>
        </w:rPr>
      </w:pPr>
      <w:r>
        <w:rPr>
          <w:b/>
          <w:bCs/>
          <w:color w:val="auto"/>
          <w:sz w:val="28"/>
          <w:szCs w:val="28"/>
          <w:highlight w:val="none"/>
        </w:rPr>
        <w:br w:type="page"/>
      </w:r>
    </w:p>
    <w:p>
      <w:pPr>
        <w:shd w:val="clear" w:color="auto" w:fill="FFFFFF"/>
        <w:spacing w:line="440" w:lineRule="exact"/>
        <w:jc w:val="center"/>
        <w:rPr>
          <w:b/>
          <w:bCs/>
          <w:color w:val="auto"/>
          <w:sz w:val="28"/>
          <w:szCs w:val="28"/>
          <w:highlight w:val="none"/>
        </w:rPr>
      </w:pPr>
      <w:r>
        <w:rPr>
          <w:b/>
          <w:bCs/>
          <w:color w:val="auto"/>
          <w:sz w:val="28"/>
          <w:szCs w:val="28"/>
          <w:highlight w:val="none"/>
        </w:rPr>
        <w:t>发改价格[2011]534号通知</w:t>
      </w:r>
    </w:p>
    <w:p>
      <w:pPr>
        <w:shd w:val="clear" w:color="auto" w:fill="FFFFFF"/>
        <w:spacing w:line="440" w:lineRule="exact"/>
        <w:jc w:val="center"/>
        <w:rPr>
          <w:b/>
          <w:bCs/>
          <w:color w:val="auto"/>
          <w:szCs w:val="21"/>
          <w:highlight w:val="none"/>
        </w:rPr>
      </w:pPr>
      <w:r>
        <w:rPr>
          <w:b/>
          <w:bCs/>
          <w:color w:val="auto"/>
          <w:szCs w:val="21"/>
          <w:highlight w:val="none"/>
        </w:rPr>
        <w:t>招标代理服务收费标准（2011）</w:t>
      </w:r>
    </w:p>
    <w:tbl>
      <w:tblPr>
        <w:tblStyle w:val="7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095"/>
        <w:gridCol w:w="1228"/>
        <w:gridCol w:w="1228"/>
        <w:gridCol w:w="122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7" w:hRule="atLeast"/>
          <w:jc w:val="center"/>
        </w:trPr>
        <w:tc>
          <w:tcPr>
            <w:tcW w:w="4095" w:type="dxa"/>
            <w:tcBorders>
              <w:top w:val="single" w:color="auto" w:sz="4" w:space="0"/>
              <w:left w:val="single" w:color="auto" w:sz="4" w:space="0"/>
              <w:bottom w:val="single" w:color="auto" w:sz="4" w:space="0"/>
              <w:right w:val="single" w:color="auto" w:sz="4" w:space="0"/>
              <w:tl2br w:val="single" w:color="auto" w:sz="4" w:space="0"/>
            </w:tcBorders>
            <w:noWrap w:val="0"/>
            <w:vAlign w:val="center"/>
          </w:tcPr>
          <w:p>
            <w:pPr>
              <w:keepNext w:val="0"/>
              <w:keepLines w:val="0"/>
              <w:suppressLineNumbers w:val="0"/>
              <w:spacing w:before="0" w:beforeAutospacing="0" w:after="0" w:afterAutospacing="0"/>
              <w:ind w:left="0" w:right="0"/>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                            费率</w:t>
            </w:r>
          </w:p>
          <w:p>
            <w:pPr>
              <w:keepNext w:val="0"/>
              <w:keepLines w:val="0"/>
              <w:suppressLineNumbers w:val="0"/>
              <w:spacing w:before="0" w:beforeAutospacing="0" w:after="0" w:afterAutospacing="0"/>
              <w:ind w:left="0" w:right="-273" w:rightChars="-130"/>
              <w:rPr>
                <w:rFonts w:hint="default" w:ascii="Times New Roman" w:hAnsi="Times New Roman" w:cs="Times New Roman"/>
                <w:b/>
                <w:bCs/>
                <w:color w:val="auto"/>
                <w:szCs w:val="21"/>
                <w:highlight w:val="none"/>
              </w:rPr>
            </w:pPr>
          </w:p>
          <w:p>
            <w:pPr>
              <w:keepNext w:val="0"/>
              <w:keepLines w:val="0"/>
              <w:suppressLineNumbers w:val="0"/>
              <w:spacing w:before="0" w:beforeAutospacing="0" w:after="0" w:afterAutospacing="0"/>
              <w:ind w:left="0" w:right="-273" w:rightChars="-130"/>
              <w:rPr>
                <w:rFonts w:hint="default" w:ascii="Times New Roman" w:hAnsi="Times New Roman" w:cs="Times New Roman"/>
                <w:b/>
                <w:bCs/>
                <w:color w:val="auto"/>
                <w:szCs w:val="21"/>
                <w:highlight w:val="none"/>
              </w:rPr>
            </w:pPr>
          </w:p>
          <w:p>
            <w:pPr>
              <w:keepNext w:val="0"/>
              <w:keepLines w:val="0"/>
              <w:suppressLineNumbers w:val="0"/>
              <w:spacing w:before="0" w:beforeAutospacing="0" w:after="0" w:afterAutospacing="0"/>
              <w:ind w:left="0" w:right="-273" w:rightChars="-130"/>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中标金额（单位：元人民币）</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firstLine="105" w:firstLineChars="5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货物类</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firstLine="105" w:firstLineChars="5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服务类</w:t>
            </w:r>
          </w:p>
        </w:tc>
        <w:tc>
          <w:tcPr>
            <w:tcW w:w="12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firstLine="105" w:firstLineChars="50"/>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工程类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100万元以下</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1.5%</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1.5%</w:t>
            </w:r>
          </w:p>
        </w:tc>
        <w:tc>
          <w:tcPr>
            <w:tcW w:w="12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100～500万元</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1.1%</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0.8%</w:t>
            </w:r>
          </w:p>
        </w:tc>
        <w:tc>
          <w:tcPr>
            <w:tcW w:w="12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0.7%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500～1000万元</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0.8%</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0.45%</w:t>
            </w:r>
          </w:p>
        </w:tc>
        <w:tc>
          <w:tcPr>
            <w:tcW w:w="12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0.55%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1000～5000万元</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0.5%</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0.25%</w:t>
            </w:r>
          </w:p>
        </w:tc>
        <w:tc>
          <w:tcPr>
            <w:tcW w:w="12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0.35%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5000万元～1亿元</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0.25%</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0.1%</w:t>
            </w:r>
          </w:p>
        </w:tc>
        <w:tc>
          <w:tcPr>
            <w:tcW w:w="12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0.2%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1～5亿元</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0.05%</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0.05%</w:t>
            </w:r>
          </w:p>
        </w:tc>
        <w:tc>
          <w:tcPr>
            <w:tcW w:w="12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5～10亿元</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0.035%</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0.035%</w:t>
            </w:r>
          </w:p>
        </w:tc>
        <w:tc>
          <w:tcPr>
            <w:tcW w:w="12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0.035%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10～50亿元</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0.008%</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0.008%</w:t>
            </w:r>
          </w:p>
        </w:tc>
        <w:tc>
          <w:tcPr>
            <w:tcW w:w="12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0.008%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4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50～100亿元</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0.006%</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0.006%</w:t>
            </w:r>
          </w:p>
        </w:tc>
        <w:tc>
          <w:tcPr>
            <w:tcW w:w="12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0.006%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4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100亿以上</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0.004%</w:t>
            </w:r>
          </w:p>
        </w:tc>
        <w:tc>
          <w:tcPr>
            <w:tcW w:w="12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0.004%</w:t>
            </w:r>
          </w:p>
        </w:tc>
        <w:tc>
          <w:tcPr>
            <w:tcW w:w="122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0" w:lineRule="atLeast"/>
              <w:ind w:left="0" w:right="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0.004%</w:t>
            </w:r>
          </w:p>
        </w:tc>
      </w:tr>
    </w:tbl>
    <w:p>
      <w:pPr>
        <w:shd w:val="clear" w:color="auto" w:fill="FFFFFF"/>
        <w:spacing w:line="360" w:lineRule="exact"/>
        <w:rPr>
          <w:b/>
          <w:bCs/>
          <w:color w:val="auto"/>
          <w:szCs w:val="21"/>
          <w:highlight w:val="none"/>
        </w:rPr>
      </w:pPr>
      <w:r>
        <w:rPr>
          <w:b/>
          <w:bCs/>
          <w:color w:val="auto"/>
          <w:szCs w:val="21"/>
          <w:highlight w:val="none"/>
        </w:rPr>
        <w:t>注：</w:t>
      </w:r>
    </w:p>
    <w:p>
      <w:pPr>
        <w:shd w:val="clear" w:color="auto" w:fill="FFFFFF"/>
        <w:spacing w:line="360" w:lineRule="exact"/>
        <w:rPr>
          <w:b/>
          <w:bCs/>
          <w:color w:val="auto"/>
          <w:szCs w:val="21"/>
          <w:highlight w:val="none"/>
        </w:rPr>
      </w:pPr>
      <w:r>
        <w:rPr>
          <w:b/>
          <w:bCs/>
          <w:color w:val="auto"/>
          <w:szCs w:val="21"/>
          <w:highlight w:val="none"/>
        </w:rPr>
        <w:t>1、按本表费率计算的收费为招标代理服务全过程的收费基准价格。</w:t>
      </w:r>
    </w:p>
    <w:p>
      <w:pPr>
        <w:shd w:val="clear" w:color="auto" w:fill="FFFFFF"/>
        <w:spacing w:line="360" w:lineRule="exact"/>
        <w:rPr>
          <w:b/>
          <w:bCs/>
          <w:color w:val="auto"/>
          <w:szCs w:val="21"/>
          <w:highlight w:val="none"/>
        </w:rPr>
      </w:pPr>
      <w:r>
        <w:rPr>
          <w:b/>
          <w:bCs/>
          <w:color w:val="auto"/>
          <w:szCs w:val="21"/>
          <w:highlight w:val="none"/>
        </w:rPr>
        <w:t>2、招标代理服务收费按差额定率累进法计算。</w:t>
      </w:r>
    </w:p>
    <w:p>
      <w:pPr>
        <w:shd w:val="clear" w:color="auto" w:fill="FFFFFF"/>
        <w:spacing w:line="360" w:lineRule="exact"/>
        <w:rPr>
          <w:b/>
          <w:bCs/>
          <w:color w:val="auto"/>
          <w:szCs w:val="21"/>
          <w:highlight w:val="none"/>
        </w:rPr>
      </w:pPr>
      <w:r>
        <w:rPr>
          <w:b/>
          <w:bCs/>
          <w:color w:val="auto"/>
          <w:szCs w:val="21"/>
          <w:highlight w:val="none"/>
        </w:rPr>
        <w:t>例如：</w:t>
      </w:r>
    </w:p>
    <w:p>
      <w:pPr>
        <w:shd w:val="clear" w:color="auto" w:fill="FFFFFF"/>
        <w:spacing w:line="360" w:lineRule="exact"/>
        <w:rPr>
          <w:b/>
          <w:bCs/>
          <w:color w:val="auto"/>
          <w:szCs w:val="21"/>
          <w:highlight w:val="none"/>
        </w:rPr>
      </w:pPr>
      <w:r>
        <w:rPr>
          <w:b/>
          <w:bCs/>
          <w:color w:val="auto"/>
          <w:szCs w:val="21"/>
          <w:highlight w:val="none"/>
        </w:rPr>
        <w:t>某货物招标代理业务中标金额为300万元，计算招标代理服务收费额如下：</w:t>
      </w:r>
    </w:p>
    <w:p>
      <w:pPr>
        <w:shd w:val="clear" w:color="auto" w:fill="FFFFFF"/>
        <w:spacing w:line="360" w:lineRule="exact"/>
        <w:rPr>
          <w:b/>
          <w:bCs/>
          <w:color w:val="auto"/>
          <w:szCs w:val="21"/>
          <w:highlight w:val="none"/>
        </w:rPr>
      </w:pPr>
      <w:r>
        <w:rPr>
          <w:b/>
          <w:bCs/>
          <w:color w:val="auto"/>
          <w:szCs w:val="21"/>
          <w:highlight w:val="none"/>
        </w:rPr>
        <w:t>100万元×1.5%=1.5万元</w:t>
      </w:r>
    </w:p>
    <w:p>
      <w:pPr>
        <w:shd w:val="clear" w:color="auto" w:fill="FFFFFF"/>
        <w:spacing w:line="360" w:lineRule="exact"/>
        <w:rPr>
          <w:b/>
          <w:bCs/>
          <w:color w:val="auto"/>
          <w:szCs w:val="21"/>
          <w:highlight w:val="none"/>
        </w:rPr>
      </w:pPr>
      <w:r>
        <w:rPr>
          <w:b/>
          <w:bCs/>
          <w:color w:val="auto"/>
          <w:szCs w:val="21"/>
          <w:highlight w:val="none"/>
        </w:rPr>
        <w:t>（300-100）万元×1.1%=2.2万元</w:t>
      </w:r>
    </w:p>
    <w:p>
      <w:pPr>
        <w:shd w:val="clear" w:color="auto" w:fill="FFFFFF"/>
        <w:spacing w:line="360" w:lineRule="exact"/>
        <w:rPr>
          <w:b/>
          <w:bCs/>
          <w:color w:val="auto"/>
          <w:szCs w:val="21"/>
          <w:highlight w:val="none"/>
        </w:rPr>
      </w:pPr>
      <w:r>
        <w:rPr>
          <w:b/>
          <w:bCs/>
          <w:color w:val="auto"/>
          <w:szCs w:val="21"/>
          <w:highlight w:val="none"/>
        </w:rPr>
        <w:t>合计收费=1.5万元+2.2万元=3.7万元</w:t>
      </w:r>
    </w:p>
    <w:p>
      <w:pPr>
        <w:shd w:val="clear" w:color="auto" w:fill="FFFFFF"/>
        <w:spacing w:line="360" w:lineRule="exact"/>
        <w:rPr>
          <w:b/>
          <w:bCs/>
          <w:color w:val="auto"/>
          <w:szCs w:val="21"/>
          <w:highlight w:val="none"/>
        </w:rPr>
      </w:pPr>
    </w:p>
    <w:p>
      <w:pPr>
        <w:shd w:val="clear" w:color="auto" w:fill="FFFFFF"/>
        <w:spacing w:line="360" w:lineRule="exact"/>
        <w:rPr>
          <w:b/>
          <w:bCs/>
          <w:color w:val="auto"/>
          <w:szCs w:val="21"/>
          <w:highlight w:val="none"/>
        </w:rPr>
      </w:pPr>
      <w:r>
        <w:rPr>
          <w:b/>
          <w:bCs/>
          <w:color w:val="auto"/>
          <w:szCs w:val="21"/>
          <w:highlight w:val="none"/>
        </w:rPr>
        <w:t>某服务招标代理业务中标金额为300万元，计算招标代理服务收费额如下：</w:t>
      </w:r>
    </w:p>
    <w:p>
      <w:pPr>
        <w:shd w:val="clear" w:color="auto" w:fill="FFFFFF"/>
        <w:spacing w:line="360" w:lineRule="exact"/>
        <w:rPr>
          <w:b/>
          <w:bCs/>
          <w:color w:val="auto"/>
          <w:szCs w:val="21"/>
          <w:highlight w:val="none"/>
        </w:rPr>
      </w:pPr>
      <w:r>
        <w:rPr>
          <w:b/>
          <w:bCs/>
          <w:color w:val="auto"/>
          <w:szCs w:val="21"/>
          <w:highlight w:val="none"/>
        </w:rPr>
        <w:t>100万元×1.5%=1.5万元</w:t>
      </w:r>
    </w:p>
    <w:p>
      <w:pPr>
        <w:shd w:val="clear" w:color="auto" w:fill="FFFFFF"/>
        <w:spacing w:line="360" w:lineRule="exact"/>
        <w:rPr>
          <w:b/>
          <w:bCs/>
          <w:color w:val="auto"/>
          <w:szCs w:val="21"/>
          <w:highlight w:val="none"/>
        </w:rPr>
      </w:pPr>
      <w:r>
        <w:rPr>
          <w:b/>
          <w:bCs/>
          <w:color w:val="auto"/>
          <w:szCs w:val="21"/>
          <w:highlight w:val="none"/>
        </w:rPr>
        <w:t>（300-100）万元×0.8%=1.6万元</w:t>
      </w:r>
    </w:p>
    <w:p>
      <w:pPr>
        <w:shd w:val="clear" w:color="auto" w:fill="FFFFFF"/>
        <w:spacing w:line="360" w:lineRule="exact"/>
        <w:rPr>
          <w:b/>
          <w:bCs/>
          <w:color w:val="auto"/>
          <w:szCs w:val="21"/>
          <w:highlight w:val="none"/>
        </w:rPr>
      </w:pPr>
      <w:r>
        <w:rPr>
          <w:b/>
          <w:bCs/>
          <w:color w:val="auto"/>
          <w:szCs w:val="21"/>
          <w:highlight w:val="none"/>
        </w:rPr>
        <w:t>合计收费=1.5万元+1.6万元=3.1万元</w:t>
      </w:r>
    </w:p>
    <w:p>
      <w:pPr>
        <w:shd w:val="clear" w:color="auto" w:fill="FFFFFF"/>
        <w:spacing w:line="360" w:lineRule="exact"/>
        <w:rPr>
          <w:b/>
          <w:bCs/>
          <w:color w:val="auto"/>
          <w:szCs w:val="21"/>
          <w:highlight w:val="none"/>
        </w:rPr>
      </w:pPr>
    </w:p>
    <w:p>
      <w:pPr>
        <w:shd w:val="clear" w:color="auto" w:fill="FFFFFF"/>
        <w:spacing w:line="360" w:lineRule="exact"/>
        <w:rPr>
          <w:b/>
          <w:bCs/>
          <w:color w:val="auto"/>
          <w:szCs w:val="21"/>
          <w:highlight w:val="none"/>
          <w:lang w:val="zh-CN"/>
        </w:rPr>
      </w:pPr>
      <w:r>
        <w:rPr>
          <w:b/>
          <w:bCs/>
          <w:color w:val="auto"/>
          <w:szCs w:val="21"/>
          <w:highlight w:val="none"/>
          <w:lang w:val="zh-CN"/>
        </w:rPr>
        <w:t>某工程招标代理业务中标金额为</w:t>
      </w:r>
      <w:r>
        <w:rPr>
          <w:b/>
          <w:bCs/>
          <w:color w:val="auto"/>
          <w:szCs w:val="21"/>
          <w:highlight w:val="none"/>
        </w:rPr>
        <w:t>1</w:t>
      </w:r>
      <w:r>
        <w:rPr>
          <w:b/>
          <w:bCs/>
          <w:color w:val="auto"/>
          <w:szCs w:val="21"/>
          <w:highlight w:val="none"/>
          <w:lang w:val="zh-CN"/>
        </w:rPr>
        <w:t>000万元，计算招标代理服务收费额如下：</w:t>
      </w:r>
    </w:p>
    <w:p>
      <w:pPr>
        <w:shd w:val="clear" w:color="auto" w:fill="FFFFFF"/>
        <w:spacing w:line="360" w:lineRule="exact"/>
        <w:rPr>
          <w:b/>
          <w:bCs/>
          <w:color w:val="auto"/>
          <w:szCs w:val="21"/>
          <w:highlight w:val="none"/>
          <w:lang w:val="zh-CN"/>
        </w:rPr>
      </w:pPr>
      <w:r>
        <w:rPr>
          <w:b/>
          <w:bCs/>
          <w:color w:val="auto"/>
          <w:szCs w:val="21"/>
          <w:highlight w:val="none"/>
          <w:lang w:val="zh-CN"/>
        </w:rPr>
        <w:t>100万元×1.0%=1万元</w:t>
      </w:r>
    </w:p>
    <w:p>
      <w:pPr>
        <w:shd w:val="clear" w:color="auto" w:fill="FFFFFF"/>
        <w:spacing w:line="360" w:lineRule="exact"/>
        <w:rPr>
          <w:b/>
          <w:bCs/>
          <w:color w:val="auto"/>
          <w:szCs w:val="21"/>
          <w:highlight w:val="none"/>
          <w:lang w:val="zh-CN"/>
        </w:rPr>
      </w:pPr>
      <w:r>
        <w:rPr>
          <w:b/>
          <w:bCs/>
          <w:color w:val="auto"/>
          <w:szCs w:val="21"/>
          <w:highlight w:val="none"/>
          <w:lang w:val="zh-CN"/>
        </w:rPr>
        <w:t>（500-100）万元×0.7%=2.8万元</w:t>
      </w:r>
    </w:p>
    <w:p>
      <w:pPr>
        <w:shd w:val="clear" w:color="auto" w:fill="FFFFFF"/>
        <w:spacing w:line="360" w:lineRule="exact"/>
        <w:rPr>
          <w:b/>
          <w:bCs/>
          <w:color w:val="auto"/>
          <w:szCs w:val="21"/>
          <w:highlight w:val="none"/>
          <w:lang w:val="zh-CN"/>
        </w:rPr>
      </w:pPr>
      <w:r>
        <w:rPr>
          <w:b/>
          <w:bCs/>
          <w:color w:val="auto"/>
          <w:szCs w:val="21"/>
          <w:highlight w:val="none"/>
          <w:lang w:val="zh-CN"/>
        </w:rPr>
        <w:t>（1000-500）万元×0.55%=2.75万元</w:t>
      </w:r>
    </w:p>
    <w:p>
      <w:pPr>
        <w:shd w:val="clear" w:color="auto" w:fill="FFFFFF"/>
        <w:spacing w:line="360" w:lineRule="exact"/>
        <w:rPr>
          <w:b/>
          <w:bCs/>
          <w:color w:val="auto"/>
          <w:szCs w:val="21"/>
          <w:highlight w:val="none"/>
          <w:lang w:val="zh-CN"/>
        </w:rPr>
      </w:pPr>
      <w:r>
        <w:rPr>
          <w:b/>
          <w:bCs/>
          <w:color w:val="auto"/>
          <w:szCs w:val="21"/>
          <w:highlight w:val="none"/>
          <w:lang w:val="zh-CN"/>
        </w:rPr>
        <w:t>合计收费=1+2.8+2.75=</w:t>
      </w:r>
      <w:r>
        <w:rPr>
          <w:b/>
          <w:bCs/>
          <w:color w:val="auto"/>
          <w:szCs w:val="21"/>
          <w:highlight w:val="none"/>
        </w:rPr>
        <w:t>6</w:t>
      </w:r>
      <w:r>
        <w:rPr>
          <w:b/>
          <w:bCs/>
          <w:color w:val="auto"/>
          <w:szCs w:val="21"/>
          <w:highlight w:val="none"/>
          <w:lang w:val="zh-CN"/>
        </w:rPr>
        <w:t>.55万元</w:t>
      </w:r>
    </w:p>
    <w:p>
      <w:pPr>
        <w:rPr>
          <w:rFonts w:hint="eastAsia" w:ascii="宋体" w:hAnsi="宋体" w:eastAsia="宋体" w:cs="宋体"/>
          <w:b/>
          <w:color w:val="auto"/>
          <w:sz w:val="28"/>
          <w:szCs w:val="28"/>
          <w:highlight w:val="none"/>
        </w:rPr>
      </w:pPr>
      <w:bookmarkStart w:id="30" w:name="_Toc24529"/>
      <w:r>
        <w:rPr>
          <w:rFonts w:hint="eastAsia" w:ascii="宋体" w:hAnsi="宋体" w:eastAsia="宋体" w:cs="宋体"/>
          <w:b/>
          <w:color w:val="auto"/>
          <w:sz w:val="28"/>
          <w:szCs w:val="28"/>
          <w:highlight w:val="none"/>
        </w:rPr>
        <w:br w:type="page"/>
      </w:r>
    </w:p>
    <w:p>
      <w:pPr>
        <w:keepNext w:val="0"/>
        <w:keepLines w:val="0"/>
        <w:widowControl w:val="0"/>
        <w:suppressLineNumbers w:val="0"/>
        <w:spacing w:before="0" w:beforeAutospacing="0" w:after="0" w:afterAutospacing="0"/>
        <w:ind w:left="0" w:right="420"/>
        <w:jc w:val="left"/>
        <w:rPr>
          <w:lang w:val="en-US"/>
        </w:rPr>
      </w:pPr>
      <w:r>
        <w:rPr>
          <w:rFonts w:hint="default" w:ascii="Calibri" w:hAnsi="Calibri" w:eastAsia="宋体" w:cs="Times New Roman"/>
          <w:kern w:val="2"/>
          <w:sz w:val="21"/>
          <w:szCs w:val="20"/>
          <w:lang w:val="en-US" w:eastAsia="zh-CN" w:bidi="ar"/>
        </w:rPr>
        <w:drawing>
          <wp:inline distT="0" distB="0" distL="114300" distR="114300">
            <wp:extent cx="6115050" cy="8667750"/>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23"/>
                    <a:stretch>
                      <a:fillRect/>
                    </a:stretch>
                  </pic:blipFill>
                  <pic:spPr>
                    <a:xfrm>
                      <a:off x="0" y="0"/>
                      <a:ext cx="6115050" cy="8667750"/>
                    </a:xfrm>
                    <a:prstGeom prst="rect">
                      <a:avLst/>
                    </a:prstGeom>
                    <a:noFill/>
                    <a:ln>
                      <a:noFill/>
                    </a:ln>
                  </pic:spPr>
                </pic:pic>
              </a:graphicData>
            </a:graphic>
          </wp:inline>
        </w:drawing>
      </w:r>
    </w:p>
    <w:p>
      <w:pPr>
        <w:rPr>
          <w:rFonts w:hint="default" w:ascii="Calibri" w:hAnsi="Calibri" w:eastAsia="宋体" w:cs="Times New Roman"/>
          <w:kern w:val="2"/>
          <w:sz w:val="21"/>
          <w:szCs w:val="20"/>
          <w:lang w:val="en-US" w:eastAsia="zh-CN" w:bidi="ar"/>
        </w:rPr>
        <w:sectPr>
          <w:footerReference r:id="rId7" w:type="first"/>
          <w:footerReference r:id="rId6" w:type="default"/>
          <w:pgSz w:w="11906" w:h="16838"/>
          <w:pgMar w:top="1134" w:right="1417" w:bottom="1134" w:left="1417" w:header="794" w:footer="737" w:gutter="0"/>
          <w:pgNumType w:start="2"/>
          <w:cols w:space="0" w:num="1"/>
          <w:rtlGutter w:val="0"/>
          <w:docGrid w:linePitch="312" w:charSpace="0"/>
        </w:sectPr>
      </w:pPr>
    </w:p>
    <w:p>
      <w:pPr>
        <w:keepNext w:val="0"/>
        <w:keepLines w:val="0"/>
        <w:widowControl w:val="0"/>
        <w:suppressLineNumbers w:val="0"/>
        <w:spacing w:before="0" w:beforeAutospacing="0" w:after="0" w:afterAutospacing="0"/>
        <w:ind w:left="0" w:right="420"/>
        <w:jc w:val="left"/>
        <w:rPr>
          <w:lang w:val="en-US"/>
        </w:rPr>
      </w:pPr>
      <w:r>
        <w:rPr>
          <w:rFonts w:hint="default" w:ascii="Calibri" w:hAnsi="Calibri" w:eastAsia="宋体" w:cs="Times New Roman"/>
          <w:kern w:val="2"/>
          <w:sz w:val="21"/>
          <w:szCs w:val="20"/>
          <w:lang w:val="en-US" w:eastAsia="zh-CN" w:bidi="ar"/>
        </w:rPr>
        <w:drawing>
          <wp:inline distT="0" distB="0" distL="114300" distR="114300">
            <wp:extent cx="6105525" cy="8477250"/>
            <wp:effectExtent l="0" t="0" r="9525"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24"/>
                    <a:stretch>
                      <a:fillRect/>
                    </a:stretch>
                  </pic:blipFill>
                  <pic:spPr>
                    <a:xfrm>
                      <a:off x="0" y="0"/>
                      <a:ext cx="6105525" cy="8477250"/>
                    </a:xfrm>
                    <a:prstGeom prst="rect">
                      <a:avLst/>
                    </a:prstGeom>
                    <a:noFill/>
                    <a:ln>
                      <a:noFill/>
                    </a:ln>
                  </pic:spPr>
                </pic:pic>
              </a:graphicData>
            </a:graphic>
          </wp:inline>
        </w:drawing>
      </w:r>
    </w:p>
    <w:p>
      <w:pPr>
        <w:rPr>
          <w:rFonts w:hint="default" w:ascii="Calibri" w:hAnsi="Calibri" w:eastAsia="宋体" w:cs="Times New Roman"/>
          <w:kern w:val="2"/>
          <w:sz w:val="21"/>
          <w:szCs w:val="20"/>
          <w:lang w:val="en-US" w:eastAsia="zh-CN" w:bidi="ar"/>
        </w:rPr>
        <w:sectPr>
          <w:pgSz w:w="11906" w:h="16838"/>
          <w:pgMar w:top="1134" w:right="1417" w:bottom="1134" w:left="1417" w:header="794" w:footer="737" w:gutter="0"/>
          <w:cols w:space="0" w:num="1"/>
          <w:titlePg/>
          <w:rtlGutter w:val="0"/>
          <w:docGrid w:linePitch="312" w:charSpace="0"/>
        </w:sectPr>
      </w:pPr>
    </w:p>
    <w:p>
      <w:pPr>
        <w:keepNext w:val="0"/>
        <w:keepLines w:val="0"/>
        <w:widowControl w:val="0"/>
        <w:suppressLineNumbers w:val="0"/>
        <w:spacing w:before="0" w:beforeAutospacing="0" w:after="0" w:afterAutospacing="0"/>
        <w:ind w:left="0" w:right="420"/>
        <w:jc w:val="left"/>
        <w:rPr>
          <w:lang w:val="en-US"/>
        </w:rPr>
      </w:pPr>
      <w:r>
        <w:rPr>
          <w:rFonts w:hint="default" w:ascii="Calibri" w:hAnsi="Calibri" w:eastAsia="宋体" w:cs="Times New Roman"/>
          <w:kern w:val="2"/>
          <w:sz w:val="21"/>
          <w:szCs w:val="20"/>
          <w:lang w:val="en-US" w:eastAsia="zh-CN" w:bidi="ar"/>
        </w:rPr>
        <w:drawing>
          <wp:inline distT="0" distB="0" distL="114300" distR="114300">
            <wp:extent cx="6105525" cy="8277225"/>
            <wp:effectExtent l="0" t="0" r="9525" b="9525"/>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pic:cNvPicPr>
                      <a:picLocks noChangeAspect="1"/>
                    </pic:cNvPicPr>
                  </pic:nvPicPr>
                  <pic:blipFill>
                    <a:blip r:embed="rId25"/>
                    <a:stretch>
                      <a:fillRect/>
                    </a:stretch>
                  </pic:blipFill>
                  <pic:spPr>
                    <a:xfrm>
                      <a:off x="0" y="0"/>
                      <a:ext cx="6105525" cy="8277225"/>
                    </a:xfrm>
                    <a:prstGeom prst="rect">
                      <a:avLst/>
                    </a:prstGeom>
                    <a:noFill/>
                    <a:ln>
                      <a:noFill/>
                    </a:ln>
                  </pic:spPr>
                </pic:pic>
              </a:graphicData>
            </a:graphic>
          </wp:inline>
        </w:drawing>
      </w:r>
    </w:p>
    <w:p>
      <w:pPr>
        <w:rPr>
          <w:rFonts w:hint="default" w:ascii="Calibri" w:hAnsi="Calibri" w:eastAsia="宋体" w:cs="Times New Roman"/>
          <w:kern w:val="2"/>
          <w:sz w:val="21"/>
          <w:szCs w:val="20"/>
          <w:lang w:val="en-US" w:eastAsia="zh-CN" w:bidi="ar"/>
        </w:rPr>
        <w:sectPr>
          <w:pgSz w:w="11906" w:h="16838"/>
          <w:pgMar w:top="1134" w:right="1417" w:bottom="1134" w:left="1417" w:header="794" w:footer="737" w:gutter="0"/>
          <w:cols w:space="0" w:num="1"/>
          <w:titlePg/>
          <w:rtlGutter w:val="0"/>
          <w:docGrid w:linePitch="312" w:charSpace="0"/>
        </w:sectPr>
      </w:pPr>
    </w:p>
    <w:p>
      <w:pPr>
        <w:keepNext w:val="0"/>
        <w:keepLines w:val="0"/>
        <w:widowControl w:val="0"/>
        <w:suppressLineNumbers w:val="0"/>
        <w:spacing w:before="0" w:beforeAutospacing="0" w:after="0" w:afterAutospacing="0"/>
        <w:ind w:left="0" w:right="420"/>
        <w:jc w:val="left"/>
        <w:rPr>
          <w:lang w:val="en-US"/>
        </w:rPr>
      </w:pPr>
      <w:r>
        <w:rPr>
          <w:rFonts w:hint="default" w:ascii="Calibri" w:hAnsi="Calibri" w:eastAsia="宋体" w:cs="Times New Roman"/>
          <w:kern w:val="2"/>
          <w:sz w:val="21"/>
          <w:szCs w:val="20"/>
          <w:lang w:val="en-US" w:eastAsia="zh-CN" w:bidi="ar"/>
        </w:rPr>
        <w:drawing>
          <wp:inline distT="0" distB="0" distL="114300" distR="114300">
            <wp:extent cx="6105525" cy="8134350"/>
            <wp:effectExtent l="0" t="0" r="9525"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26"/>
                    <a:stretch>
                      <a:fillRect/>
                    </a:stretch>
                  </pic:blipFill>
                  <pic:spPr>
                    <a:xfrm>
                      <a:off x="0" y="0"/>
                      <a:ext cx="6105525" cy="8134350"/>
                    </a:xfrm>
                    <a:prstGeom prst="rect">
                      <a:avLst/>
                    </a:prstGeom>
                    <a:noFill/>
                    <a:ln>
                      <a:noFill/>
                    </a:ln>
                  </pic:spPr>
                </pic:pic>
              </a:graphicData>
            </a:graphic>
          </wp:inline>
        </w:drawing>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pPr>
        <w:jc w:val="center"/>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聊城市公共资源交易中心</w:t>
      </w:r>
      <w:bookmarkEnd w:id="30"/>
    </w:p>
    <w:p>
      <w:pPr>
        <w:jc w:val="center"/>
        <w:outlineLvl w:val="0"/>
        <w:rPr>
          <w:rFonts w:hint="eastAsia" w:ascii="宋体" w:hAnsi="宋体" w:eastAsia="宋体" w:cs="宋体"/>
          <w:b/>
          <w:color w:val="auto"/>
          <w:sz w:val="28"/>
          <w:szCs w:val="28"/>
          <w:highlight w:val="none"/>
        </w:rPr>
      </w:pPr>
      <w:bookmarkStart w:id="31" w:name="_Toc22428"/>
      <w:r>
        <w:rPr>
          <w:rFonts w:hint="eastAsia" w:ascii="宋体" w:hAnsi="宋体" w:eastAsia="宋体" w:cs="宋体"/>
          <w:b/>
          <w:color w:val="auto"/>
          <w:sz w:val="28"/>
          <w:szCs w:val="28"/>
          <w:highlight w:val="none"/>
        </w:rPr>
        <w:t>虚拟开标大厅-投标人</w:t>
      </w:r>
      <w:bookmarkEnd w:id="31"/>
    </w:p>
    <w:p>
      <w:pPr>
        <w:ind w:firstLine="0" w:firstLineChars="0"/>
        <w:jc w:val="center"/>
        <w:rPr>
          <w:rFonts w:hint="eastAsia" w:ascii="宋体" w:hAnsi="宋体" w:eastAsia="宋体" w:cs="宋体"/>
          <w:b/>
          <w:color w:val="auto"/>
          <w:sz w:val="28"/>
          <w:szCs w:val="28"/>
          <w:highlight w:val="none"/>
        </w:rPr>
      </w:pPr>
      <w:bookmarkStart w:id="32" w:name="_Toc15957"/>
      <w:r>
        <w:rPr>
          <w:rFonts w:hint="eastAsia" w:ascii="宋体" w:hAnsi="宋体" w:eastAsia="宋体" w:cs="宋体"/>
          <w:b/>
          <w:color w:val="auto"/>
          <w:sz w:val="28"/>
          <w:szCs w:val="28"/>
          <w:highlight w:val="none"/>
        </w:rPr>
        <w:t>操作手册</w:t>
      </w:r>
      <w:bookmarkEnd w:id="32"/>
    </w:p>
    <w:p>
      <w:pPr>
        <w:ind w:firstLine="0" w:firstLineChars="0"/>
        <w:jc w:val="both"/>
        <w:rPr>
          <w:rFonts w:hint="eastAsia"/>
          <w:b/>
          <w:color w:val="auto"/>
          <w:sz w:val="24"/>
          <w:szCs w:val="24"/>
          <w:highlight w:val="none"/>
          <w:lang w:val="en-US" w:eastAsia="zh-CN"/>
        </w:rPr>
      </w:pPr>
      <w:r>
        <w:rPr>
          <w:rFonts w:hint="eastAsia"/>
          <w:b/>
          <w:color w:val="auto"/>
          <w:sz w:val="24"/>
          <w:szCs w:val="24"/>
          <w:highlight w:val="none"/>
          <w:lang w:val="en-US" w:eastAsia="zh-CN"/>
        </w:rPr>
        <w:t>http://ggzyjy.liaocheng.gov.cn:8093/BidOpening/bidopeninghallaction/hall/login</w:t>
      </w:r>
    </w:p>
    <w:p>
      <w:pPr>
        <w:jc w:val="center"/>
        <w:rPr>
          <w:rFonts w:hint="eastAsia" w:ascii="宋体" w:hAnsi="宋体" w:eastAsia="宋体" w:cs="宋体"/>
          <w:color w:val="auto"/>
          <w:sz w:val="28"/>
          <w:szCs w:val="28"/>
          <w:highlight w:val="none"/>
        </w:rPr>
      </w:pPr>
    </w:p>
    <w:sectPr>
      <w:headerReference r:id="rId8" w:type="default"/>
      <w:footerReference r:id="rId10" w:type="default"/>
      <w:headerReference r:id="rId9" w:type="even"/>
      <w:footerReference r:id="rId11" w:type="even"/>
      <w:pgSz w:w="11906" w:h="16838"/>
      <w:pgMar w:top="1134" w:right="1134" w:bottom="1134" w:left="1134" w:header="849" w:footer="529"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Plotter">
    <w:altName w:val="Times New Roman"/>
    <w:panose1 w:val="00000000000000000000"/>
    <w:charset w:val="00"/>
    <w:family w:val="roman"/>
    <w:pitch w:val="default"/>
    <w:sig w:usb0="00000000" w:usb1="00000000" w:usb2="00000000" w:usb3="00000000" w:csb0="00040001" w:csb1="00000000"/>
  </w:font>
  <w:font w:name="Arial Black">
    <w:panose1 w:val="020B0A04020102020204"/>
    <w:charset w:val="00"/>
    <w:family w:val="swiss"/>
    <w:pitch w:val="default"/>
    <w:sig w:usb0="A00002AF" w:usb1="400078FB" w:usb2="00000000" w:usb3="00000000" w:csb0="6000009F" w:csb1="DFD70000"/>
  </w:font>
  <w:font w:name="仿宋体">
    <w:altName w:val="宋体"/>
    <w:panose1 w:val="00000000000000000000"/>
    <w:charset w:val="86"/>
    <w:family w:val="roma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serif">
    <w:altName w:val="Segoe Print"/>
    <w:panose1 w:val="00000000000000000000"/>
    <w:charset w:val="00"/>
    <w:family w:val="auto"/>
    <w:pitch w:val="default"/>
    <w:sig w:usb0="00000000" w:usb1="00000000" w:usb2="00000000" w:usb3="00000000" w:csb0="00040001" w:csb1="00000000"/>
  </w:font>
  <w:font w:name="长城仿宋">
    <w:altName w:val="黑体"/>
    <w:panose1 w:val="00000000000000000000"/>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Perpetua">
    <w:altName w:val="PMingLiU-ExtB"/>
    <w:panose1 w:val="02020502060401020303"/>
    <w:charset w:val="00"/>
    <w:family w:val="roman"/>
    <w:pitch w:val="default"/>
    <w:sig w:usb0="00000000" w:usb1="00000000" w:usb2="00000000" w:usb3="00000000" w:csb0="2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HYDaHeiJ">
    <w:altName w:val="黑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全真中明體">
    <w:altName w:val="MingLiU-ExtB"/>
    <w:panose1 w:val="00000000000000000000"/>
    <w:charset w:val="88"/>
    <w:family w:val="modern"/>
    <w:pitch w:val="default"/>
    <w:sig w:usb0="00000000" w:usb1="00000000" w:usb2="00000010" w:usb3="00000000" w:csb0="00100000" w:csb1="00000000"/>
  </w:font>
  <w:font w:name="昆仑仿宋">
    <w:altName w:val="黑体"/>
    <w:panose1 w:val="00000000000000000000"/>
    <w:charset w:val="86"/>
    <w:family w:val="modern"/>
    <w:pitch w:val="default"/>
    <w:sig w:usb0="00000000" w:usb1="00000000" w:usb2="00000010" w:usb3="00000000" w:csb0="00040000" w:csb1="00000000"/>
  </w:font>
  <w:font w:name="EPKJJF+DFPHeiW5">
    <w:altName w:val="仿宋"/>
    <w:panose1 w:val="00000000000000000000"/>
    <w:charset w:val="86"/>
    <w:family w:val="swiss"/>
    <w:pitch w:val="default"/>
    <w:sig w:usb0="00000000" w:usb1="00000000" w:usb2="00000010" w:usb3="00000000" w:csb0="00040000" w:csb1="00000000"/>
  </w:font>
  <w:font w:name="汉仪细等线简">
    <w:altName w:val="宋体"/>
    <w:panose1 w:val="02010604000101010101"/>
    <w:charset w:val="86"/>
    <w:family w:val="auto"/>
    <w:pitch w:val="default"/>
    <w:sig w:usb0="00000000" w:usb1="00000000" w:usb2="00000012" w:usb3="00000000" w:csb0="00040000" w:csb1="00000000"/>
  </w:font>
  <w:font w:name="隶书">
    <w:panose1 w:val="0201050906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汉鼎简大黑Arial Black">
    <w:altName w:val="宋体"/>
    <w:panose1 w:val="00000000000000000000"/>
    <w:charset w:val="86"/>
    <w:family w:val="auto"/>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0" w:usb3="00000000" w:csb0="00000093" w:csb1="00000000"/>
  </w:font>
  <w:font w:name="2OcuAe">
    <w:altName w:val="MingLiU-ExtB"/>
    <w:panose1 w:val="00000000000000000000"/>
    <w:charset w:val="88"/>
    <w:family w:val="modern"/>
    <w:pitch w:val="default"/>
    <w:sig w:usb0="00000000" w:usb1="00000000" w:usb2="00000010" w:usb3="00000000" w:csb0="00100000" w:csb1="00000000"/>
  </w:font>
  <w:font w:name="PMingLiU">
    <w:altName w:val="PMingLiU-ExtB"/>
    <w:panose1 w:val="02020500000000000000"/>
    <w:charset w:val="88"/>
    <w:family w:val="roman"/>
    <w:pitch w:val="default"/>
    <w:sig w:usb0="00000000" w:usb1="00000000" w:usb2="00000016" w:usb3="00000000" w:csb0="00100001" w:csb1="00000000"/>
  </w:font>
  <w:font w:name="汉鼎简中等线Arial">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Dotum">
    <w:altName w:val="Malgun Gothic"/>
    <w:panose1 w:val="020B0600000101010101"/>
    <w:charset w:val="81"/>
    <w:family w:val="swiss"/>
    <w:pitch w:val="default"/>
    <w:sig w:usb0="00000000" w:usb1="00000000" w:usb2="00000030" w:usb3="00000000" w:csb0="4008009F" w:csb1="DFD70000"/>
  </w:font>
  <w:font w:name="Wingdings 2">
    <w:panose1 w:val="05020102010507070707"/>
    <w:charset w:val="00"/>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MingLiU-ExtB">
    <w:panose1 w:val="02020500000000000000"/>
    <w:charset w:val="88"/>
    <w:family w:val="auto"/>
    <w:pitch w:val="default"/>
    <w:sig w:usb0="8000002F" w:usb1="02000008" w:usb2="00000000" w:usb3="00000000" w:csb0="00100001"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pBdr>
        <w:top w:val="single" w:color="auto" w:sz="4" w:space="0"/>
      </w:pBdr>
      <w:spacing w:line="360" w:lineRule="auto"/>
      <w:ind w:left="1" w:hanging="1"/>
      <w:rPr>
        <w:szCs w:val="24"/>
      </w:rPr>
    </w:pPr>
    <w:r>
      <w:rPr>
        <w:b/>
        <w:kern w:val="0"/>
        <w:sz w:val="20"/>
        <w:szCs w:val="21"/>
        <w:u w:val="single"/>
      </w:rPr>
      <mc:AlternateContent>
        <mc:Choice Requires="wps">
          <w:drawing>
            <wp:anchor distT="0" distB="0" distL="114300" distR="114300" simplePos="0" relativeHeight="251661312" behindDoc="0" locked="0" layoutInCell="1" allowOverlap="1">
              <wp:simplePos x="0" y="0"/>
              <wp:positionH relativeFrom="column">
                <wp:posOffset>9113520</wp:posOffset>
              </wp:positionH>
              <wp:positionV relativeFrom="paragraph">
                <wp:posOffset>17780</wp:posOffset>
              </wp:positionV>
              <wp:extent cx="4170680" cy="2965450"/>
              <wp:effectExtent l="2540" t="3810" r="17780" b="21590"/>
              <wp:wrapNone/>
              <wp:docPr id="3" name="Line 2"/>
              <wp:cNvGraphicFramePr/>
              <a:graphic xmlns:a="http://schemas.openxmlformats.org/drawingml/2006/main">
                <a:graphicData uri="http://schemas.microsoft.com/office/word/2010/wordprocessingShape">
                  <wps:wsp>
                    <wps:cNvCnPr/>
                    <wps:spPr>
                      <a:xfrm flipV="1">
                        <a:off x="0" y="0"/>
                        <a:ext cx="4170680" cy="296545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Line 2" o:spid="_x0000_s1026" o:spt="20" style="position:absolute;left:0pt;flip:y;margin-left:717.6pt;margin-top:1.4pt;height:233.5pt;width:328.4pt;z-index:251661312;mso-width-relative:page;mso-height-relative:page;" filled="f" stroked="t" coordsize="21600,21600" o:gfxdata="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JRzH3HYAAAACwEA&#10;AA8AAAAAAAAAAQAgAAAAIgAAAGRycy9kb3ducmV2LnhtbFBLAQIUABQAAAAIAIdO4kDqCUSl4QEA&#10;AN0DAAAOAAAAAAAAAAEAIAAAACcBAABkcnMvZTJvRG9jLnhtbFBLBQYAAAAABgAGAFkBAAB6BQAA&#10;AAA=&#10;">
              <v:fill on="f" focussize="0,0"/>
              <v:stroke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pBdr>
        <w:top w:val="single" w:color="auto" w:sz="4" w:space="0"/>
      </w:pBdr>
      <w:spacing w:line="360" w:lineRule="auto"/>
      <w:ind w:left="1" w:hanging="1"/>
      <w:rPr>
        <w:szCs w:val="24"/>
      </w:rPr>
    </w:pPr>
    <w:r>
      <w:rPr>
        <w:b/>
        <w:kern w:val="0"/>
        <w:sz w:val="20"/>
        <w:szCs w:val="21"/>
        <w:u w:val="single"/>
      </w:rPr>
      <mc:AlternateContent>
        <mc:Choice Requires="wps">
          <w:drawing>
            <wp:anchor distT="0" distB="0" distL="114300" distR="114300" simplePos="0" relativeHeight="251662336" behindDoc="0" locked="0" layoutInCell="1" allowOverlap="1">
              <wp:simplePos x="0" y="0"/>
              <wp:positionH relativeFrom="column">
                <wp:posOffset>9113520</wp:posOffset>
              </wp:positionH>
              <wp:positionV relativeFrom="paragraph">
                <wp:posOffset>17780</wp:posOffset>
              </wp:positionV>
              <wp:extent cx="4170680" cy="2965450"/>
              <wp:effectExtent l="2540" t="3810" r="17780" b="21590"/>
              <wp:wrapNone/>
              <wp:docPr id="10" name="Line 2"/>
              <wp:cNvGraphicFramePr/>
              <a:graphic xmlns:a="http://schemas.openxmlformats.org/drawingml/2006/main">
                <a:graphicData uri="http://schemas.microsoft.com/office/word/2010/wordprocessingShape">
                  <wps:wsp>
                    <wps:cNvCnPr/>
                    <wps:spPr>
                      <a:xfrm flipV="1">
                        <a:off x="0" y="0"/>
                        <a:ext cx="4170680" cy="296545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Line 2" o:spid="_x0000_s1026" o:spt="20" style="position:absolute;left:0pt;flip:y;margin-left:717.6pt;margin-top:1.4pt;height:233.5pt;width:328.4pt;z-index:251662336;mso-width-relative:page;mso-height-relative:page;" filled="f" stroked="t" coordsize="21600,21600" o:gfxdata="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lHMfcdgAAAALAQAA&#10;DwAAAAAAAAABACAAAAAiAAAAZHJzL2Rvd25yZXYueG1sUEsBAhQAFAAAAAgAh07iQMWRb2zgAQAA&#10;3gMAAA4AAAAAAAAAAQAgAAAAJwEAAGRycy9lMm9Eb2MueG1sUEsFBgAAAAAGAAYAWQEAAHkFAAAA&#10;AA==&#10;">
              <v:fill on="f" focussize="0,0"/>
              <v:stroke color="#000000" joinstyle="round"/>
              <v:imagedata o:title=""/>
              <o:lock v:ext="edit" aspectratio="f"/>
            </v:line>
          </w:pict>
        </mc:Fallback>
      </mc:AlternateContent>
    </w:r>
    <w:r>
      <w:rPr>
        <w:rFonts w:hint="eastAsia" w:hAnsi="宋体"/>
        <w:b/>
        <w:lang w:eastAsia="zh-CN"/>
      </w:rPr>
      <w:t>山东众合项目咨询有限公司</w:t>
    </w:r>
    <w:r>
      <w:rPr>
        <w:b/>
      </w:rPr>
      <w:t xml:space="preserve">             </w:t>
    </w:r>
    <w:r>
      <w:rPr>
        <w:rFonts w:hint="eastAsia"/>
        <w:b/>
      </w:rPr>
      <w:t xml:space="preserve">                     </w:t>
    </w:r>
    <w:r>
      <w:rPr>
        <w:b/>
        <w:kern w:val="0"/>
      </w:rPr>
      <w:t xml:space="preserve">   </w:t>
    </w:r>
    <w:r>
      <w:rPr>
        <w:rFonts w:hint="eastAsia"/>
        <w:b/>
        <w:kern w:val="0"/>
      </w:rPr>
      <w:t xml:space="preserve">                 </w:t>
    </w:r>
    <w:r>
      <w:rPr>
        <w:b/>
        <w:kern w:val="0"/>
      </w:rPr>
      <w:t xml:space="preserve">    </w:t>
    </w:r>
    <w:r>
      <w:rPr>
        <w:rFonts w:hint="eastAsia"/>
        <w:b/>
        <w:kern w:val="0"/>
        <w:lang w:val="en-US" w:eastAsia="zh-CN"/>
      </w:rPr>
      <w:t xml:space="preserve">        </w:t>
    </w:r>
    <w:r>
      <w:rPr>
        <w:b/>
        <w:kern w:val="0"/>
      </w:rPr>
      <w:t xml:space="preserve">   </w:t>
    </w:r>
    <w:r>
      <w:rPr>
        <w:rFonts w:hAnsi="宋体"/>
        <w:b/>
        <w:kern w:val="0"/>
      </w:rPr>
      <w:t>第</w:t>
    </w:r>
    <w:r>
      <w:rPr>
        <w:b/>
      </w:rPr>
      <w:fldChar w:fldCharType="begin"/>
    </w:r>
    <w:r>
      <w:rPr>
        <w:rStyle w:val="77"/>
        <w:b/>
      </w:rPr>
      <w:instrText xml:space="preserve">PAGE  </w:instrText>
    </w:r>
    <w:r>
      <w:rPr>
        <w:b/>
      </w:rPr>
      <w:fldChar w:fldCharType="separate"/>
    </w:r>
    <w:r>
      <w:rPr>
        <w:rStyle w:val="77"/>
        <w:b/>
      </w:rPr>
      <w:t>102</w:t>
    </w:r>
    <w:r>
      <w:rPr>
        <w:b/>
      </w:rPr>
      <w:fldChar w:fldCharType="end"/>
    </w:r>
    <w:r>
      <w:rPr>
        <w:rFonts w:hAnsi="宋体"/>
        <w:b/>
        <w:kern w:val="0"/>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pBdr>
        <w:top w:val="single" w:color="auto" w:sz="4" w:space="0"/>
      </w:pBdr>
      <w:spacing w:line="360" w:lineRule="auto"/>
      <w:ind w:left="1" w:hanging="1"/>
    </w:pPr>
    <w:r>
      <w:rPr>
        <w:rFonts w:hint="eastAsia" w:hAnsi="宋体"/>
        <w:b/>
        <w:lang w:eastAsia="zh-CN"/>
      </w:rPr>
      <w:t>山东众合项目咨询有限公司</w:t>
    </w:r>
    <w:r>
      <w:rPr>
        <w:b/>
      </w:rPr>
      <w:t xml:space="preserve">             </w:t>
    </w:r>
    <w:r>
      <w:rPr>
        <w:rFonts w:hint="eastAsia"/>
        <w:b/>
      </w:rPr>
      <w:t xml:space="preserve">  </w:t>
    </w:r>
    <w:r>
      <w:rPr>
        <w:b/>
      </w:rPr>
      <w:t xml:space="preserve">      </w:t>
    </w:r>
    <w:r>
      <w:rPr>
        <w:rFonts w:hint="eastAsia"/>
        <w:b/>
      </w:rPr>
      <w:t xml:space="preserve">   </w:t>
    </w:r>
    <w:r>
      <w:rPr>
        <w:rFonts w:hint="eastAsia"/>
        <w:b/>
        <w:kern w:val="0"/>
      </w:rPr>
      <w:t xml:space="preserve">                            </w:t>
    </w:r>
    <w:r>
      <w:rPr>
        <w:rFonts w:hint="eastAsia"/>
        <w:b/>
        <w:kern w:val="0"/>
        <w:lang w:val="en-US" w:eastAsia="zh-CN"/>
      </w:rPr>
      <w:t xml:space="preserve">        </w:t>
    </w:r>
    <w:r>
      <w:rPr>
        <w:rFonts w:hint="eastAsia"/>
        <w:b/>
        <w:kern w:val="0"/>
      </w:rPr>
      <w:t xml:space="preserve">  </w:t>
    </w:r>
    <w:r>
      <w:rPr>
        <w:b/>
        <w:kern w:val="0"/>
      </w:rPr>
      <w:t xml:space="preserve">       </w:t>
    </w:r>
    <w:r>
      <w:rPr>
        <w:rFonts w:hAnsi="宋体"/>
        <w:b/>
        <w:kern w:val="0"/>
      </w:rPr>
      <w:t>第</w:t>
    </w:r>
    <w:r>
      <w:rPr>
        <w:b/>
      </w:rPr>
      <w:fldChar w:fldCharType="begin"/>
    </w:r>
    <w:r>
      <w:rPr>
        <w:rStyle w:val="77"/>
        <w:b/>
      </w:rPr>
      <w:instrText xml:space="preserve">PAGE  </w:instrText>
    </w:r>
    <w:r>
      <w:rPr>
        <w:b/>
      </w:rPr>
      <w:fldChar w:fldCharType="separate"/>
    </w:r>
    <w:r>
      <w:rPr>
        <w:rStyle w:val="77"/>
        <w:b/>
      </w:rPr>
      <w:t>40</w:t>
    </w:r>
    <w:r>
      <w:rPr>
        <w:b/>
      </w:rPr>
      <w:fldChar w:fldCharType="end"/>
    </w:r>
    <w:r>
      <w:rPr>
        <w:rFonts w:hAnsi="宋体"/>
        <w:b/>
        <w:kern w:val="0"/>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pBdr>
        <w:top w:val="single" w:color="auto" w:sz="4" w:space="0"/>
      </w:pBdr>
      <w:spacing w:line="360" w:lineRule="auto"/>
      <w:ind w:left="1" w:hanging="1"/>
      <w:rPr>
        <w:rFonts w:hint="eastAsia" w:ascii="楷体" w:hAnsi="楷体" w:eastAsia="楷体" w:cs="楷体"/>
        <w:b/>
      </w:rPr>
    </w:pPr>
    <w:r>
      <w:rPr>
        <w:rFonts w:hint="eastAsia" w:ascii="楷体" w:hAnsi="楷体" w:eastAsia="楷体" w:cs="楷体"/>
        <w:b/>
        <w:kern w:val="0"/>
        <w:sz w:val="20"/>
        <w:szCs w:val="21"/>
        <w:u w:val="single"/>
      </w:rPr>
      <mc:AlternateContent>
        <mc:Choice Requires="wps">
          <w:drawing>
            <wp:anchor distT="0" distB="0" distL="114300" distR="114300" simplePos="0" relativeHeight="251660288" behindDoc="0" locked="0" layoutInCell="1" allowOverlap="1">
              <wp:simplePos x="0" y="0"/>
              <wp:positionH relativeFrom="column">
                <wp:posOffset>6756400</wp:posOffset>
              </wp:positionH>
              <wp:positionV relativeFrom="paragraph">
                <wp:posOffset>13335</wp:posOffset>
              </wp:positionV>
              <wp:extent cx="6413500" cy="33020"/>
              <wp:effectExtent l="0" t="4445" r="6350" b="19685"/>
              <wp:wrapNone/>
              <wp:docPr id="46" name="Line 2"/>
              <wp:cNvGraphicFramePr/>
              <a:graphic xmlns:a="http://schemas.openxmlformats.org/drawingml/2006/main">
                <a:graphicData uri="http://schemas.microsoft.com/office/word/2010/wordprocessingShape">
                  <wps:wsp>
                    <wps:cNvCnPr/>
                    <wps:spPr>
                      <a:xfrm>
                        <a:off x="0" y="0"/>
                        <a:ext cx="6413500" cy="3302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Line 2" o:spid="_x0000_s1026" o:spt="20" style="position:absolute;left:0pt;margin-left:532pt;margin-top:1.05pt;height:2.6pt;width:505pt;z-index:251660288;mso-width-relative:page;mso-height-relative:page;" filled="f" stroked="t" coordsize="21600,21600" o:gfxdata="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93IoA1gAAAAkBAAAP&#10;AAAAAAAAAAEAIAAAACIAAABkcnMvZG93bnJldi54bWxQSwECFAAUAAAACACHTuJAfMffh+EBAADe&#10;AwAADgAAAAAAAAABACAAAAAlAQAAZHJzL2Uyb0RvYy54bWxQSwUGAAAAAAYABgBZAQAAeAUAAAAA&#10;">
              <v:fill on="f" focussize="0,0"/>
              <v:stroke color="#000000" joinstyle="round"/>
              <v:imagedata o:title=""/>
              <o:lock v:ext="edit" aspectratio="f"/>
            </v:line>
          </w:pict>
        </mc:Fallback>
      </mc:AlternateContent>
    </w:r>
    <w:r>
      <w:rPr>
        <w:rFonts w:hint="eastAsia" w:ascii="楷体" w:hAnsi="楷体" w:eastAsia="楷体" w:cs="楷体"/>
        <w:b/>
      </w:rPr>
      <w:t xml:space="preserve">山东众合项目咨询有限公司                                          </w:t>
    </w:r>
    <w:r>
      <w:rPr>
        <w:rFonts w:hint="eastAsia" w:ascii="楷体" w:hAnsi="楷体" w:eastAsia="楷体" w:cs="楷体"/>
        <w:b/>
        <w:kern w:val="0"/>
      </w:rPr>
      <w:t xml:space="preserve">      </w:t>
    </w:r>
    <w:r>
      <w:rPr>
        <w:rFonts w:hint="eastAsia" w:ascii="楷体" w:hAnsi="楷体" w:eastAsia="楷体" w:cs="楷体"/>
        <w:b/>
        <w:kern w:val="0"/>
        <w:lang w:val="en-US" w:eastAsia="zh-CN"/>
      </w:rPr>
      <w:t xml:space="preserve">   </w:t>
    </w:r>
    <w:r>
      <w:rPr>
        <w:rFonts w:hint="eastAsia" w:ascii="楷体" w:hAnsi="楷体" w:eastAsia="楷体" w:cs="楷体"/>
        <w:b/>
        <w:kern w:val="0"/>
      </w:rPr>
      <w:t xml:space="preserve">                        第</w:t>
    </w:r>
    <w:r>
      <w:rPr>
        <w:rFonts w:hint="eastAsia" w:ascii="楷体" w:hAnsi="楷体" w:eastAsia="楷体" w:cs="楷体"/>
        <w:b/>
      </w:rPr>
      <w:fldChar w:fldCharType="begin"/>
    </w:r>
    <w:r>
      <w:rPr>
        <w:rStyle w:val="77"/>
        <w:rFonts w:hint="eastAsia" w:ascii="楷体" w:hAnsi="楷体" w:eastAsia="楷体" w:cs="楷体"/>
        <w:b/>
      </w:rPr>
      <w:instrText xml:space="preserve">PAGE  </w:instrText>
    </w:r>
    <w:r>
      <w:rPr>
        <w:rFonts w:hint="eastAsia" w:ascii="楷体" w:hAnsi="楷体" w:eastAsia="楷体" w:cs="楷体"/>
        <w:b/>
      </w:rPr>
      <w:fldChar w:fldCharType="separate"/>
    </w:r>
    <w:r>
      <w:rPr>
        <w:rStyle w:val="77"/>
        <w:rFonts w:hint="eastAsia" w:ascii="楷体" w:hAnsi="楷体" w:eastAsia="楷体" w:cs="楷体"/>
        <w:b/>
      </w:rPr>
      <w:t>87</w:t>
    </w:r>
    <w:r>
      <w:rPr>
        <w:rFonts w:hint="eastAsia" w:ascii="楷体" w:hAnsi="楷体" w:eastAsia="楷体" w:cs="楷体"/>
        <w:b/>
      </w:rPr>
      <w:fldChar w:fldCharType="end"/>
    </w:r>
    <w:r>
      <w:rPr>
        <w:rFonts w:hint="eastAsia" w:ascii="楷体" w:hAnsi="楷体" w:eastAsia="楷体" w:cs="楷体"/>
        <w:b/>
        <w:kern w:val="0"/>
      </w:rPr>
      <w:t>页</w:t>
    </w:r>
  </w:p>
  <w:p>
    <w:pPr>
      <w:pStyle w:val="47"/>
      <w:rPr>
        <w:rFonts w:hint="eastAsia"/>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framePr w:wrap="around" w:vAnchor="text" w:hAnchor="margin" w:xAlign="center" w:y="1"/>
      <w:rPr>
        <w:rStyle w:val="77"/>
      </w:rPr>
    </w:pPr>
    <w:r>
      <w:fldChar w:fldCharType="begin"/>
    </w:r>
    <w:r>
      <w:rPr>
        <w:rStyle w:val="77"/>
      </w:rPr>
      <w:instrText xml:space="preserve">PAGE  </w:instrText>
    </w:r>
    <w:r>
      <w:fldChar w:fldCharType="separate"/>
    </w:r>
    <w:r>
      <w:fldChar w:fldCharType="end"/>
    </w:r>
  </w:p>
  <w:p>
    <w:pPr>
      <w:pStyle w:val="4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pBdr>
        <w:bottom w:val="single" w:color="auto" w:sz="6" w:space="0"/>
      </w:pBdr>
      <w:wordWrap w:val="0"/>
      <w:spacing w:line="0" w:lineRule="atLeast"/>
      <w:ind w:right="-53"/>
      <w:jc w:val="both"/>
      <w:rPr>
        <w:b/>
      </w:rPr>
    </w:pPr>
    <w:r>
      <w:rPr>
        <w:rFonts w:hAnsi="宋体"/>
        <w:b/>
      </w:rPr>
      <w:t>招标编号</w:t>
    </w:r>
    <w:r>
      <w:rPr>
        <w:rFonts w:hint="eastAsia" w:hAnsi="宋体"/>
        <w:b/>
      </w:rPr>
      <w:t>:</w:t>
    </w:r>
    <w:r>
      <w:rPr>
        <w:rFonts w:hint="eastAsia" w:hAnsi="宋体"/>
        <w:b/>
        <w:lang w:eastAsia="zh-CN"/>
      </w:rPr>
      <w:t>SDGP371500000202302000455</w:t>
    </w:r>
    <w:r>
      <w:rPr>
        <w:rFonts w:hint="eastAsia" w:hAnsi="宋体"/>
        <w:b/>
      </w:rPr>
      <w:t xml:space="preserve">    </w:t>
    </w:r>
    <w:r>
      <w:rPr>
        <w:rFonts w:hint="eastAsia"/>
        <w:b/>
      </w:rPr>
      <w:t xml:space="preserve">                                  </w:t>
    </w:r>
    <w:r>
      <w:rPr>
        <w:b/>
      </w:rPr>
      <w:t xml:space="preserve">    </w:t>
    </w:r>
    <w:r>
      <w:rPr>
        <w:rFonts w:hint="eastAsia"/>
        <w:b/>
      </w:rPr>
      <w:t xml:space="preserve">     </w:t>
    </w:r>
    <w:r>
      <w:rPr>
        <w:rFonts w:hint="eastAsia"/>
        <w:b/>
        <w:lang w:val="en-US" w:eastAsia="zh-CN"/>
      </w:rPr>
      <w:t xml:space="preserve">   </w:t>
    </w:r>
    <w:r>
      <w:rPr>
        <w:rFonts w:hint="eastAsia"/>
        <w:b/>
      </w:rPr>
      <w:t xml:space="preserve">    </w:t>
    </w:r>
    <w:r>
      <w:rPr>
        <w:b/>
      </w:rPr>
      <w:t xml:space="preserve">  </w:t>
    </w:r>
    <w:r>
      <w:rPr>
        <w:rFonts w:hAnsi="宋体"/>
        <w:b/>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pBdr>
        <w:bottom w:val="single" w:color="auto" w:sz="6" w:space="0"/>
      </w:pBdr>
      <w:wordWrap w:val="0"/>
      <w:spacing w:line="0" w:lineRule="atLeast"/>
      <w:ind w:right="-53" w:firstLine="271" w:firstLineChars="150"/>
      <w:jc w:val="both"/>
      <w:rPr>
        <w:rFonts w:hint="eastAsia" w:ascii="楷体" w:hAnsi="楷体" w:eastAsia="楷体" w:cs="楷体"/>
        <w:b/>
      </w:rPr>
    </w:pPr>
    <w:r>
      <w:rPr>
        <w:rFonts w:hint="eastAsia" w:ascii="楷体" w:hAnsi="楷体" w:eastAsia="楷体" w:cs="楷体"/>
        <w:b/>
      </w:rPr>
      <w:drawing>
        <wp:anchor distT="0" distB="0" distL="114300" distR="114300" simplePos="0" relativeHeight="251659264" behindDoc="0" locked="0" layoutInCell="1" allowOverlap="1">
          <wp:simplePos x="0" y="0"/>
          <wp:positionH relativeFrom="column">
            <wp:posOffset>-142240</wp:posOffset>
          </wp:positionH>
          <wp:positionV relativeFrom="paragraph">
            <wp:posOffset>-165100</wp:posOffset>
          </wp:positionV>
          <wp:extent cx="326390" cy="251460"/>
          <wp:effectExtent l="0" t="0" r="16510" b="15240"/>
          <wp:wrapSquare wrapText="bothSides"/>
          <wp:docPr id="45" name="Picture 1" descr="C:\Users\Administrator\Desktop\图片1.png图片1"/>
          <wp:cNvGraphicFramePr/>
          <a:graphic xmlns:a="http://schemas.openxmlformats.org/drawingml/2006/main">
            <a:graphicData uri="http://schemas.openxmlformats.org/drawingml/2006/picture">
              <pic:pic xmlns:pic="http://schemas.openxmlformats.org/drawingml/2006/picture">
                <pic:nvPicPr>
                  <pic:cNvPr id="45" name="Picture 1" descr="C:\Users\Administrator\Desktop\图片1.png图片1"/>
                  <pic:cNvPicPr preferRelativeResize="0"/>
                </pic:nvPicPr>
                <pic:blipFill>
                  <a:blip r:embed="rId1"/>
                  <a:stretch>
                    <a:fillRect/>
                  </a:stretch>
                </pic:blipFill>
                <pic:spPr>
                  <a:xfrm>
                    <a:off x="0" y="0"/>
                    <a:ext cx="326390" cy="251460"/>
                  </a:xfrm>
                  <a:prstGeom prst="rect">
                    <a:avLst/>
                  </a:prstGeom>
                  <a:noFill/>
                  <a:ln>
                    <a:noFill/>
                  </a:ln>
                </pic:spPr>
              </pic:pic>
            </a:graphicData>
          </a:graphic>
        </wp:anchor>
      </w:drawing>
    </w:r>
    <w:r>
      <w:rPr>
        <w:rFonts w:hint="eastAsia" w:ascii="楷体" w:hAnsi="楷体" w:eastAsia="楷体" w:cs="楷体"/>
        <w:b/>
      </w:rPr>
      <w:t>招标编号:</w:t>
    </w:r>
    <w:r>
      <w:rPr>
        <w:rFonts w:hint="eastAsia" w:ascii="楷体" w:hAnsi="楷体" w:eastAsia="楷体" w:cs="楷体"/>
        <w:b/>
        <w:lang w:eastAsia="zh-CN"/>
      </w:rPr>
      <w:t>SDGP371500000202302000455</w:t>
    </w:r>
    <w:r>
      <w:rPr>
        <w:rFonts w:hint="eastAsia" w:ascii="楷体" w:hAnsi="楷体" w:eastAsia="楷体" w:cs="楷体"/>
        <w:b/>
      </w:rPr>
      <w:t xml:space="preserve">                                                 </w:t>
    </w:r>
    <w:r>
      <w:rPr>
        <w:rFonts w:hint="eastAsia" w:ascii="楷体" w:hAnsi="楷体" w:eastAsia="楷体" w:cs="楷体"/>
        <w:b/>
        <w:lang w:val="en-US" w:eastAsia="zh-CN"/>
      </w:rPr>
      <w:t xml:space="preserve">      </w:t>
    </w:r>
    <w:r>
      <w:rPr>
        <w:rFonts w:hint="eastAsia" w:ascii="楷体" w:hAnsi="楷体" w:eastAsia="楷体" w:cs="楷体"/>
        <w:b/>
      </w:rPr>
      <w:t xml:space="preserve">    招标文件</w:t>
    </w:r>
  </w:p>
  <w:p>
    <w:pPr>
      <w:rPr>
        <w:rFonts w:hint="eastAsia"/>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abstractNum w:abstractNumId="0">
    <w:nsid w:val="B18C43F5"/>
    <w:multiLevelType w:val="multilevel"/>
    <w:tmpl w:val="B18C43F5"/>
    <w:lvl w:ilvl="0" w:tentative="0">
      <w:start w:val="1"/>
      <w:numFmt w:val="decimal"/>
      <w:suff w:val="nothing"/>
      <w:lvlText w:val="%1．"/>
      <w:lvlJc w:val="left"/>
      <w:pPr>
        <w:ind w:left="0" w:firstLine="400"/>
      </w:pPr>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
    <w:nsid w:val="B2E677E7"/>
    <w:multiLevelType w:val="singleLevel"/>
    <w:tmpl w:val="B2E677E7"/>
    <w:lvl w:ilvl="0" w:tentative="0">
      <w:start w:val="1"/>
      <w:numFmt w:val="decimal"/>
      <w:suff w:val="nothing"/>
      <w:lvlText w:val="%1．"/>
      <w:lvlJc w:val="left"/>
      <w:pPr>
        <w:ind w:left="0" w:firstLine="400"/>
      </w:pPr>
      <w:rPr>
        <w:rFonts w:hint="default"/>
      </w:rPr>
    </w:lvl>
  </w:abstractNum>
  <w:abstractNum w:abstractNumId="2">
    <w:nsid w:val="B4B65A8C"/>
    <w:multiLevelType w:val="singleLevel"/>
    <w:tmpl w:val="B4B65A8C"/>
    <w:lvl w:ilvl="0" w:tentative="0">
      <w:start w:val="1"/>
      <w:numFmt w:val="decimal"/>
      <w:lvlText w:val="%1."/>
      <w:lvlJc w:val="left"/>
      <w:pPr>
        <w:tabs>
          <w:tab w:val="left" w:pos="312"/>
        </w:tabs>
      </w:pPr>
    </w:lvl>
  </w:abstractNum>
  <w:abstractNum w:abstractNumId="3">
    <w:nsid w:val="CEDD88AF"/>
    <w:multiLevelType w:val="multilevel"/>
    <w:tmpl w:val="CEDD88AF"/>
    <w:lvl w:ilvl="0" w:tentative="0">
      <w:start w:val="1"/>
      <w:numFmt w:val="decimal"/>
      <w:lvlText w:val="%1."/>
      <w:lvlJc w:val="left"/>
      <w:pPr>
        <w:tabs>
          <w:tab w:val="left" w:pos="312"/>
        </w:tabs>
      </w:pPr>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4">
    <w:nsid w:val="D78ED784"/>
    <w:multiLevelType w:val="singleLevel"/>
    <w:tmpl w:val="D78ED784"/>
    <w:lvl w:ilvl="0" w:tentative="0">
      <w:start w:val="1"/>
      <w:numFmt w:val="decimal"/>
      <w:suff w:val="nothing"/>
      <w:lvlText w:val="%1、"/>
      <w:lvlJc w:val="left"/>
    </w:lvl>
  </w:abstractNum>
  <w:abstractNum w:abstractNumId="5">
    <w:nsid w:val="F8D04E25"/>
    <w:multiLevelType w:val="singleLevel"/>
    <w:tmpl w:val="F8D04E25"/>
    <w:lvl w:ilvl="0" w:tentative="0">
      <w:start w:val="1"/>
      <w:numFmt w:val="decimal"/>
      <w:lvlText w:val="%1."/>
      <w:lvlJc w:val="left"/>
      <w:pPr>
        <w:tabs>
          <w:tab w:val="left" w:pos="312"/>
        </w:tabs>
      </w:pPr>
    </w:lvl>
  </w:abstractNum>
  <w:abstractNum w:abstractNumId="6">
    <w:nsid w:val="00000001"/>
    <w:multiLevelType w:val="multilevel"/>
    <w:tmpl w:val="00000001"/>
    <w:lvl w:ilvl="0" w:tentative="0">
      <w:start w:val="1"/>
      <w:numFmt w:val="decimalFullWidth"/>
      <w:pStyle w:val="530"/>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0B"/>
    <w:multiLevelType w:val="multilevel"/>
    <w:tmpl w:val="0000000B"/>
    <w:lvl w:ilvl="0" w:tentative="0">
      <w:start w:val="1"/>
      <w:numFmt w:val="decimal"/>
      <w:pStyle w:val="521"/>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C"/>
    <w:multiLevelType w:val="multilevel"/>
    <w:tmpl w:val="0000000C"/>
    <w:lvl w:ilvl="0" w:tentative="0">
      <w:start w:val="1"/>
      <w:numFmt w:val="bullet"/>
      <w:pStyle w:val="136"/>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0D"/>
    <w:multiLevelType w:val="singleLevel"/>
    <w:tmpl w:val="0000000D"/>
    <w:lvl w:ilvl="0" w:tentative="0">
      <w:start w:val="1"/>
      <w:numFmt w:val="bullet"/>
      <w:pStyle w:val="710"/>
      <w:lvlText w:val=""/>
      <w:lvlJc w:val="left"/>
      <w:pPr>
        <w:tabs>
          <w:tab w:val="left" w:pos="360"/>
        </w:tabs>
        <w:ind w:left="360" w:hanging="360"/>
      </w:pPr>
      <w:rPr>
        <w:rFonts w:hint="default" w:ascii="Wingdings" w:hAnsi="Wingdings"/>
      </w:rPr>
    </w:lvl>
  </w:abstractNum>
  <w:abstractNum w:abstractNumId="10">
    <w:nsid w:val="0000000E"/>
    <w:multiLevelType w:val="singleLevel"/>
    <w:tmpl w:val="0000000E"/>
    <w:lvl w:ilvl="0" w:tentative="0">
      <w:start w:val="1"/>
      <w:numFmt w:val="decimal"/>
      <w:pStyle w:val="408"/>
      <w:lvlText w:val="%1.1"/>
      <w:lvlJc w:val="left"/>
      <w:pPr>
        <w:tabs>
          <w:tab w:val="left" w:pos="720"/>
        </w:tabs>
        <w:ind w:left="720" w:hanging="720"/>
      </w:pPr>
      <w:rPr>
        <w:rFonts w:hint="eastAsia"/>
      </w:rPr>
    </w:lvl>
  </w:abstractNum>
  <w:abstractNum w:abstractNumId="11">
    <w:nsid w:val="0000000F"/>
    <w:multiLevelType w:val="multilevel"/>
    <w:tmpl w:val="0000000F"/>
    <w:lvl w:ilvl="0" w:tentative="0">
      <w:start w:val="1"/>
      <w:numFmt w:val="decimal"/>
      <w:pStyle w:val="21"/>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0000010"/>
    <w:multiLevelType w:val="singleLevel"/>
    <w:tmpl w:val="00000010"/>
    <w:lvl w:ilvl="0" w:tentative="0">
      <w:start w:val="1"/>
      <w:numFmt w:val="decimal"/>
      <w:pStyle w:val="641"/>
      <w:lvlText w:val="%1."/>
      <w:lvlJc w:val="left"/>
      <w:pPr>
        <w:tabs>
          <w:tab w:val="left" w:pos="360"/>
        </w:tabs>
        <w:ind w:left="360" w:hanging="360"/>
      </w:pPr>
    </w:lvl>
  </w:abstractNum>
  <w:abstractNum w:abstractNumId="13">
    <w:nsid w:val="00000011"/>
    <w:multiLevelType w:val="multilevel"/>
    <w:tmpl w:val="00000011"/>
    <w:lvl w:ilvl="0" w:tentative="0">
      <w:start w:val="1"/>
      <w:numFmt w:val="decimal"/>
      <w:pStyle w:val="399"/>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00000012"/>
    <w:multiLevelType w:val="multilevel"/>
    <w:tmpl w:val="00000012"/>
    <w:lvl w:ilvl="0" w:tentative="0">
      <w:start w:val="1"/>
      <w:numFmt w:val="bullet"/>
      <w:lvlText w:val=""/>
      <w:lvlJc w:val="left"/>
      <w:pPr>
        <w:tabs>
          <w:tab w:val="left" w:pos="845"/>
        </w:tabs>
        <w:ind w:left="845" w:hanging="420"/>
      </w:pPr>
      <w:rPr>
        <w:rFonts w:hint="default" w:ascii="Wingdings" w:hAnsi="Wingdings"/>
        <w:sz w:val="21"/>
        <w:szCs w:val="21"/>
      </w:rPr>
    </w:lvl>
    <w:lvl w:ilvl="1" w:tentative="0">
      <w:start w:val="1"/>
      <w:numFmt w:val="bullet"/>
      <w:pStyle w:val="542"/>
      <w:lvlText w:val=""/>
      <w:lvlJc w:val="left"/>
      <w:pPr>
        <w:tabs>
          <w:tab w:val="left" w:pos="272"/>
        </w:tabs>
        <w:ind w:left="272" w:hanging="425"/>
      </w:pPr>
      <w:rPr>
        <w:rFonts w:hint="default" w:ascii="Symbol" w:hAnsi="Symbol"/>
        <w:color w:val="auto"/>
        <w:sz w:val="21"/>
        <w:szCs w:val="21"/>
      </w:rPr>
    </w:lvl>
    <w:lvl w:ilvl="2" w:tentative="0">
      <w:start w:val="1"/>
      <w:numFmt w:val="bullet"/>
      <w:lvlText w:val=""/>
      <w:lvlJc w:val="left"/>
      <w:pPr>
        <w:tabs>
          <w:tab w:val="left" w:pos="687"/>
        </w:tabs>
        <w:ind w:left="687" w:hanging="420"/>
      </w:pPr>
      <w:rPr>
        <w:rFonts w:hint="default" w:ascii="Wingdings" w:hAnsi="Wingdings"/>
        <w:sz w:val="21"/>
        <w:szCs w:val="21"/>
      </w:rPr>
    </w:lvl>
    <w:lvl w:ilvl="3" w:tentative="0">
      <w:start w:val="1"/>
      <w:numFmt w:val="bullet"/>
      <w:lvlText w:val=""/>
      <w:lvlJc w:val="left"/>
      <w:pPr>
        <w:tabs>
          <w:tab w:val="left" w:pos="1107"/>
        </w:tabs>
        <w:ind w:left="1107" w:hanging="420"/>
      </w:pPr>
      <w:rPr>
        <w:rFonts w:hint="default" w:ascii="Wingdings" w:hAnsi="Wingdings"/>
      </w:rPr>
    </w:lvl>
    <w:lvl w:ilvl="4" w:tentative="0">
      <w:start w:val="1"/>
      <w:numFmt w:val="bullet"/>
      <w:lvlText w:val=""/>
      <w:lvlJc w:val="left"/>
      <w:pPr>
        <w:tabs>
          <w:tab w:val="left" w:pos="1527"/>
        </w:tabs>
        <w:ind w:left="1527" w:hanging="420"/>
      </w:pPr>
      <w:rPr>
        <w:rFonts w:hint="default" w:ascii="Wingdings" w:hAnsi="Wingdings"/>
        <w:sz w:val="15"/>
        <w:szCs w:val="15"/>
      </w:rPr>
    </w:lvl>
    <w:lvl w:ilvl="5" w:tentative="0">
      <w:start w:val="1"/>
      <w:numFmt w:val="bullet"/>
      <w:lvlText w:val=""/>
      <w:lvlJc w:val="left"/>
      <w:pPr>
        <w:tabs>
          <w:tab w:val="left" w:pos="1947"/>
        </w:tabs>
        <w:ind w:left="1947" w:hanging="420"/>
      </w:pPr>
      <w:rPr>
        <w:rFonts w:hint="default" w:ascii="Wingdings" w:hAnsi="Wingdings"/>
      </w:rPr>
    </w:lvl>
    <w:lvl w:ilvl="6" w:tentative="0">
      <w:start w:val="1"/>
      <w:numFmt w:val="bullet"/>
      <w:lvlText w:val=""/>
      <w:lvlJc w:val="left"/>
      <w:pPr>
        <w:tabs>
          <w:tab w:val="left" w:pos="2367"/>
        </w:tabs>
        <w:ind w:left="2367" w:hanging="420"/>
      </w:pPr>
      <w:rPr>
        <w:rFonts w:hint="default" w:ascii="Wingdings" w:hAnsi="Wingdings"/>
      </w:rPr>
    </w:lvl>
    <w:lvl w:ilvl="7" w:tentative="0">
      <w:start w:val="1"/>
      <w:numFmt w:val="bullet"/>
      <w:lvlText w:val=""/>
      <w:lvlJc w:val="left"/>
      <w:pPr>
        <w:tabs>
          <w:tab w:val="left" w:pos="2787"/>
        </w:tabs>
        <w:ind w:left="2787" w:hanging="420"/>
      </w:pPr>
      <w:rPr>
        <w:rFonts w:hint="default" w:ascii="Wingdings" w:hAnsi="Wingdings"/>
      </w:rPr>
    </w:lvl>
    <w:lvl w:ilvl="8" w:tentative="0">
      <w:start w:val="1"/>
      <w:numFmt w:val="bullet"/>
      <w:lvlText w:val=""/>
      <w:lvlJc w:val="left"/>
      <w:pPr>
        <w:tabs>
          <w:tab w:val="left" w:pos="3207"/>
        </w:tabs>
        <w:ind w:left="3207" w:hanging="420"/>
      </w:pPr>
      <w:rPr>
        <w:rFonts w:hint="default" w:ascii="Wingdings" w:hAnsi="Wingdings"/>
      </w:rPr>
    </w:lvl>
  </w:abstractNum>
  <w:abstractNum w:abstractNumId="15">
    <w:nsid w:val="00000013"/>
    <w:multiLevelType w:val="multilevel"/>
    <w:tmpl w:val="00000013"/>
    <w:lvl w:ilvl="0" w:tentative="0">
      <w:start w:val="1"/>
      <w:numFmt w:val="decimal"/>
      <w:pStyle w:val="406"/>
      <w:lvlText w:val="%12.2.8.1"/>
      <w:lvlJc w:val="left"/>
      <w:pPr>
        <w:tabs>
          <w:tab w:val="left" w:pos="1370"/>
        </w:tabs>
        <w:ind w:left="1370" w:hanging="425"/>
      </w:pPr>
      <w:rPr>
        <w:rFonts w:hint="eastAsia"/>
      </w:rPr>
    </w:lvl>
    <w:lvl w:ilvl="1" w:tentative="0">
      <w:start w:val="2"/>
      <w:numFmt w:val="decimal"/>
      <w:pStyle w:val="523"/>
      <w:lvlText w:val="%1.%2."/>
      <w:lvlJc w:val="left"/>
      <w:pPr>
        <w:tabs>
          <w:tab w:val="left" w:pos="1512"/>
        </w:tabs>
        <w:ind w:left="1512" w:hanging="567"/>
      </w:pPr>
      <w:rPr>
        <w:rFonts w:hint="eastAsia"/>
      </w:rPr>
    </w:lvl>
    <w:lvl w:ilvl="2" w:tentative="0">
      <w:start w:val="1"/>
      <w:numFmt w:val="decimal"/>
      <w:lvlText w:val="%12.%2.%3"/>
      <w:lvlJc w:val="left"/>
      <w:pPr>
        <w:tabs>
          <w:tab w:val="left" w:pos="1665"/>
        </w:tabs>
        <w:ind w:left="1654" w:hanging="709"/>
      </w:pPr>
      <w:rPr>
        <w:rFonts w:hint="eastAsia"/>
      </w:rPr>
    </w:lvl>
    <w:lvl w:ilvl="3" w:tentative="0">
      <w:start w:val="1"/>
      <w:numFmt w:val="decimal"/>
      <w:pStyle w:val="430"/>
      <w:lvlText w:val="2.11.%4"/>
      <w:lvlJc w:val="left"/>
      <w:pPr>
        <w:tabs>
          <w:tab w:val="left" w:pos="907"/>
        </w:tabs>
        <w:ind w:left="737" w:hanging="482"/>
      </w:pPr>
      <w:rPr>
        <w:rFonts w:hint="eastAsia"/>
      </w:rPr>
    </w:lvl>
    <w:lvl w:ilvl="4" w:tentative="0">
      <w:start w:val="1"/>
      <w:numFmt w:val="decimal"/>
      <w:lvlText w:val="%1%2.2.8.%5"/>
      <w:lvlJc w:val="left"/>
      <w:pPr>
        <w:tabs>
          <w:tab w:val="left" w:pos="1254"/>
        </w:tabs>
        <w:ind w:left="942" w:firstLine="3"/>
      </w:pPr>
      <w:rPr>
        <w:rFonts w:hint="eastAsia"/>
      </w:rPr>
    </w:lvl>
    <w:lvl w:ilvl="5" w:tentative="0">
      <w:start w:val="0"/>
      <w:numFmt w:val="decimal"/>
      <w:lvlText w:val="%1.%2.%3.%4.%5.%6."/>
      <w:lvlJc w:val="left"/>
      <w:pPr>
        <w:tabs>
          <w:tab w:val="left" w:pos="2079"/>
        </w:tabs>
        <w:ind w:left="2079" w:hanging="1134"/>
      </w:pPr>
      <w:rPr>
        <w:rFonts w:hint="eastAsia"/>
      </w:rPr>
    </w:lvl>
    <w:lvl w:ilvl="6" w:tentative="0">
      <w:start w:val="1"/>
      <w:numFmt w:val="decimal"/>
      <w:lvlText w:val="%1.%2.%3.%4.%5.%6.%7."/>
      <w:lvlJc w:val="left"/>
      <w:pPr>
        <w:tabs>
          <w:tab w:val="left" w:pos="2221"/>
        </w:tabs>
        <w:ind w:left="2221" w:hanging="1276"/>
      </w:pPr>
      <w:rPr>
        <w:rFonts w:hint="eastAsia"/>
      </w:rPr>
    </w:lvl>
    <w:lvl w:ilvl="7" w:tentative="0">
      <w:start w:val="1"/>
      <w:numFmt w:val="decimal"/>
      <w:pStyle w:val="491"/>
      <w:lvlText w:val="%1.%2.%3.%4.%5.%6.%7.%8."/>
      <w:lvlJc w:val="left"/>
      <w:pPr>
        <w:tabs>
          <w:tab w:val="left" w:pos="2363"/>
        </w:tabs>
        <w:ind w:left="2363" w:hanging="1418"/>
      </w:pPr>
      <w:rPr>
        <w:rFonts w:hint="eastAsia"/>
      </w:rPr>
    </w:lvl>
    <w:lvl w:ilvl="8" w:tentative="0">
      <w:start w:val="1"/>
      <w:numFmt w:val="decimal"/>
      <w:lvlText w:val="%1.%2.%3.%4.%5.%6.%7.%8.%9."/>
      <w:lvlJc w:val="left"/>
      <w:pPr>
        <w:tabs>
          <w:tab w:val="left" w:pos="2504"/>
        </w:tabs>
        <w:ind w:left="2504" w:hanging="1559"/>
      </w:pPr>
      <w:rPr>
        <w:rFonts w:hint="eastAsia"/>
      </w:rPr>
    </w:lvl>
  </w:abstractNum>
  <w:abstractNum w:abstractNumId="16">
    <w:nsid w:val="00000014"/>
    <w:multiLevelType w:val="multilevel"/>
    <w:tmpl w:val="00000014"/>
    <w:lvl w:ilvl="0" w:tentative="0">
      <w:start w:val="1"/>
      <w:numFmt w:val="decimal"/>
      <w:pStyle w:val="461"/>
      <w:lvlText w:val="%1、"/>
      <w:lvlJc w:val="left"/>
      <w:pPr>
        <w:tabs>
          <w:tab w:val="left" w:pos="720"/>
        </w:tabs>
        <w:ind w:left="720" w:hanging="360"/>
      </w:pPr>
      <w:rPr>
        <w:rFonts w:hint="default"/>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17">
    <w:nsid w:val="00000015"/>
    <w:multiLevelType w:val="multilevel"/>
    <w:tmpl w:val="00000015"/>
    <w:lvl w:ilvl="0" w:tentative="0">
      <w:start w:val="1"/>
      <w:numFmt w:val="bullet"/>
      <w:pStyle w:val="57"/>
      <w:lvlText w:val=""/>
      <w:lvlJc w:val="left"/>
      <w:pPr>
        <w:tabs>
          <w:tab w:val="left" w:pos="1701"/>
        </w:tabs>
        <w:ind w:left="2121" w:hanging="420"/>
      </w:pPr>
      <w:rPr>
        <w:rFonts w:hint="default" w:ascii="Wingdings" w:hAnsi="Wingdings"/>
        <w:color w:val="000080"/>
        <w:sz w:val="15"/>
        <w:szCs w:val="15"/>
      </w:rPr>
    </w:lvl>
    <w:lvl w:ilvl="1" w:tentative="0">
      <w:start w:val="1"/>
      <w:numFmt w:val="bullet"/>
      <w:lvlText w:val=""/>
      <w:lvlJc w:val="left"/>
      <w:pPr>
        <w:tabs>
          <w:tab w:val="left" w:pos="2541"/>
        </w:tabs>
        <w:ind w:left="2541" w:hanging="420"/>
      </w:pPr>
      <w:rPr>
        <w:rFonts w:hint="default" w:ascii="Wingdings" w:hAnsi="Wingdings"/>
      </w:rPr>
    </w:lvl>
    <w:lvl w:ilvl="2" w:tentative="0">
      <w:start w:val="1"/>
      <w:numFmt w:val="bullet"/>
      <w:lvlText w:val=""/>
      <w:lvlJc w:val="left"/>
      <w:pPr>
        <w:tabs>
          <w:tab w:val="left" w:pos="2961"/>
        </w:tabs>
        <w:ind w:left="2961" w:hanging="420"/>
      </w:pPr>
      <w:rPr>
        <w:rFonts w:hint="default" w:ascii="Wingdings" w:hAnsi="Wingdings"/>
      </w:rPr>
    </w:lvl>
    <w:lvl w:ilvl="3" w:tentative="0">
      <w:start w:val="1"/>
      <w:numFmt w:val="bullet"/>
      <w:lvlText w:val=""/>
      <w:lvlJc w:val="left"/>
      <w:pPr>
        <w:tabs>
          <w:tab w:val="left" w:pos="3381"/>
        </w:tabs>
        <w:ind w:left="3381" w:hanging="420"/>
      </w:pPr>
      <w:rPr>
        <w:rFonts w:hint="default" w:ascii="Wingdings" w:hAnsi="Wingdings"/>
      </w:rPr>
    </w:lvl>
    <w:lvl w:ilvl="4" w:tentative="0">
      <w:start w:val="1"/>
      <w:numFmt w:val="bullet"/>
      <w:lvlText w:val=""/>
      <w:lvlJc w:val="left"/>
      <w:pPr>
        <w:tabs>
          <w:tab w:val="left" w:pos="3801"/>
        </w:tabs>
        <w:ind w:left="3801" w:hanging="420"/>
      </w:pPr>
      <w:rPr>
        <w:rFonts w:hint="default" w:ascii="Wingdings" w:hAnsi="Wingdings"/>
      </w:rPr>
    </w:lvl>
    <w:lvl w:ilvl="5" w:tentative="0">
      <w:start w:val="1"/>
      <w:numFmt w:val="bullet"/>
      <w:lvlText w:val=""/>
      <w:lvlJc w:val="left"/>
      <w:pPr>
        <w:tabs>
          <w:tab w:val="left" w:pos="4221"/>
        </w:tabs>
        <w:ind w:left="4221" w:hanging="420"/>
      </w:pPr>
      <w:rPr>
        <w:rFonts w:hint="default" w:ascii="Wingdings" w:hAnsi="Wingdings"/>
      </w:rPr>
    </w:lvl>
    <w:lvl w:ilvl="6" w:tentative="0">
      <w:start w:val="1"/>
      <w:numFmt w:val="bullet"/>
      <w:lvlText w:val=""/>
      <w:lvlJc w:val="left"/>
      <w:pPr>
        <w:tabs>
          <w:tab w:val="left" w:pos="4641"/>
        </w:tabs>
        <w:ind w:left="4641" w:hanging="420"/>
      </w:pPr>
      <w:rPr>
        <w:rFonts w:hint="default" w:ascii="Wingdings" w:hAnsi="Wingdings"/>
      </w:rPr>
    </w:lvl>
    <w:lvl w:ilvl="7" w:tentative="0">
      <w:start w:val="1"/>
      <w:numFmt w:val="bullet"/>
      <w:lvlText w:val=""/>
      <w:lvlJc w:val="left"/>
      <w:pPr>
        <w:tabs>
          <w:tab w:val="left" w:pos="5061"/>
        </w:tabs>
        <w:ind w:left="5061" w:hanging="420"/>
      </w:pPr>
      <w:rPr>
        <w:rFonts w:hint="default" w:ascii="Wingdings" w:hAnsi="Wingdings"/>
      </w:rPr>
    </w:lvl>
    <w:lvl w:ilvl="8" w:tentative="0">
      <w:start w:val="1"/>
      <w:numFmt w:val="bullet"/>
      <w:lvlText w:val=""/>
      <w:lvlJc w:val="left"/>
      <w:pPr>
        <w:tabs>
          <w:tab w:val="left" w:pos="5481"/>
        </w:tabs>
        <w:ind w:left="5481" w:hanging="420"/>
      </w:pPr>
      <w:rPr>
        <w:rFonts w:hint="default" w:ascii="Wingdings" w:hAnsi="Wingdings"/>
      </w:rPr>
    </w:lvl>
  </w:abstractNum>
  <w:abstractNum w:abstractNumId="18">
    <w:nsid w:val="00000016"/>
    <w:multiLevelType w:val="multilevel"/>
    <w:tmpl w:val="00000016"/>
    <w:lvl w:ilvl="0" w:tentative="0">
      <w:start w:val="1"/>
      <w:numFmt w:val="bullet"/>
      <w:pStyle w:val="420"/>
      <w:lvlText w:val=""/>
      <w:lvlJc w:val="left"/>
      <w:pPr>
        <w:tabs>
          <w:tab w:val="left" w:pos="1140"/>
        </w:tabs>
        <w:ind w:left="1140" w:hanging="420"/>
      </w:pPr>
      <w:rPr>
        <w:rFonts w:hint="default" w:ascii="Wingdings" w:hAnsi="Wingdings"/>
      </w:rPr>
    </w:lvl>
    <w:lvl w:ilvl="1" w:tentative="0">
      <w:start w:val="1"/>
      <w:numFmt w:val="bullet"/>
      <w:pStyle w:val="304"/>
      <w:lvlText w:val=""/>
      <w:lvlJc w:val="left"/>
      <w:pPr>
        <w:tabs>
          <w:tab w:val="left" w:pos="1378"/>
        </w:tabs>
        <w:ind w:left="1378" w:hanging="420"/>
      </w:pPr>
      <w:rPr>
        <w:rFonts w:hint="default" w:ascii="Wingdings" w:hAnsi="Wingdings"/>
      </w:rPr>
    </w:lvl>
    <w:lvl w:ilvl="2" w:tentative="0">
      <w:start w:val="1"/>
      <w:numFmt w:val="bullet"/>
      <w:lvlText w:val=""/>
      <w:lvlJc w:val="left"/>
      <w:pPr>
        <w:tabs>
          <w:tab w:val="left" w:pos="1798"/>
        </w:tabs>
        <w:ind w:left="1798" w:hanging="420"/>
      </w:pPr>
      <w:rPr>
        <w:rFonts w:hint="default" w:ascii="Wingdings" w:hAnsi="Wingdings"/>
      </w:rPr>
    </w:lvl>
    <w:lvl w:ilvl="3" w:tentative="0">
      <w:start w:val="1"/>
      <w:numFmt w:val="bullet"/>
      <w:lvlText w:val=""/>
      <w:lvlJc w:val="left"/>
      <w:pPr>
        <w:tabs>
          <w:tab w:val="left" w:pos="2218"/>
        </w:tabs>
        <w:ind w:left="2218" w:hanging="420"/>
      </w:pPr>
      <w:rPr>
        <w:rFonts w:hint="default" w:ascii="Wingdings" w:hAnsi="Wingdings"/>
      </w:rPr>
    </w:lvl>
    <w:lvl w:ilvl="4" w:tentative="0">
      <w:start w:val="1"/>
      <w:numFmt w:val="bullet"/>
      <w:lvlText w:val=""/>
      <w:lvlJc w:val="left"/>
      <w:pPr>
        <w:tabs>
          <w:tab w:val="left" w:pos="2638"/>
        </w:tabs>
        <w:ind w:left="2638" w:hanging="420"/>
      </w:pPr>
      <w:rPr>
        <w:rFonts w:hint="default" w:ascii="Wingdings" w:hAnsi="Wingdings"/>
      </w:rPr>
    </w:lvl>
    <w:lvl w:ilvl="5" w:tentative="0">
      <w:start w:val="1"/>
      <w:numFmt w:val="bullet"/>
      <w:lvlText w:val=""/>
      <w:lvlJc w:val="left"/>
      <w:pPr>
        <w:tabs>
          <w:tab w:val="left" w:pos="3058"/>
        </w:tabs>
        <w:ind w:left="3058" w:hanging="420"/>
      </w:pPr>
      <w:rPr>
        <w:rFonts w:hint="default" w:ascii="Wingdings" w:hAnsi="Wingdings"/>
      </w:rPr>
    </w:lvl>
    <w:lvl w:ilvl="6" w:tentative="0">
      <w:start w:val="1"/>
      <w:numFmt w:val="bullet"/>
      <w:lvlText w:val=""/>
      <w:lvlJc w:val="left"/>
      <w:pPr>
        <w:tabs>
          <w:tab w:val="left" w:pos="3478"/>
        </w:tabs>
        <w:ind w:left="3478" w:hanging="420"/>
      </w:pPr>
      <w:rPr>
        <w:rFonts w:hint="default" w:ascii="Wingdings" w:hAnsi="Wingdings"/>
      </w:rPr>
    </w:lvl>
    <w:lvl w:ilvl="7" w:tentative="0">
      <w:start w:val="1"/>
      <w:numFmt w:val="bullet"/>
      <w:lvlText w:val=""/>
      <w:lvlJc w:val="left"/>
      <w:pPr>
        <w:tabs>
          <w:tab w:val="left" w:pos="3898"/>
        </w:tabs>
        <w:ind w:left="3898" w:hanging="420"/>
      </w:pPr>
      <w:rPr>
        <w:rFonts w:hint="default" w:ascii="Wingdings" w:hAnsi="Wingdings"/>
      </w:rPr>
    </w:lvl>
    <w:lvl w:ilvl="8" w:tentative="0">
      <w:start w:val="1"/>
      <w:numFmt w:val="bullet"/>
      <w:lvlText w:val=""/>
      <w:lvlJc w:val="left"/>
      <w:pPr>
        <w:tabs>
          <w:tab w:val="left" w:pos="4318"/>
        </w:tabs>
        <w:ind w:left="4318" w:hanging="420"/>
      </w:pPr>
      <w:rPr>
        <w:rFonts w:hint="default" w:ascii="Wingdings" w:hAnsi="Wingdings"/>
      </w:rPr>
    </w:lvl>
  </w:abstractNum>
  <w:abstractNum w:abstractNumId="19">
    <w:nsid w:val="00000017"/>
    <w:multiLevelType w:val="multilevel"/>
    <w:tmpl w:val="00000017"/>
    <w:lvl w:ilvl="0" w:tentative="0">
      <w:start w:val="1"/>
      <w:numFmt w:val="decimal"/>
      <w:pStyle w:val="574"/>
      <w:lvlText w:val="%1、"/>
      <w:lvlJc w:val="left"/>
      <w:pPr>
        <w:tabs>
          <w:tab w:val="left" w:pos="690"/>
        </w:tabs>
        <w:ind w:left="690" w:hanging="360"/>
      </w:pPr>
      <w:rPr>
        <w:rFonts w:hint="default"/>
      </w:rPr>
    </w:lvl>
    <w:lvl w:ilvl="1" w:tentative="0">
      <w:start w:val="1"/>
      <w:numFmt w:val="lowerLetter"/>
      <w:lvlText w:val="%2)"/>
      <w:lvlJc w:val="left"/>
      <w:pPr>
        <w:tabs>
          <w:tab w:val="left" w:pos="1170"/>
        </w:tabs>
        <w:ind w:left="1170" w:hanging="420"/>
      </w:pPr>
    </w:lvl>
    <w:lvl w:ilvl="2" w:tentative="0">
      <w:start w:val="1"/>
      <w:numFmt w:val="lowerRoman"/>
      <w:lvlText w:val="%3."/>
      <w:lvlJc w:val="right"/>
      <w:pPr>
        <w:tabs>
          <w:tab w:val="left" w:pos="1590"/>
        </w:tabs>
        <w:ind w:left="1590" w:hanging="420"/>
      </w:pPr>
    </w:lvl>
    <w:lvl w:ilvl="3" w:tentative="0">
      <w:start w:val="1"/>
      <w:numFmt w:val="decimal"/>
      <w:pStyle w:val="557"/>
      <w:lvlText w:val="%4."/>
      <w:lvlJc w:val="left"/>
      <w:pPr>
        <w:tabs>
          <w:tab w:val="left" w:pos="2010"/>
        </w:tabs>
        <w:ind w:left="2010" w:hanging="420"/>
      </w:pPr>
    </w:lvl>
    <w:lvl w:ilvl="4" w:tentative="0">
      <w:start w:val="1"/>
      <w:numFmt w:val="lowerLetter"/>
      <w:lvlText w:val="%5)"/>
      <w:lvlJc w:val="left"/>
      <w:pPr>
        <w:tabs>
          <w:tab w:val="left" w:pos="2430"/>
        </w:tabs>
        <w:ind w:left="2430" w:hanging="420"/>
      </w:pPr>
    </w:lvl>
    <w:lvl w:ilvl="5" w:tentative="0">
      <w:start w:val="1"/>
      <w:numFmt w:val="lowerRoman"/>
      <w:lvlText w:val="%6."/>
      <w:lvlJc w:val="right"/>
      <w:pPr>
        <w:tabs>
          <w:tab w:val="left" w:pos="2850"/>
        </w:tabs>
        <w:ind w:left="2850" w:hanging="420"/>
      </w:pPr>
    </w:lvl>
    <w:lvl w:ilvl="6" w:tentative="0">
      <w:start w:val="1"/>
      <w:numFmt w:val="decimal"/>
      <w:lvlText w:val="%7."/>
      <w:lvlJc w:val="left"/>
      <w:pPr>
        <w:tabs>
          <w:tab w:val="left" w:pos="3270"/>
        </w:tabs>
        <w:ind w:left="3270" w:hanging="420"/>
      </w:pPr>
    </w:lvl>
    <w:lvl w:ilvl="7" w:tentative="0">
      <w:start w:val="1"/>
      <w:numFmt w:val="lowerLetter"/>
      <w:lvlText w:val="%8)"/>
      <w:lvlJc w:val="left"/>
      <w:pPr>
        <w:tabs>
          <w:tab w:val="left" w:pos="3690"/>
        </w:tabs>
        <w:ind w:left="3690" w:hanging="420"/>
      </w:pPr>
    </w:lvl>
    <w:lvl w:ilvl="8" w:tentative="0">
      <w:start w:val="1"/>
      <w:numFmt w:val="lowerRoman"/>
      <w:lvlText w:val="%9."/>
      <w:lvlJc w:val="right"/>
      <w:pPr>
        <w:tabs>
          <w:tab w:val="left" w:pos="4110"/>
        </w:tabs>
        <w:ind w:left="4110" w:hanging="420"/>
      </w:pPr>
    </w:lvl>
  </w:abstractNum>
  <w:abstractNum w:abstractNumId="20">
    <w:nsid w:val="00000018"/>
    <w:multiLevelType w:val="multilevel"/>
    <w:tmpl w:val="00000018"/>
    <w:lvl w:ilvl="0" w:tentative="0">
      <w:start w:val="1"/>
      <w:numFmt w:val="decimal"/>
      <w:pStyle w:val="635"/>
      <w:lvlText w:val="%1."/>
      <w:lvlJc w:val="left"/>
      <w:pPr>
        <w:tabs>
          <w:tab w:val="left" w:pos="420"/>
        </w:tabs>
        <w:ind w:left="420" w:hanging="4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00000019"/>
    <w:multiLevelType w:val="multilevel"/>
    <w:tmpl w:val="00000019"/>
    <w:lvl w:ilvl="0" w:tentative="0">
      <w:start w:val="1"/>
      <w:numFmt w:val="bullet"/>
      <w:pStyle w:val="645"/>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pStyle w:val="633"/>
      <w:lvlText w:val=""/>
      <w:lvlJc w:val="left"/>
      <w:pPr>
        <w:tabs>
          <w:tab w:val="left" w:pos="1680"/>
        </w:tabs>
        <w:ind w:left="1680" w:hanging="420"/>
      </w:pPr>
      <w:rPr>
        <w:rFonts w:hint="default" w:ascii="Wingdings" w:hAnsi="Wingdings"/>
      </w:rPr>
    </w:lvl>
    <w:lvl w:ilvl="3" w:tentative="0">
      <w:start w:val="1"/>
      <w:numFmt w:val="bullet"/>
      <w:pStyle w:val="341"/>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2">
    <w:nsid w:val="0000001A"/>
    <w:multiLevelType w:val="singleLevel"/>
    <w:tmpl w:val="0000001A"/>
    <w:lvl w:ilvl="0" w:tentative="0">
      <w:start w:val="1"/>
      <w:numFmt w:val="chineseCountingThousand"/>
      <w:pStyle w:val="285"/>
      <w:lvlText w:val="第%1节."/>
      <w:lvlJc w:val="left"/>
      <w:pPr>
        <w:tabs>
          <w:tab w:val="left" w:pos="1080"/>
        </w:tabs>
        <w:ind w:left="840" w:hanging="840"/>
      </w:pPr>
      <w:rPr>
        <w:rFonts w:hint="eastAsia"/>
      </w:rPr>
    </w:lvl>
  </w:abstractNum>
  <w:abstractNum w:abstractNumId="23">
    <w:nsid w:val="0000001B"/>
    <w:multiLevelType w:val="multilevel"/>
    <w:tmpl w:val="0000001B"/>
    <w:lvl w:ilvl="0" w:tentative="0">
      <w:start w:val="1"/>
      <w:numFmt w:val="chineseCountingThousand"/>
      <w:pStyle w:val="405"/>
      <w:lvlText w:val="第%1节"/>
      <w:lvlJc w:val="left"/>
      <w:pPr>
        <w:tabs>
          <w:tab w:val="left" w:pos="1080"/>
        </w:tabs>
        <w:ind w:left="432" w:hanging="432"/>
      </w:pPr>
      <w:rPr>
        <w:rFonts w:hint="eastAsia"/>
      </w:rPr>
    </w:lvl>
    <w:lvl w:ilvl="1" w:tentative="0">
      <w:start w:val="1"/>
      <w:numFmt w:val="decimal"/>
      <w:lvlText w:val="%2"/>
      <w:lvlJc w:val="left"/>
      <w:pPr>
        <w:tabs>
          <w:tab w:val="left" w:pos="576"/>
        </w:tabs>
        <w:ind w:left="576" w:hanging="576"/>
      </w:pPr>
      <w:rPr>
        <w:rFonts w:hint="eastAsia"/>
      </w:rPr>
    </w:lvl>
    <w:lvl w:ilvl="2" w:tentative="0">
      <w:start w:val="1"/>
      <w:numFmt w:val="decimal"/>
      <w:lvlText w:val="%2.%3"/>
      <w:lvlJc w:val="left"/>
      <w:pPr>
        <w:tabs>
          <w:tab w:val="left" w:pos="720"/>
        </w:tabs>
        <w:ind w:left="720" w:hanging="720"/>
      </w:pPr>
      <w:rPr>
        <w:rFonts w:hint="eastAsia"/>
      </w:rPr>
    </w:lvl>
    <w:lvl w:ilvl="3" w:tentative="0">
      <w:start w:val="1"/>
      <w:numFmt w:val="decimal"/>
      <w:lvlText w:val="%2.%3.%4"/>
      <w:lvlJc w:val="left"/>
      <w:pPr>
        <w:tabs>
          <w:tab w:val="left" w:pos="864"/>
        </w:tabs>
        <w:ind w:left="864" w:hanging="864"/>
      </w:pPr>
      <w:rPr>
        <w:rFonts w:hint="eastAsia"/>
      </w:rPr>
    </w:lvl>
    <w:lvl w:ilvl="4" w:tentative="0">
      <w:start w:val="1"/>
      <w:numFmt w:val="decimal"/>
      <w:lvlText w:val="%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800"/>
        </w:tabs>
        <w:ind w:left="1296" w:hanging="1296"/>
      </w:pPr>
      <w:rPr>
        <w:rFonts w:hint="eastAsia"/>
      </w:rPr>
    </w:lvl>
    <w:lvl w:ilvl="7" w:tentative="0">
      <w:start w:val="1"/>
      <w:numFmt w:val="decimal"/>
      <w:lvlText w:val="%1.%2.%3.%4.%5.%6.%7.%8"/>
      <w:lvlJc w:val="left"/>
      <w:pPr>
        <w:tabs>
          <w:tab w:val="left" w:pos="2160"/>
        </w:tabs>
        <w:ind w:left="1440" w:hanging="1440"/>
      </w:pPr>
      <w:rPr>
        <w:rFonts w:hint="eastAsia"/>
      </w:rPr>
    </w:lvl>
    <w:lvl w:ilvl="8" w:tentative="0">
      <w:start w:val="1"/>
      <w:numFmt w:val="decimal"/>
      <w:lvlText w:val="%1.%2.%3.%4.%5.%6.%7.%8.%9"/>
      <w:lvlJc w:val="left"/>
      <w:pPr>
        <w:tabs>
          <w:tab w:val="left" w:pos="2520"/>
        </w:tabs>
        <w:ind w:left="1584" w:hanging="1584"/>
      </w:pPr>
      <w:rPr>
        <w:rFonts w:hint="eastAsia"/>
      </w:rPr>
    </w:lvl>
  </w:abstractNum>
  <w:abstractNum w:abstractNumId="24">
    <w:nsid w:val="0000001C"/>
    <w:multiLevelType w:val="singleLevel"/>
    <w:tmpl w:val="0000001C"/>
    <w:lvl w:ilvl="0" w:tentative="0">
      <w:start w:val="1"/>
      <w:numFmt w:val="bullet"/>
      <w:pStyle w:val="587"/>
      <w:lvlText w:val=""/>
      <w:lvlJc w:val="left"/>
      <w:pPr>
        <w:tabs>
          <w:tab w:val="left" w:pos="425"/>
        </w:tabs>
        <w:ind w:left="425" w:hanging="425"/>
      </w:pPr>
      <w:rPr>
        <w:rFonts w:hint="default" w:ascii="Wingdings" w:hAnsi="Wingdings"/>
      </w:rPr>
    </w:lvl>
  </w:abstractNum>
  <w:abstractNum w:abstractNumId="25">
    <w:nsid w:val="0000001D"/>
    <w:multiLevelType w:val="multilevel"/>
    <w:tmpl w:val="0000001D"/>
    <w:lvl w:ilvl="0" w:tentative="0">
      <w:start w:val="1"/>
      <w:numFmt w:val="decimalFullWidth"/>
      <w:pStyle w:val="695"/>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pStyle w:val="340"/>
      <w:lvlText w:val="%9."/>
      <w:lvlJc w:val="right"/>
      <w:pPr>
        <w:tabs>
          <w:tab w:val="left" w:pos="3780"/>
        </w:tabs>
        <w:ind w:left="3780" w:hanging="420"/>
      </w:pPr>
    </w:lvl>
  </w:abstractNum>
  <w:abstractNum w:abstractNumId="26">
    <w:nsid w:val="0000001E"/>
    <w:multiLevelType w:val="multilevel"/>
    <w:tmpl w:val="0000001E"/>
    <w:lvl w:ilvl="0" w:tentative="0">
      <w:start w:val="1"/>
      <w:numFmt w:val="bullet"/>
      <w:pStyle w:val="361"/>
      <w:lvlText w:val=""/>
      <w:lvlJc w:val="left"/>
      <w:pPr>
        <w:tabs>
          <w:tab w:val="left" w:pos="620"/>
        </w:tabs>
        <w:ind w:left="620" w:hanging="420"/>
      </w:pPr>
      <w:rPr>
        <w:rFonts w:hint="default" w:ascii="Wingdings" w:hAnsi="Wingdings"/>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27">
    <w:nsid w:val="0000001F"/>
    <w:multiLevelType w:val="multilevel"/>
    <w:tmpl w:val="0000001F"/>
    <w:lvl w:ilvl="0" w:tentative="0">
      <w:start w:val="1"/>
      <w:numFmt w:val="decimal"/>
      <w:lvlText w:val="%1."/>
      <w:lvlJc w:val="left"/>
      <w:pPr>
        <w:ind w:left="567" w:hanging="425"/>
      </w:pPr>
      <w:rPr>
        <w:rFonts w:hint="default"/>
        <w:b w:val="0"/>
        <w:i w:val="0"/>
        <w:sz w:val="36"/>
        <w:szCs w:val="36"/>
      </w:rPr>
    </w:lvl>
    <w:lvl w:ilvl="1" w:tentative="0">
      <w:start w:val="1"/>
      <w:numFmt w:val="decimal"/>
      <w:lvlText w:val="%1.%2."/>
      <w:lvlPicBulletId w:val="0"/>
      <w:lvlJc w:val="left"/>
      <w:pPr>
        <w:ind w:left="425" w:hanging="425"/>
      </w:pPr>
      <w:rPr>
        <w:rFonts w:hint="default" w:ascii="Symbol" w:hAnsi="Arial" w:eastAsia="宋体"/>
        <w:b w:val="0"/>
        <w:i w:val="0"/>
        <w:sz w:val="19024"/>
        <w:szCs w:val="30"/>
        <w:lang w:val="en-US"/>
      </w:rPr>
    </w:lvl>
    <w:lvl w:ilvl="2" w:tentative="0">
      <w:start w:val="1"/>
      <w:numFmt w:val="decimal"/>
      <w:lvlText w:val="%1.%2.%3."/>
      <w:lvlJc w:val="left"/>
      <w:pPr>
        <w:ind w:left="283" w:hanging="425"/>
      </w:pPr>
      <w:rPr>
        <w:rFonts w:hint="default"/>
        <w:b/>
        <w:i w:val="0"/>
        <w:sz w:val="24"/>
        <w:szCs w:val="24"/>
      </w:rPr>
    </w:lvl>
    <w:lvl w:ilvl="3" w:tentative="0">
      <w:start w:val="1"/>
      <w:numFmt w:val="decimal"/>
      <w:lvlRestart w:val="0"/>
      <w:pStyle w:val="582"/>
      <w:isLgl/>
      <w:lvlText w:val="%1.%2.%3.%4."/>
      <w:lvlJc w:val="left"/>
      <w:pPr>
        <w:ind w:left="141" w:hanging="425"/>
      </w:pPr>
    </w:lvl>
    <w:lvl w:ilvl="4" w:tentative="0">
      <w:start w:val="1"/>
      <w:numFmt w:val="decimal"/>
      <w:lvlText w:val="%1.%2.%3.%4.%5."/>
      <w:lvlJc w:val="left"/>
      <w:pPr>
        <w:ind w:left="-1" w:hanging="425"/>
      </w:pPr>
      <w:rPr>
        <w:rFonts w:hint="default"/>
        <w:b w:val="0"/>
        <w:i w:val="0"/>
        <w:sz w:val="21"/>
        <w:szCs w:val="21"/>
      </w:rPr>
    </w:lvl>
    <w:lvl w:ilvl="5" w:tentative="0">
      <w:start w:val="1"/>
      <w:numFmt w:val="decimal"/>
      <w:lvlText w:val="%1.%2.%3.%4.%5.%6."/>
      <w:lvlJc w:val="left"/>
      <w:pPr>
        <w:ind w:left="-143" w:hanging="425"/>
      </w:pPr>
      <w:rPr>
        <w:rFonts w:hint="default"/>
        <w:b w:val="0"/>
        <w:i w:val="0"/>
        <w:sz w:val="21"/>
        <w:szCs w:val="21"/>
      </w:rPr>
    </w:lvl>
    <w:lvl w:ilvl="6" w:tentative="0">
      <w:start w:val="1"/>
      <w:numFmt w:val="decimal"/>
      <w:lvlText w:val="%1.%2.%3.%4.%5.%6.%7."/>
      <w:lvlJc w:val="left"/>
      <w:pPr>
        <w:ind w:left="-285" w:hanging="425"/>
      </w:pPr>
      <w:rPr>
        <w:rFonts w:hint="default"/>
        <w:b w:val="0"/>
        <w:i w:val="0"/>
        <w:sz w:val="21"/>
        <w:szCs w:val="21"/>
      </w:rPr>
    </w:lvl>
    <w:lvl w:ilvl="7" w:tentative="0">
      <w:start w:val="1"/>
      <w:numFmt w:val="decimal"/>
      <w:lvlText w:val="%1.%2.%3.%4.%5.%6.%7.%8."/>
      <w:lvlJc w:val="left"/>
      <w:pPr>
        <w:ind w:left="-427" w:hanging="425"/>
      </w:pPr>
      <w:rPr>
        <w:rFonts w:hint="default"/>
        <w:b w:val="0"/>
        <w:i w:val="0"/>
        <w:sz w:val="21"/>
        <w:szCs w:val="21"/>
      </w:rPr>
    </w:lvl>
    <w:lvl w:ilvl="8" w:tentative="0">
      <w:start w:val="1"/>
      <w:numFmt w:val="decimal"/>
      <w:lvlText w:val="%1.%2.%3.%4.%5.%6.%7.%8.%9."/>
      <w:lvlJc w:val="left"/>
      <w:pPr>
        <w:ind w:left="-569" w:hanging="425"/>
      </w:pPr>
      <w:rPr>
        <w:rFonts w:hint="default"/>
        <w:b w:val="0"/>
        <w:i w:val="0"/>
        <w:sz w:val="18"/>
        <w:szCs w:val="18"/>
      </w:rPr>
    </w:lvl>
  </w:abstractNum>
  <w:abstractNum w:abstractNumId="28">
    <w:nsid w:val="00000020"/>
    <w:multiLevelType w:val="singleLevel"/>
    <w:tmpl w:val="00000020"/>
    <w:lvl w:ilvl="0" w:tentative="0">
      <w:start w:val="1"/>
      <w:numFmt w:val="bullet"/>
      <w:pStyle w:val="388"/>
      <w:lvlText w:val=""/>
      <w:lvlJc w:val="left"/>
      <w:pPr>
        <w:tabs>
          <w:tab w:val="left" w:pos="1140"/>
        </w:tabs>
        <w:ind w:left="1140" w:hanging="420"/>
      </w:pPr>
      <w:rPr>
        <w:rFonts w:hint="default" w:ascii="Wingdings" w:hAnsi="Wingdings"/>
      </w:rPr>
    </w:lvl>
  </w:abstractNum>
  <w:abstractNum w:abstractNumId="29">
    <w:nsid w:val="00000021"/>
    <w:multiLevelType w:val="multilevel"/>
    <w:tmpl w:val="00000021"/>
    <w:lvl w:ilvl="0" w:tentative="0">
      <w:start w:val="1"/>
      <w:numFmt w:val="decimal"/>
      <w:pStyle w:val="407"/>
      <w:lvlText w:val="%1、"/>
      <w:lvlJc w:val="left"/>
      <w:pPr>
        <w:tabs>
          <w:tab w:val="left" w:pos="720"/>
        </w:tabs>
        <w:ind w:left="720" w:hanging="360"/>
      </w:pPr>
      <w:rPr>
        <w:rFonts w:ascii="宋体" w:hAnsi="宋体" w:eastAsia="宋体" w:cs="Times New Roman"/>
        <w:snapToGrid w:val="0"/>
        <w:kern w:val="0"/>
        <w:sz w:val="22"/>
      </w:rPr>
    </w:lvl>
    <w:lvl w:ilvl="1" w:tentative="0">
      <w:start w:val="1"/>
      <w:numFmt w:val="decimal"/>
      <w:pStyle w:val="597"/>
      <w:lvlText w:val="%2."/>
      <w:lvlJc w:val="left"/>
      <w:pPr>
        <w:tabs>
          <w:tab w:val="left" w:pos="780"/>
        </w:tabs>
        <w:ind w:left="780" w:hanging="360"/>
      </w:pPr>
      <w:rPr>
        <w:rFonts w:hint="default"/>
        <w:sz w:val="22"/>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0">
    <w:nsid w:val="00000022"/>
    <w:multiLevelType w:val="multilevel"/>
    <w:tmpl w:val="00000022"/>
    <w:lvl w:ilvl="0" w:tentative="0">
      <w:start w:val="1"/>
      <w:numFmt w:val="bullet"/>
      <w:pStyle w:val="454"/>
      <w:lvlText w:val=""/>
      <w:lvlJc w:val="left"/>
      <w:pPr>
        <w:tabs>
          <w:tab w:val="left" w:pos="874"/>
        </w:tabs>
        <w:ind w:left="874"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1">
    <w:nsid w:val="00000023"/>
    <w:multiLevelType w:val="multilevel"/>
    <w:tmpl w:val="00000023"/>
    <w:lvl w:ilvl="0" w:tentative="0">
      <w:start w:val="1"/>
      <w:numFmt w:val="decimalEnclosedCircle"/>
      <w:pStyle w:val="418"/>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pStyle w:val="372"/>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2">
    <w:nsid w:val="02912974"/>
    <w:multiLevelType w:val="singleLevel"/>
    <w:tmpl w:val="02912974"/>
    <w:lvl w:ilvl="0" w:tentative="0">
      <w:start w:val="1"/>
      <w:numFmt w:val="decimal"/>
      <w:lvlText w:val="%1."/>
      <w:lvlJc w:val="left"/>
      <w:pPr>
        <w:tabs>
          <w:tab w:val="left" w:pos="312"/>
        </w:tabs>
      </w:pPr>
    </w:lvl>
  </w:abstractNum>
  <w:abstractNum w:abstractNumId="33">
    <w:nsid w:val="1EF34DCE"/>
    <w:multiLevelType w:val="singleLevel"/>
    <w:tmpl w:val="1EF34DCE"/>
    <w:lvl w:ilvl="0" w:tentative="0">
      <w:start w:val="1"/>
      <w:numFmt w:val="decimal"/>
      <w:lvlText w:val="%1."/>
      <w:lvlJc w:val="left"/>
      <w:pPr>
        <w:tabs>
          <w:tab w:val="left" w:pos="312"/>
        </w:tabs>
      </w:pPr>
    </w:lvl>
  </w:abstractNum>
  <w:abstractNum w:abstractNumId="34">
    <w:nsid w:val="2A3BFCC2"/>
    <w:multiLevelType w:val="singleLevel"/>
    <w:tmpl w:val="2A3BFCC2"/>
    <w:lvl w:ilvl="0" w:tentative="0">
      <w:start w:val="1"/>
      <w:numFmt w:val="decimal"/>
      <w:lvlText w:val="%1."/>
      <w:lvlJc w:val="left"/>
      <w:pPr>
        <w:tabs>
          <w:tab w:val="left" w:pos="312"/>
        </w:tabs>
      </w:pPr>
    </w:lvl>
  </w:abstractNum>
  <w:abstractNum w:abstractNumId="35">
    <w:nsid w:val="4BC419B3"/>
    <w:multiLevelType w:val="singleLevel"/>
    <w:tmpl w:val="4BC419B3"/>
    <w:lvl w:ilvl="0" w:tentative="0">
      <w:start w:val="1"/>
      <w:numFmt w:val="decimal"/>
      <w:lvlText w:val="%1."/>
      <w:lvlJc w:val="left"/>
      <w:pPr>
        <w:tabs>
          <w:tab w:val="left" w:pos="312"/>
        </w:tabs>
      </w:pPr>
    </w:lvl>
  </w:abstractNum>
  <w:abstractNum w:abstractNumId="36">
    <w:nsid w:val="4EDE8723"/>
    <w:multiLevelType w:val="singleLevel"/>
    <w:tmpl w:val="4EDE8723"/>
    <w:lvl w:ilvl="0" w:tentative="0">
      <w:start w:val="1"/>
      <w:numFmt w:val="decimal"/>
      <w:lvlText w:val="%1."/>
      <w:lvlJc w:val="left"/>
      <w:pPr>
        <w:tabs>
          <w:tab w:val="left" w:pos="312"/>
        </w:tabs>
      </w:pPr>
    </w:lvl>
  </w:abstractNum>
  <w:abstractNum w:abstractNumId="37">
    <w:nsid w:val="58A46C8A"/>
    <w:multiLevelType w:val="singleLevel"/>
    <w:tmpl w:val="58A46C8A"/>
    <w:lvl w:ilvl="0" w:tentative="0">
      <w:start w:val="1"/>
      <w:numFmt w:val="decimal"/>
      <w:lvlText w:val="%1."/>
      <w:lvlJc w:val="left"/>
      <w:pPr>
        <w:tabs>
          <w:tab w:val="left" w:pos="312"/>
        </w:tabs>
      </w:pPr>
    </w:lvl>
  </w:abstractNum>
  <w:abstractNum w:abstractNumId="38">
    <w:nsid w:val="5B4055FE"/>
    <w:multiLevelType w:val="singleLevel"/>
    <w:tmpl w:val="5B4055FE"/>
    <w:lvl w:ilvl="0" w:tentative="0">
      <w:start w:val="1"/>
      <w:numFmt w:val="decimal"/>
      <w:lvlText w:val="%1."/>
      <w:lvlJc w:val="left"/>
      <w:pPr>
        <w:tabs>
          <w:tab w:val="left" w:pos="312"/>
        </w:tabs>
      </w:pPr>
    </w:lvl>
  </w:abstractNum>
  <w:abstractNum w:abstractNumId="39">
    <w:nsid w:val="5CE04728"/>
    <w:multiLevelType w:val="singleLevel"/>
    <w:tmpl w:val="5CE04728"/>
    <w:lvl w:ilvl="0" w:tentative="0">
      <w:start w:val="1"/>
      <w:numFmt w:val="decimal"/>
      <w:suff w:val="nothing"/>
      <w:lvlText w:val="%1、"/>
      <w:lvlJc w:val="left"/>
    </w:lvl>
  </w:abstractNum>
  <w:abstractNum w:abstractNumId="40">
    <w:nsid w:val="7B1E4E41"/>
    <w:multiLevelType w:val="multilevel"/>
    <w:tmpl w:val="7B1E4E41"/>
    <w:lvl w:ilvl="0" w:tentative="0">
      <w:start w:val="1"/>
      <w:numFmt w:val="decimal"/>
      <w:suff w:val="nothing"/>
      <w:lvlText w:val="%1．"/>
      <w:lvlJc w:val="left"/>
      <w:pPr>
        <w:ind w:left="0" w:firstLine="400"/>
      </w:pPr>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41">
    <w:nsid w:val="7F686715"/>
    <w:multiLevelType w:val="singleLevel"/>
    <w:tmpl w:val="7F686715"/>
    <w:lvl w:ilvl="0" w:tentative="0">
      <w:start w:val="3"/>
      <w:numFmt w:val="chineseCounting"/>
      <w:suff w:val="space"/>
      <w:lvlText w:val="第%1部分"/>
      <w:lvlJc w:val="left"/>
      <w:rPr>
        <w:rFonts w:hint="eastAsia"/>
      </w:rPr>
    </w:lvl>
  </w:abstractNum>
  <w:num w:numId="1">
    <w:abstractNumId w:val="11"/>
  </w:num>
  <w:num w:numId="2">
    <w:abstractNumId w:val="19"/>
  </w:num>
  <w:num w:numId="3">
    <w:abstractNumId w:val="15"/>
  </w:num>
  <w:num w:numId="4">
    <w:abstractNumId w:val="17"/>
  </w:num>
  <w:num w:numId="5">
    <w:abstractNumId w:val="8"/>
  </w:num>
  <w:num w:numId="6">
    <w:abstractNumId w:val="16"/>
  </w:num>
  <w:num w:numId="7">
    <w:abstractNumId w:val="22"/>
  </w:num>
  <w:num w:numId="8">
    <w:abstractNumId w:val="18"/>
  </w:num>
  <w:num w:numId="9">
    <w:abstractNumId w:val="25"/>
  </w:num>
  <w:num w:numId="10">
    <w:abstractNumId w:val="21"/>
  </w:num>
  <w:num w:numId="11">
    <w:abstractNumId w:val="7"/>
  </w:num>
  <w:num w:numId="12">
    <w:abstractNumId w:val="26"/>
  </w:num>
  <w:num w:numId="13">
    <w:abstractNumId w:val="31"/>
  </w:num>
  <w:num w:numId="14">
    <w:abstractNumId w:val="28"/>
  </w:num>
  <w:num w:numId="15">
    <w:abstractNumId w:val="30"/>
  </w:num>
  <w:num w:numId="16">
    <w:abstractNumId w:val="13"/>
  </w:num>
  <w:num w:numId="17">
    <w:abstractNumId w:val="23"/>
  </w:num>
  <w:num w:numId="18">
    <w:abstractNumId w:val="29"/>
  </w:num>
  <w:num w:numId="19">
    <w:abstractNumId w:val="10"/>
  </w:num>
  <w:num w:numId="20">
    <w:abstractNumId w:val="6"/>
  </w:num>
  <w:num w:numId="21">
    <w:abstractNumId w:val="14"/>
  </w:num>
  <w:num w:numId="22">
    <w:abstractNumId w:val="24"/>
  </w:num>
  <w:num w:numId="23">
    <w:abstractNumId w:val="27"/>
  </w:num>
  <w:num w:numId="24">
    <w:abstractNumId w:val="20"/>
  </w:num>
  <w:num w:numId="25">
    <w:abstractNumId w:val="12"/>
  </w:num>
  <w:num w:numId="26">
    <w:abstractNumId w:val="9"/>
  </w:num>
  <w:num w:numId="27">
    <w:abstractNumId w:val="4"/>
  </w:num>
  <w:num w:numId="28">
    <w:abstractNumId w:val="39"/>
  </w:num>
  <w:num w:numId="29">
    <w:abstractNumId w:val="41"/>
  </w:num>
  <w:num w:numId="30">
    <w:abstractNumId w:val="38"/>
  </w:num>
  <w:num w:numId="31">
    <w:abstractNumId w:val="36"/>
  </w:num>
  <w:num w:numId="32">
    <w:abstractNumId w:val="34"/>
  </w:num>
  <w:num w:numId="33">
    <w:abstractNumId w:val="32"/>
  </w:num>
  <w:num w:numId="34">
    <w:abstractNumId w:val="37"/>
  </w:num>
  <w:num w:numId="35">
    <w:abstractNumId w:val="0"/>
  </w:num>
  <w:num w:numId="36">
    <w:abstractNumId w:val="1"/>
  </w:num>
  <w:num w:numId="37">
    <w:abstractNumId w:val="33"/>
  </w:num>
  <w:num w:numId="38">
    <w:abstractNumId w:val="5"/>
  </w:num>
  <w:num w:numId="39">
    <w:abstractNumId w:val="3"/>
  </w:num>
  <w:num w:numId="40">
    <w:abstractNumId w:val="35"/>
  </w:num>
  <w:num w:numId="41">
    <w:abstractNumId w:val="2"/>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JlNGMwZWE3MmYzN2NjZTI4MTc0ZDM1MTFlMTcyZGUifQ=="/>
  </w:docVars>
  <w:rsids>
    <w:rsidRoot w:val="00172A27"/>
    <w:rsid w:val="0000021C"/>
    <w:rsid w:val="000006E8"/>
    <w:rsid w:val="00000EC4"/>
    <w:rsid w:val="00002B92"/>
    <w:rsid w:val="0000386E"/>
    <w:rsid w:val="00003907"/>
    <w:rsid w:val="00003BF8"/>
    <w:rsid w:val="00003C78"/>
    <w:rsid w:val="00003D2F"/>
    <w:rsid w:val="00004367"/>
    <w:rsid w:val="0000625E"/>
    <w:rsid w:val="000064DE"/>
    <w:rsid w:val="00006600"/>
    <w:rsid w:val="000073EA"/>
    <w:rsid w:val="00010271"/>
    <w:rsid w:val="00011899"/>
    <w:rsid w:val="00013118"/>
    <w:rsid w:val="0001409E"/>
    <w:rsid w:val="00014590"/>
    <w:rsid w:val="00014ACF"/>
    <w:rsid w:val="000159C0"/>
    <w:rsid w:val="000161E3"/>
    <w:rsid w:val="000169CE"/>
    <w:rsid w:val="00016BB6"/>
    <w:rsid w:val="0001710B"/>
    <w:rsid w:val="00017189"/>
    <w:rsid w:val="000172C7"/>
    <w:rsid w:val="000202D0"/>
    <w:rsid w:val="0002030E"/>
    <w:rsid w:val="000206DF"/>
    <w:rsid w:val="00020963"/>
    <w:rsid w:val="00021D11"/>
    <w:rsid w:val="00022BDF"/>
    <w:rsid w:val="00023D09"/>
    <w:rsid w:val="00024661"/>
    <w:rsid w:val="00025908"/>
    <w:rsid w:val="00025E53"/>
    <w:rsid w:val="00025EE2"/>
    <w:rsid w:val="0002613E"/>
    <w:rsid w:val="000274A1"/>
    <w:rsid w:val="00027EA1"/>
    <w:rsid w:val="00027F94"/>
    <w:rsid w:val="00031FAA"/>
    <w:rsid w:val="000325F9"/>
    <w:rsid w:val="000326C8"/>
    <w:rsid w:val="0003321C"/>
    <w:rsid w:val="0003333A"/>
    <w:rsid w:val="000334FA"/>
    <w:rsid w:val="0003387D"/>
    <w:rsid w:val="000341F8"/>
    <w:rsid w:val="000342CC"/>
    <w:rsid w:val="000349C5"/>
    <w:rsid w:val="00034A48"/>
    <w:rsid w:val="00035121"/>
    <w:rsid w:val="00035DFE"/>
    <w:rsid w:val="00036BCB"/>
    <w:rsid w:val="00036F93"/>
    <w:rsid w:val="00036FFD"/>
    <w:rsid w:val="00037126"/>
    <w:rsid w:val="00037420"/>
    <w:rsid w:val="000400FC"/>
    <w:rsid w:val="00040426"/>
    <w:rsid w:val="00040718"/>
    <w:rsid w:val="00040789"/>
    <w:rsid w:val="00040BDA"/>
    <w:rsid w:val="00040CAB"/>
    <w:rsid w:val="000412CA"/>
    <w:rsid w:val="000420D5"/>
    <w:rsid w:val="00042A7D"/>
    <w:rsid w:val="0004497E"/>
    <w:rsid w:val="00047C1F"/>
    <w:rsid w:val="0005031E"/>
    <w:rsid w:val="00050416"/>
    <w:rsid w:val="00050497"/>
    <w:rsid w:val="00050647"/>
    <w:rsid w:val="0005088D"/>
    <w:rsid w:val="0005115A"/>
    <w:rsid w:val="00051297"/>
    <w:rsid w:val="00052D1A"/>
    <w:rsid w:val="00052E24"/>
    <w:rsid w:val="000532EB"/>
    <w:rsid w:val="00053582"/>
    <w:rsid w:val="0005382E"/>
    <w:rsid w:val="00054620"/>
    <w:rsid w:val="00054C2B"/>
    <w:rsid w:val="00054C30"/>
    <w:rsid w:val="00056429"/>
    <w:rsid w:val="00057279"/>
    <w:rsid w:val="00057AE0"/>
    <w:rsid w:val="00057BED"/>
    <w:rsid w:val="00057BF0"/>
    <w:rsid w:val="00057D71"/>
    <w:rsid w:val="00062704"/>
    <w:rsid w:val="000641A4"/>
    <w:rsid w:val="0006476C"/>
    <w:rsid w:val="00064823"/>
    <w:rsid w:val="0006660A"/>
    <w:rsid w:val="00067648"/>
    <w:rsid w:val="000701A3"/>
    <w:rsid w:val="00070385"/>
    <w:rsid w:val="000708B7"/>
    <w:rsid w:val="00071312"/>
    <w:rsid w:val="00071543"/>
    <w:rsid w:val="0007258F"/>
    <w:rsid w:val="000727E9"/>
    <w:rsid w:val="00073ED9"/>
    <w:rsid w:val="00074361"/>
    <w:rsid w:val="00074A11"/>
    <w:rsid w:val="00075162"/>
    <w:rsid w:val="00077C4B"/>
    <w:rsid w:val="00080FCF"/>
    <w:rsid w:val="00081F6B"/>
    <w:rsid w:val="0008207C"/>
    <w:rsid w:val="000827FB"/>
    <w:rsid w:val="00082C4C"/>
    <w:rsid w:val="00083319"/>
    <w:rsid w:val="00083B8F"/>
    <w:rsid w:val="00083E63"/>
    <w:rsid w:val="00084283"/>
    <w:rsid w:val="00084D6F"/>
    <w:rsid w:val="00085725"/>
    <w:rsid w:val="000857BE"/>
    <w:rsid w:val="00086735"/>
    <w:rsid w:val="0008679A"/>
    <w:rsid w:val="000867F5"/>
    <w:rsid w:val="00090EF7"/>
    <w:rsid w:val="0009194C"/>
    <w:rsid w:val="00091D65"/>
    <w:rsid w:val="00091F98"/>
    <w:rsid w:val="00092419"/>
    <w:rsid w:val="000928F4"/>
    <w:rsid w:val="00093160"/>
    <w:rsid w:val="00094DE0"/>
    <w:rsid w:val="0009546D"/>
    <w:rsid w:val="0009744E"/>
    <w:rsid w:val="000A01C6"/>
    <w:rsid w:val="000A058B"/>
    <w:rsid w:val="000A0DFE"/>
    <w:rsid w:val="000A0E4E"/>
    <w:rsid w:val="000A1EEA"/>
    <w:rsid w:val="000A2B08"/>
    <w:rsid w:val="000A336A"/>
    <w:rsid w:val="000A38C8"/>
    <w:rsid w:val="000A59E8"/>
    <w:rsid w:val="000A5AB0"/>
    <w:rsid w:val="000A748E"/>
    <w:rsid w:val="000B0312"/>
    <w:rsid w:val="000B0369"/>
    <w:rsid w:val="000B03CE"/>
    <w:rsid w:val="000B0F16"/>
    <w:rsid w:val="000B16A2"/>
    <w:rsid w:val="000B1D12"/>
    <w:rsid w:val="000B25A8"/>
    <w:rsid w:val="000B27C5"/>
    <w:rsid w:val="000B5FC2"/>
    <w:rsid w:val="000B6D7F"/>
    <w:rsid w:val="000C118B"/>
    <w:rsid w:val="000C17F0"/>
    <w:rsid w:val="000C1D8A"/>
    <w:rsid w:val="000C2154"/>
    <w:rsid w:val="000C3CCB"/>
    <w:rsid w:val="000C5632"/>
    <w:rsid w:val="000C585B"/>
    <w:rsid w:val="000C588B"/>
    <w:rsid w:val="000C63D2"/>
    <w:rsid w:val="000C6D32"/>
    <w:rsid w:val="000C71BB"/>
    <w:rsid w:val="000C74AB"/>
    <w:rsid w:val="000D0836"/>
    <w:rsid w:val="000D0A2D"/>
    <w:rsid w:val="000D1F38"/>
    <w:rsid w:val="000D2762"/>
    <w:rsid w:val="000D28D0"/>
    <w:rsid w:val="000D36EB"/>
    <w:rsid w:val="000D47C9"/>
    <w:rsid w:val="000D68AA"/>
    <w:rsid w:val="000E2347"/>
    <w:rsid w:val="000E372B"/>
    <w:rsid w:val="000E383B"/>
    <w:rsid w:val="000E3A3C"/>
    <w:rsid w:val="000E3C39"/>
    <w:rsid w:val="000E4469"/>
    <w:rsid w:val="000E4CEB"/>
    <w:rsid w:val="000E52FF"/>
    <w:rsid w:val="000E5312"/>
    <w:rsid w:val="000E686D"/>
    <w:rsid w:val="000E69BB"/>
    <w:rsid w:val="000E6C90"/>
    <w:rsid w:val="000E79C2"/>
    <w:rsid w:val="000F0C8B"/>
    <w:rsid w:val="000F34FD"/>
    <w:rsid w:val="000F39DC"/>
    <w:rsid w:val="000F4637"/>
    <w:rsid w:val="000F4F97"/>
    <w:rsid w:val="000F5804"/>
    <w:rsid w:val="000F5BD4"/>
    <w:rsid w:val="000F64A0"/>
    <w:rsid w:val="000F6FE6"/>
    <w:rsid w:val="00100BF6"/>
    <w:rsid w:val="00100D6C"/>
    <w:rsid w:val="00102AF8"/>
    <w:rsid w:val="00103096"/>
    <w:rsid w:val="00104176"/>
    <w:rsid w:val="00104438"/>
    <w:rsid w:val="001047D5"/>
    <w:rsid w:val="00105080"/>
    <w:rsid w:val="001075E5"/>
    <w:rsid w:val="00110714"/>
    <w:rsid w:val="00111329"/>
    <w:rsid w:val="00111C79"/>
    <w:rsid w:val="00112486"/>
    <w:rsid w:val="00112D53"/>
    <w:rsid w:val="00112F68"/>
    <w:rsid w:val="00114ECA"/>
    <w:rsid w:val="00116032"/>
    <w:rsid w:val="00116553"/>
    <w:rsid w:val="001166EB"/>
    <w:rsid w:val="001167AB"/>
    <w:rsid w:val="00116B47"/>
    <w:rsid w:val="0011792A"/>
    <w:rsid w:val="00117A02"/>
    <w:rsid w:val="00117ED5"/>
    <w:rsid w:val="0012171F"/>
    <w:rsid w:val="00121E13"/>
    <w:rsid w:val="00122674"/>
    <w:rsid w:val="00123AE8"/>
    <w:rsid w:val="00124836"/>
    <w:rsid w:val="00125A1E"/>
    <w:rsid w:val="00126497"/>
    <w:rsid w:val="0012666B"/>
    <w:rsid w:val="00127EA0"/>
    <w:rsid w:val="00130674"/>
    <w:rsid w:val="0013073F"/>
    <w:rsid w:val="0013344C"/>
    <w:rsid w:val="00137066"/>
    <w:rsid w:val="001376A9"/>
    <w:rsid w:val="0013774A"/>
    <w:rsid w:val="00137ECB"/>
    <w:rsid w:val="00140803"/>
    <w:rsid w:val="00141E69"/>
    <w:rsid w:val="00142A41"/>
    <w:rsid w:val="00142B82"/>
    <w:rsid w:val="001430B8"/>
    <w:rsid w:val="00143679"/>
    <w:rsid w:val="00143C9E"/>
    <w:rsid w:val="0014400C"/>
    <w:rsid w:val="00144DAC"/>
    <w:rsid w:val="00144F44"/>
    <w:rsid w:val="001457D2"/>
    <w:rsid w:val="00145ABE"/>
    <w:rsid w:val="00145C13"/>
    <w:rsid w:val="00145DB4"/>
    <w:rsid w:val="00146053"/>
    <w:rsid w:val="00146271"/>
    <w:rsid w:val="001472BF"/>
    <w:rsid w:val="00147844"/>
    <w:rsid w:val="00147955"/>
    <w:rsid w:val="00147E1A"/>
    <w:rsid w:val="00150AA0"/>
    <w:rsid w:val="00151A59"/>
    <w:rsid w:val="00151B38"/>
    <w:rsid w:val="00151EDA"/>
    <w:rsid w:val="00152EBF"/>
    <w:rsid w:val="00152F1D"/>
    <w:rsid w:val="001543AA"/>
    <w:rsid w:val="0015592E"/>
    <w:rsid w:val="001567DB"/>
    <w:rsid w:val="00157B99"/>
    <w:rsid w:val="0016098E"/>
    <w:rsid w:val="00161F0E"/>
    <w:rsid w:val="001620AE"/>
    <w:rsid w:val="00162D60"/>
    <w:rsid w:val="00162EC8"/>
    <w:rsid w:val="00163550"/>
    <w:rsid w:val="00163C6E"/>
    <w:rsid w:val="00164886"/>
    <w:rsid w:val="0016502B"/>
    <w:rsid w:val="0016546B"/>
    <w:rsid w:val="0016594D"/>
    <w:rsid w:val="00165AA5"/>
    <w:rsid w:val="001661D3"/>
    <w:rsid w:val="00166F62"/>
    <w:rsid w:val="0017077F"/>
    <w:rsid w:val="00171E99"/>
    <w:rsid w:val="00171EF2"/>
    <w:rsid w:val="00171F3C"/>
    <w:rsid w:val="00173A37"/>
    <w:rsid w:val="00173F77"/>
    <w:rsid w:val="001745C7"/>
    <w:rsid w:val="00174DD2"/>
    <w:rsid w:val="0017538D"/>
    <w:rsid w:val="00175475"/>
    <w:rsid w:val="001758B9"/>
    <w:rsid w:val="00175A82"/>
    <w:rsid w:val="00175BE1"/>
    <w:rsid w:val="00175CE5"/>
    <w:rsid w:val="001760F0"/>
    <w:rsid w:val="00176185"/>
    <w:rsid w:val="00177126"/>
    <w:rsid w:val="001779E0"/>
    <w:rsid w:val="00177B77"/>
    <w:rsid w:val="00177E13"/>
    <w:rsid w:val="0018145B"/>
    <w:rsid w:val="00182E4E"/>
    <w:rsid w:val="00183381"/>
    <w:rsid w:val="001841B5"/>
    <w:rsid w:val="001841F8"/>
    <w:rsid w:val="00185C5E"/>
    <w:rsid w:val="00187421"/>
    <w:rsid w:val="00187DFA"/>
    <w:rsid w:val="00190529"/>
    <w:rsid w:val="00191617"/>
    <w:rsid w:val="001920F9"/>
    <w:rsid w:val="00193079"/>
    <w:rsid w:val="0019476E"/>
    <w:rsid w:val="001947A0"/>
    <w:rsid w:val="00195226"/>
    <w:rsid w:val="00197591"/>
    <w:rsid w:val="00197E3D"/>
    <w:rsid w:val="001A035C"/>
    <w:rsid w:val="001A0440"/>
    <w:rsid w:val="001A0B92"/>
    <w:rsid w:val="001A0E63"/>
    <w:rsid w:val="001A1923"/>
    <w:rsid w:val="001A1D01"/>
    <w:rsid w:val="001A2132"/>
    <w:rsid w:val="001A2158"/>
    <w:rsid w:val="001A413A"/>
    <w:rsid w:val="001A4517"/>
    <w:rsid w:val="001A49E3"/>
    <w:rsid w:val="001A5DE4"/>
    <w:rsid w:val="001A621E"/>
    <w:rsid w:val="001A6606"/>
    <w:rsid w:val="001A6C68"/>
    <w:rsid w:val="001A72C6"/>
    <w:rsid w:val="001A743F"/>
    <w:rsid w:val="001A75B2"/>
    <w:rsid w:val="001A79CE"/>
    <w:rsid w:val="001A7D3D"/>
    <w:rsid w:val="001B0195"/>
    <w:rsid w:val="001B1851"/>
    <w:rsid w:val="001B2043"/>
    <w:rsid w:val="001B318A"/>
    <w:rsid w:val="001B626B"/>
    <w:rsid w:val="001B6727"/>
    <w:rsid w:val="001B7467"/>
    <w:rsid w:val="001B749F"/>
    <w:rsid w:val="001B7D72"/>
    <w:rsid w:val="001C05F8"/>
    <w:rsid w:val="001C0E53"/>
    <w:rsid w:val="001C1285"/>
    <w:rsid w:val="001C1CC6"/>
    <w:rsid w:val="001C267E"/>
    <w:rsid w:val="001C4F75"/>
    <w:rsid w:val="001C5928"/>
    <w:rsid w:val="001C6182"/>
    <w:rsid w:val="001C653F"/>
    <w:rsid w:val="001D101B"/>
    <w:rsid w:val="001D1424"/>
    <w:rsid w:val="001D1B60"/>
    <w:rsid w:val="001D1FF8"/>
    <w:rsid w:val="001D2FEC"/>
    <w:rsid w:val="001D3AFE"/>
    <w:rsid w:val="001D4C54"/>
    <w:rsid w:val="001D5572"/>
    <w:rsid w:val="001D6557"/>
    <w:rsid w:val="001D65E0"/>
    <w:rsid w:val="001D7359"/>
    <w:rsid w:val="001D743F"/>
    <w:rsid w:val="001D7832"/>
    <w:rsid w:val="001E0A69"/>
    <w:rsid w:val="001E2123"/>
    <w:rsid w:val="001E34DB"/>
    <w:rsid w:val="001E35DA"/>
    <w:rsid w:val="001E4160"/>
    <w:rsid w:val="001E42EB"/>
    <w:rsid w:val="001E4DEC"/>
    <w:rsid w:val="001E5580"/>
    <w:rsid w:val="001E57F6"/>
    <w:rsid w:val="001E7597"/>
    <w:rsid w:val="001E7743"/>
    <w:rsid w:val="001E77EF"/>
    <w:rsid w:val="001E7952"/>
    <w:rsid w:val="001E7DB3"/>
    <w:rsid w:val="001E7FA4"/>
    <w:rsid w:val="001F012A"/>
    <w:rsid w:val="001F05CE"/>
    <w:rsid w:val="001F063D"/>
    <w:rsid w:val="001F2A40"/>
    <w:rsid w:val="001F3647"/>
    <w:rsid w:val="001F3832"/>
    <w:rsid w:val="001F3D68"/>
    <w:rsid w:val="001F405B"/>
    <w:rsid w:val="001F4D82"/>
    <w:rsid w:val="001F7516"/>
    <w:rsid w:val="001F795C"/>
    <w:rsid w:val="00201128"/>
    <w:rsid w:val="00201323"/>
    <w:rsid w:val="00201811"/>
    <w:rsid w:val="00201E18"/>
    <w:rsid w:val="00202E40"/>
    <w:rsid w:val="00204674"/>
    <w:rsid w:val="00204F09"/>
    <w:rsid w:val="0020505C"/>
    <w:rsid w:val="00205A1B"/>
    <w:rsid w:val="0021010D"/>
    <w:rsid w:val="00210448"/>
    <w:rsid w:val="0021065B"/>
    <w:rsid w:val="00210679"/>
    <w:rsid w:val="00211722"/>
    <w:rsid w:val="002136B9"/>
    <w:rsid w:val="00214BB8"/>
    <w:rsid w:val="002157FA"/>
    <w:rsid w:val="00217F42"/>
    <w:rsid w:val="00220F21"/>
    <w:rsid w:val="00221175"/>
    <w:rsid w:val="0022159B"/>
    <w:rsid w:val="00221FFD"/>
    <w:rsid w:val="0022204D"/>
    <w:rsid w:val="00222D88"/>
    <w:rsid w:val="00223368"/>
    <w:rsid w:val="00223949"/>
    <w:rsid w:val="00225CBE"/>
    <w:rsid w:val="00225F05"/>
    <w:rsid w:val="00225F71"/>
    <w:rsid w:val="002270A1"/>
    <w:rsid w:val="0023015A"/>
    <w:rsid w:val="00231A9E"/>
    <w:rsid w:val="00231CE5"/>
    <w:rsid w:val="002324C0"/>
    <w:rsid w:val="00232747"/>
    <w:rsid w:val="00233121"/>
    <w:rsid w:val="002332EC"/>
    <w:rsid w:val="00233EFA"/>
    <w:rsid w:val="002346A7"/>
    <w:rsid w:val="00235764"/>
    <w:rsid w:val="00235F50"/>
    <w:rsid w:val="0023623E"/>
    <w:rsid w:val="0023678D"/>
    <w:rsid w:val="00236A72"/>
    <w:rsid w:val="00237618"/>
    <w:rsid w:val="002408C9"/>
    <w:rsid w:val="00240B0A"/>
    <w:rsid w:val="0024171F"/>
    <w:rsid w:val="00241C55"/>
    <w:rsid w:val="00242CEC"/>
    <w:rsid w:val="002432DA"/>
    <w:rsid w:val="002442C2"/>
    <w:rsid w:val="00244ADC"/>
    <w:rsid w:val="00244CCF"/>
    <w:rsid w:val="00245450"/>
    <w:rsid w:val="00246141"/>
    <w:rsid w:val="00247652"/>
    <w:rsid w:val="002513F4"/>
    <w:rsid w:val="00251ABE"/>
    <w:rsid w:val="00251B61"/>
    <w:rsid w:val="00251E16"/>
    <w:rsid w:val="00252678"/>
    <w:rsid w:val="00252679"/>
    <w:rsid w:val="00253126"/>
    <w:rsid w:val="00253147"/>
    <w:rsid w:val="002534E6"/>
    <w:rsid w:val="0025472F"/>
    <w:rsid w:val="00254C0C"/>
    <w:rsid w:val="00254F7D"/>
    <w:rsid w:val="0025658D"/>
    <w:rsid w:val="00256724"/>
    <w:rsid w:val="0025685B"/>
    <w:rsid w:val="002600F4"/>
    <w:rsid w:val="00260602"/>
    <w:rsid w:val="0026085F"/>
    <w:rsid w:val="002610F2"/>
    <w:rsid w:val="002616DB"/>
    <w:rsid w:val="00261787"/>
    <w:rsid w:val="002621FF"/>
    <w:rsid w:val="002644C6"/>
    <w:rsid w:val="0026497C"/>
    <w:rsid w:val="00265906"/>
    <w:rsid w:val="00265F41"/>
    <w:rsid w:val="00265F99"/>
    <w:rsid w:val="0026642C"/>
    <w:rsid w:val="00266438"/>
    <w:rsid w:val="00266559"/>
    <w:rsid w:val="00266686"/>
    <w:rsid w:val="00266A3A"/>
    <w:rsid w:val="00266F24"/>
    <w:rsid w:val="00267E63"/>
    <w:rsid w:val="00270258"/>
    <w:rsid w:val="00272564"/>
    <w:rsid w:val="002725CD"/>
    <w:rsid w:val="00273859"/>
    <w:rsid w:val="00273B92"/>
    <w:rsid w:val="002740FC"/>
    <w:rsid w:val="0027470E"/>
    <w:rsid w:val="00274752"/>
    <w:rsid w:val="00274EF5"/>
    <w:rsid w:val="002756C0"/>
    <w:rsid w:val="00275721"/>
    <w:rsid w:val="00277163"/>
    <w:rsid w:val="002805FC"/>
    <w:rsid w:val="002808C2"/>
    <w:rsid w:val="00281010"/>
    <w:rsid w:val="00281C48"/>
    <w:rsid w:val="00283014"/>
    <w:rsid w:val="00283C61"/>
    <w:rsid w:val="0028590E"/>
    <w:rsid w:val="00285B3E"/>
    <w:rsid w:val="00285DF8"/>
    <w:rsid w:val="00285ED9"/>
    <w:rsid w:val="002874E3"/>
    <w:rsid w:val="00290121"/>
    <w:rsid w:val="00290FA5"/>
    <w:rsid w:val="00291242"/>
    <w:rsid w:val="00291D58"/>
    <w:rsid w:val="002920CE"/>
    <w:rsid w:val="00292D5F"/>
    <w:rsid w:val="00293D08"/>
    <w:rsid w:val="00294B45"/>
    <w:rsid w:val="0029535B"/>
    <w:rsid w:val="0029666A"/>
    <w:rsid w:val="00296986"/>
    <w:rsid w:val="00296A0C"/>
    <w:rsid w:val="002972A0"/>
    <w:rsid w:val="002A03FD"/>
    <w:rsid w:val="002A0967"/>
    <w:rsid w:val="002A0B4A"/>
    <w:rsid w:val="002A1533"/>
    <w:rsid w:val="002A1D38"/>
    <w:rsid w:val="002A4577"/>
    <w:rsid w:val="002A4F9C"/>
    <w:rsid w:val="002A5CE5"/>
    <w:rsid w:val="002A6342"/>
    <w:rsid w:val="002A6FCC"/>
    <w:rsid w:val="002A72B8"/>
    <w:rsid w:val="002A760C"/>
    <w:rsid w:val="002A791D"/>
    <w:rsid w:val="002A7D96"/>
    <w:rsid w:val="002A7EF4"/>
    <w:rsid w:val="002B1821"/>
    <w:rsid w:val="002B1E8E"/>
    <w:rsid w:val="002B25A2"/>
    <w:rsid w:val="002B270F"/>
    <w:rsid w:val="002B28DB"/>
    <w:rsid w:val="002B3D62"/>
    <w:rsid w:val="002B3D68"/>
    <w:rsid w:val="002B510D"/>
    <w:rsid w:val="002B5123"/>
    <w:rsid w:val="002B597F"/>
    <w:rsid w:val="002B6A0B"/>
    <w:rsid w:val="002B7104"/>
    <w:rsid w:val="002B7D0F"/>
    <w:rsid w:val="002C0003"/>
    <w:rsid w:val="002C007E"/>
    <w:rsid w:val="002C0127"/>
    <w:rsid w:val="002C0FE7"/>
    <w:rsid w:val="002C24E7"/>
    <w:rsid w:val="002C3ACB"/>
    <w:rsid w:val="002C402B"/>
    <w:rsid w:val="002C445D"/>
    <w:rsid w:val="002C5664"/>
    <w:rsid w:val="002C6A07"/>
    <w:rsid w:val="002C718A"/>
    <w:rsid w:val="002C7241"/>
    <w:rsid w:val="002D19B7"/>
    <w:rsid w:val="002D1C1E"/>
    <w:rsid w:val="002D1C57"/>
    <w:rsid w:val="002D3050"/>
    <w:rsid w:val="002D4992"/>
    <w:rsid w:val="002D7F48"/>
    <w:rsid w:val="002E01E0"/>
    <w:rsid w:val="002E0529"/>
    <w:rsid w:val="002E0825"/>
    <w:rsid w:val="002E0C14"/>
    <w:rsid w:val="002E16FA"/>
    <w:rsid w:val="002E187F"/>
    <w:rsid w:val="002E23B0"/>
    <w:rsid w:val="002E2C4F"/>
    <w:rsid w:val="002E2D9E"/>
    <w:rsid w:val="002E3B3E"/>
    <w:rsid w:val="002E40B6"/>
    <w:rsid w:val="002E5441"/>
    <w:rsid w:val="002E610E"/>
    <w:rsid w:val="002E6CB0"/>
    <w:rsid w:val="002E7222"/>
    <w:rsid w:val="002E7DE2"/>
    <w:rsid w:val="002F005C"/>
    <w:rsid w:val="002F1BED"/>
    <w:rsid w:val="002F3101"/>
    <w:rsid w:val="002F48A9"/>
    <w:rsid w:val="002F635A"/>
    <w:rsid w:val="002F64A8"/>
    <w:rsid w:val="002F6E6A"/>
    <w:rsid w:val="00300BB0"/>
    <w:rsid w:val="00302BDF"/>
    <w:rsid w:val="00302EE5"/>
    <w:rsid w:val="00303F37"/>
    <w:rsid w:val="00304338"/>
    <w:rsid w:val="003044FC"/>
    <w:rsid w:val="0030483A"/>
    <w:rsid w:val="00305966"/>
    <w:rsid w:val="00305E05"/>
    <w:rsid w:val="00306384"/>
    <w:rsid w:val="0030659E"/>
    <w:rsid w:val="003067AD"/>
    <w:rsid w:val="00306912"/>
    <w:rsid w:val="00307376"/>
    <w:rsid w:val="00307724"/>
    <w:rsid w:val="0031062C"/>
    <w:rsid w:val="00310790"/>
    <w:rsid w:val="00310906"/>
    <w:rsid w:val="00311B44"/>
    <w:rsid w:val="00312E55"/>
    <w:rsid w:val="003134DD"/>
    <w:rsid w:val="003138E3"/>
    <w:rsid w:val="00313917"/>
    <w:rsid w:val="00313A46"/>
    <w:rsid w:val="00314AF9"/>
    <w:rsid w:val="00315318"/>
    <w:rsid w:val="00315A23"/>
    <w:rsid w:val="00315BA2"/>
    <w:rsid w:val="0031602C"/>
    <w:rsid w:val="00316672"/>
    <w:rsid w:val="00316EE5"/>
    <w:rsid w:val="00317358"/>
    <w:rsid w:val="00317652"/>
    <w:rsid w:val="003179AC"/>
    <w:rsid w:val="00320144"/>
    <w:rsid w:val="003202D0"/>
    <w:rsid w:val="003206A6"/>
    <w:rsid w:val="00322007"/>
    <w:rsid w:val="0032230C"/>
    <w:rsid w:val="003232C0"/>
    <w:rsid w:val="0032352D"/>
    <w:rsid w:val="003238F2"/>
    <w:rsid w:val="00324A05"/>
    <w:rsid w:val="0032694F"/>
    <w:rsid w:val="00326DD6"/>
    <w:rsid w:val="00326FAF"/>
    <w:rsid w:val="00330312"/>
    <w:rsid w:val="00330CD6"/>
    <w:rsid w:val="00332E55"/>
    <w:rsid w:val="00333108"/>
    <w:rsid w:val="003335B7"/>
    <w:rsid w:val="00333E9B"/>
    <w:rsid w:val="00334501"/>
    <w:rsid w:val="00334B89"/>
    <w:rsid w:val="00334C0E"/>
    <w:rsid w:val="0033551A"/>
    <w:rsid w:val="00335B73"/>
    <w:rsid w:val="00336466"/>
    <w:rsid w:val="00336BF2"/>
    <w:rsid w:val="0033714C"/>
    <w:rsid w:val="003375F6"/>
    <w:rsid w:val="00337933"/>
    <w:rsid w:val="003403C5"/>
    <w:rsid w:val="003408E5"/>
    <w:rsid w:val="00341244"/>
    <w:rsid w:val="00341586"/>
    <w:rsid w:val="00342F38"/>
    <w:rsid w:val="003430D9"/>
    <w:rsid w:val="00343D6B"/>
    <w:rsid w:val="0034526E"/>
    <w:rsid w:val="00346790"/>
    <w:rsid w:val="00346965"/>
    <w:rsid w:val="00351E7D"/>
    <w:rsid w:val="00353535"/>
    <w:rsid w:val="00353DC8"/>
    <w:rsid w:val="00354752"/>
    <w:rsid w:val="0035499E"/>
    <w:rsid w:val="003552BC"/>
    <w:rsid w:val="003555F2"/>
    <w:rsid w:val="00355E88"/>
    <w:rsid w:val="0035754E"/>
    <w:rsid w:val="00363DD1"/>
    <w:rsid w:val="00365015"/>
    <w:rsid w:val="00365900"/>
    <w:rsid w:val="0036613D"/>
    <w:rsid w:val="00366B79"/>
    <w:rsid w:val="00366FD1"/>
    <w:rsid w:val="003674D5"/>
    <w:rsid w:val="00367F56"/>
    <w:rsid w:val="00370BBE"/>
    <w:rsid w:val="003723F9"/>
    <w:rsid w:val="003730B3"/>
    <w:rsid w:val="00373772"/>
    <w:rsid w:val="00373D5D"/>
    <w:rsid w:val="003743C1"/>
    <w:rsid w:val="0037445C"/>
    <w:rsid w:val="003751DA"/>
    <w:rsid w:val="00376EF6"/>
    <w:rsid w:val="00377582"/>
    <w:rsid w:val="003779C5"/>
    <w:rsid w:val="00380C34"/>
    <w:rsid w:val="003820AA"/>
    <w:rsid w:val="00383C89"/>
    <w:rsid w:val="003856E3"/>
    <w:rsid w:val="00387546"/>
    <w:rsid w:val="00390A1B"/>
    <w:rsid w:val="00390A25"/>
    <w:rsid w:val="00390C77"/>
    <w:rsid w:val="00390D90"/>
    <w:rsid w:val="00391438"/>
    <w:rsid w:val="00392317"/>
    <w:rsid w:val="0039254F"/>
    <w:rsid w:val="00392DDB"/>
    <w:rsid w:val="00393CE7"/>
    <w:rsid w:val="00394B18"/>
    <w:rsid w:val="00394BB4"/>
    <w:rsid w:val="00394C3F"/>
    <w:rsid w:val="00394D60"/>
    <w:rsid w:val="00396729"/>
    <w:rsid w:val="00396AEB"/>
    <w:rsid w:val="003A0C50"/>
    <w:rsid w:val="003A1499"/>
    <w:rsid w:val="003A2520"/>
    <w:rsid w:val="003A2760"/>
    <w:rsid w:val="003A34E2"/>
    <w:rsid w:val="003A429E"/>
    <w:rsid w:val="003A42E0"/>
    <w:rsid w:val="003A4D6B"/>
    <w:rsid w:val="003A6414"/>
    <w:rsid w:val="003A6496"/>
    <w:rsid w:val="003A72A6"/>
    <w:rsid w:val="003A7860"/>
    <w:rsid w:val="003B1284"/>
    <w:rsid w:val="003B15DB"/>
    <w:rsid w:val="003B176C"/>
    <w:rsid w:val="003B1DCC"/>
    <w:rsid w:val="003B1ECF"/>
    <w:rsid w:val="003B28F7"/>
    <w:rsid w:val="003B2A1F"/>
    <w:rsid w:val="003B3E5E"/>
    <w:rsid w:val="003B44AD"/>
    <w:rsid w:val="003B4F29"/>
    <w:rsid w:val="003B4FB7"/>
    <w:rsid w:val="003B60C5"/>
    <w:rsid w:val="003B6D8D"/>
    <w:rsid w:val="003B793F"/>
    <w:rsid w:val="003B7E57"/>
    <w:rsid w:val="003C0679"/>
    <w:rsid w:val="003C11AC"/>
    <w:rsid w:val="003C13E5"/>
    <w:rsid w:val="003C214A"/>
    <w:rsid w:val="003C262B"/>
    <w:rsid w:val="003C2A56"/>
    <w:rsid w:val="003C2A7D"/>
    <w:rsid w:val="003C2FDC"/>
    <w:rsid w:val="003C34A5"/>
    <w:rsid w:val="003C3A94"/>
    <w:rsid w:val="003C3A9C"/>
    <w:rsid w:val="003C3B71"/>
    <w:rsid w:val="003C5115"/>
    <w:rsid w:val="003C5427"/>
    <w:rsid w:val="003D2839"/>
    <w:rsid w:val="003D2D6F"/>
    <w:rsid w:val="003D34E4"/>
    <w:rsid w:val="003D3781"/>
    <w:rsid w:val="003D429E"/>
    <w:rsid w:val="003D6856"/>
    <w:rsid w:val="003D7043"/>
    <w:rsid w:val="003D74D5"/>
    <w:rsid w:val="003D76EE"/>
    <w:rsid w:val="003E2BED"/>
    <w:rsid w:val="003E2C80"/>
    <w:rsid w:val="003E2F27"/>
    <w:rsid w:val="003E3280"/>
    <w:rsid w:val="003E3519"/>
    <w:rsid w:val="003E36C1"/>
    <w:rsid w:val="003E3C41"/>
    <w:rsid w:val="003E54E8"/>
    <w:rsid w:val="003E5A77"/>
    <w:rsid w:val="003E604F"/>
    <w:rsid w:val="003E6126"/>
    <w:rsid w:val="003E645B"/>
    <w:rsid w:val="003E683C"/>
    <w:rsid w:val="003E69F7"/>
    <w:rsid w:val="003E6A3A"/>
    <w:rsid w:val="003E79DC"/>
    <w:rsid w:val="003E7F77"/>
    <w:rsid w:val="003F2A0F"/>
    <w:rsid w:val="003F4D51"/>
    <w:rsid w:val="003F5A34"/>
    <w:rsid w:val="003F5D30"/>
    <w:rsid w:val="003F5E0A"/>
    <w:rsid w:val="003F6136"/>
    <w:rsid w:val="003F62BD"/>
    <w:rsid w:val="003F7791"/>
    <w:rsid w:val="003F7C22"/>
    <w:rsid w:val="004007D8"/>
    <w:rsid w:val="00400AF3"/>
    <w:rsid w:val="00401651"/>
    <w:rsid w:val="00401993"/>
    <w:rsid w:val="00401F30"/>
    <w:rsid w:val="004036FA"/>
    <w:rsid w:val="00404166"/>
    <w:rsid w:val="0040547A"/>
    <w:rsid w:val="004054AB"/>
    <w:rsid w:val="0040584B"/>
    <w:rsid w:val="00407850"/>
    <w:rsid w:val="0040787D"/>
    <w:rsid w:val="0041095A"/>
    <w:rsid w:val="0041117D"/>
    <w:rsid w:val="00412301"/>
    <w:rsid w:val="004136ED"/>
    <w:rsid w:val="004141F0"/>
    <w:rsid w:val="0041434E"/>
    <w:rsid w:val="00414BBC"/>
    <w:rsid w:val="0041556F"/>
    <w:rsid w:val="00415592"/>
    <w:rsid w:val="0041632F"/>
    <w:rsid w:val="0041677A"/>
    <w:rsid w:val="0041698A"/>
    <w:rsid w:val="00416CD0"/>
    <w:rsid w:val="0041710B"/>
    <w:rsid w:val="004175C3"/>
    <w:rsid w:val="0041761D"/>
    <w:rsid w:val="004202FC"/>
    <w:rsid w:val="00420308"/>
    <w:rsid w:val="00420823"/>
    <w:rsid w:val="00421DBC"/>
    <w:rsid w:val="004225BE"/>
    <w:rsid w:val="00422630"/>
    <w:rsid w:val="004231EA"/>
    <w:rsid w:val="00423C60"/>
    <w:rsid w:val="00424357"/>
    <w:rsid w:val="0042476B"/>
    <w:rsid w:val="0042498E"/>
    <w:rsid w:val="00425052"/>
    <w:rsid w:val="004256DE"/>
    <w:rsid w:val="00425B42"/>
    <w:rsid w:val="00425D71"/>
    <w:rsid w:val="00426589"/>
    <w:rsid w:val="004268E2"/>
    <w:rsid w:val="004302F6"/>
    <w:rsid w:val="00430BAF"/>
    <w:rsid w:val="00430D69"/>
    <w:rsid w:val="0043115C"/>
    <w:rsid w:val="00432564"/>
    <w:rsid w:val="00433106"/>
    <w:rsid w:val="00433EE3"/>
    <w:rsid w:val="00434366"/>
    <w:rsid w:val="0043504D"/>
    <w:rsid w:val="0043587D"/>
    <w:rsid w:val="0043638D"/>
    <w:rsid w:val="00437785"/>
    <w:rsid w:val="00437AF6"/>
    <w:rsid w:val="00440390"/>
    <w:rsid w:val="0044199B"/>
    <w:rsid w:val="004422AA"/>
    <w:rsid w:val="004427CD"/>
    <w:rsid w:val="00442856"/>
    <w:rsid w:val="0044285D"/>
    <w:rsid w:val="004433C9"/>
    <w:rsid w:val="00443B6C"/>
    <w:rsid w:val="00443BDC"/>
    <w:rsid w:val="00443CBA"/>
    <w:rsid w:val="0044524B"/>
    <w:rsid w:val="00446404"/>
    <w:rsid w:val="004466FB"/>
    <w:rsid w:val="00446AB4"/>
    <w:rsid w:val="00446BDB"/>
    <w:rsid w:val="00446D21"/>
    <w:rsid w:val="0044702D"/>
    <w:rsid w:val="004470A9"/>
    <w:rsid w:val="00447D90"/>
    <w:rsid w:val="0045046E"/>
    <w:rsid w:val="00450C0D"/>
    <w:rsid w:val="004510C3"/>
    <w:rsid w:val="0045148E"/>
    <w:rsid w:val="00451997"/>
    <w:rsid w:val="004535B1"/>
    <w:rsid w:val="00453AD5"/>
    <w:rsid w:val="004543A2"/>
    <w:rsid w:val="00454997"/>
    <w:rsid w:val="00455CC6"/>
    <w:rsid w:val="00455DA6"/>
    <w:rsid w:val="00456A10"/>
    <w:rsid w:val="004577C8"/>
    <w:rsid w:val="004613E5"/>
    <w:rsid w:val="00461583"/>
    <w:rsid w:val="0046175F"/>
    <w:rsid w:val="004619B1"/>
    <w:rsid w:val="004620D4"/>
    <w:rsid w:val="00462DB8"/>
    <w:rsid w:val="0046599A"/>
    <w:rsid w:val="00466DBE"/>
    <w:rsid w:val="00466F64"/>
    <w:rsid w:val="00467465"/>
    <w:rsid w:val="00467565"/>
    <w:rsid w:val="00467657"/>
    <w:rsid w:val="00467B54"/>
    <w:rsid w:val="00470046"/>
    <w:rsid w:val="0047027A"/>
    <w:rsid w:val="004703D3"/>
    <w:rsid w:val="00470DE8"/>
    <w:rsid w:val="00471847"/>
    <w:rsid w:val="0047200D"/>
    <w:rsid w:val="00472109"/>
    <w:rsid w:val="004721AE"/>
    <w:rsid w:val="0047618D"/>
    <w:rsid w:val="004778A0"/>
    <w:rsid w:val="0048015F"/>
    <w:rsid w:val="00480673"/>
    <w:rsid w:val="00481FB3"/>
    <w:rsid w:val="004825B7"/>
    <w:rsid w:val="00482D68"/>
    <w:rsid w:val="00482DB2"/>
    <w:rsid w:val="00483D81"/>
    <w:rsid w:val="00485098"/>
    <w:rsid w:val="004850DC"/>
    <w:rsid w:val="004852CF"/>
    <w:rsid w:val="00487B23"/>
    <w:rsid w:val="00491BCF"/>
    <w:rsid w:val="0049336A"/>
    <w:rsid w:val="00493AAD"/>
    <w:rsid w:val="00494347"/>
    <w:rsid w:val="0049460B"/>
    <w:rsid w:val="004957AF"/>
    <w:rsid w:val="00495BFD"/>
    <w:rsid w:val="00496B91"/>
    <w:rsid w:val="00497430"/>
    <w:rsid w:val="0049794C"/>
    <w:rsid w:val="004A0006"/>
    <w:rsid w:val="004A14E0"/>
    <w:rsid w:val="004A1719"/>
    <w:rsid w:val="004A2DFC"/>
    <w:rsid w:val="004A3417"/>
    <w:rsid w:val="004A46D4"/>
    <w:rsid w:val="004A4AFA"/>
    <w:rsid w:val="004A4F10"/>
    <w:rsid w:val="004A52DC"/>
    <w:rsid w:val="004A56E1"/>
    <w:rsid w:val="004A65BD"/>
    <w:rsid w:val="004A71C1"/>
    <w:rsid w:val="004A7434"/>
    <w:rsid w:val="004A7E80"/>
    <w:rsid w:val="004B0474"/>
    <w:rsid w:val="004B0BF2"/>
    <w:rsid w:val="004B1D06"/>
    <w:rsid w:val="004B2168"/>
    <w:rsid w:val="004B2E50"/>
    <w:rsid w:val="004B325F"/>
    <w:rsid w:val="004B5257"/>
    <w:rsid w:val="004B5492"/>
    <w:rsid w:val="004B55D7"/>
    <w:rsid w:val="004B5967"/>
    <w:rsid w:val="004B5F47"/>
    <w:rsid w:val="004B6747"/>
    <w:rsid w:val="004B76CD"/>
    <w:rsid w:val="004B7C50"/>
    <w:rsid w:val="004C19AB"/>
    <w:rsid w:val="004C2350"/>
    <w:rsid w:val="004C4044"/>
    <w:rsid w:val="004C470B"/>
    <w:rsid w:val="004C50BF"/>
    <w:rsid w:val="004C52A2"/>
    <w:rsid w:val="004C5767"/>
    <w:rsid w:val="004C5951"/>
    <w:rsid w:val="004C5A30"/>
    <w:rsid w:val="004C629A"/>
    <w:rsid w:val="004D045C"/>
    <w:rsid w:val="004D0CB7"/>
    <w:rsid w:val="004D252A"/>
    <w:rsid w:val="004D3D1D"/>
    <w:rsid w:val="004D3D48"/>
    <w:rsid w:val="004D41E5"/>
    <w:rsid w:val="004D440F"/>
    <w:rsid w:val="004D5320"/>
    <w:rsid w:val="004D5825"/>
    <w:rsid w:val="004D5CB0"/>
    <w:rsid w:val="004D5E20"/>
    <w:rsid w:val="004D6E02"/>
    <w:rsid w:val="004D6EC7"/>
    <w:rsid w:val="004D7A65"/>
    <w:rsid w:val="004E0FAD"/>
    <w:rsid w:val="004E10C2"/>
    <w:rsid w:val="004E19C9"/>
    <w:rsid w:val="004E3410"/>
    <w:rsid w:val="004E380E"/>
    <w:rsid w:val="004E38E8"/>
    <w:rsid w:val="004E404C"/>
    <w:rsid w:val="004E4EAA"/>
    <w:rsid w:val="004E5177"/>
    <w:rsid w:val="004E548A"/>
    <w:rsid w:val="004E5724"/>
    <w:rsid w:val="004E7677"/>
    <w:rsid w:val="004F1232"/>
    <w:rsid w:val="004F175E"/>
    <w:rsid w:val="004F185F"/>
    <w:rsid w:val="004F3353"/>
    <w:rsid w:val="004F35F0"/>
    <w:rsid w:val="004F3C1B"/>
    <w:rsid w:val="004F45C0"/>
    <w:rsid w:val="004F4824"/>
    <w:rsid w:val="004F5449"/>
    <w:rsid w:val="004F56DF"/>
    <w:rsid w:val="004F6446"/>
    <w:rsid w:val="004F7C23"/>
    <w:rsid w:val="004F7D63"/>
    <w:rsid w:val="005003AC"/>
    <w:rsid w:val="00500783"/>
    <w:rsid w:val="00500796"/>
    <w:rsid w:val="005008CD"/>
    <w:rsid w:val="00501579"/>
    <w:rsid w:val="0050165B"/>
    <w:rsid w:val="0050260F"/>
    <w:rsid w:val="005026DF"/>
    <w:rsid w:val="005042C7"/>
    <w:rsid w:val="005050E4"/>
    <w:rsid w:val="00505437"/>
    <w:rsid w:val="00505F2B"/>
    <w:rsid w:val="00506B12"/>
    <w:rsid w:val="00507026"/>
    <w:rsid w:val="00507662"/>
    <w:rsid w:val="00507CB4"/>
    <w:rsid w:val="00507DFB"/>
    <w:rsid w:val="00510ABA"/>
    <w:rsid w:val="005111B4"/>
    <w:rsid w:val="005118C9"/>
    <w:rsid w:val="00512BB4"/>
    <w:rsid w:val="00512CCD"/>
    <w:rsid w:val="0051409A"/>
    <w:rsid w:val="00514BD2"/>
    <w:rsid w:val="00514ED0"/>
    <w:rsid w:val="005156B2"/>
    <w:rsid w:val="0051633A"/>
    <w:rsid w:val="00516F7A"/>
    <w:rsid w:val="00517E1B"/>
    <w:rsid w:val="00520CFA"/>
    <w:rsid w:val="005219E0"/>
    <w:rsid w:val="0052237E"/>
    <w:rsid w:val="005223FE"/>
    <w:rsid w:val="00522EC1"/>
    <w:rsid w:val="00526E06"/>
    <w:rsid w:val="00527FCE"/>
    <w:rsid w:val="00531F44"/>
    <w:rsid w:val="00532602"/>
    <w:rsid w:val="00532BDC"/>
    <w:rsid w:val="00532E24"/>
    <w:rsid w:val="0053375C"/>
    <w:rsid w:val="00533771"/>
    <w:rsid w:val="00533ED5"/>
    <w:rsid w:val="00534B3D"/>
    <w:rsid w:val="005366DA"/>
    <w:rsid w:val="005372FC"/>
    <w:rsid w:val="0053739E"/>
    <w:rsid w:val="00540EA9"/>
    <w:rsid w:val="0054149E"/>
    <w:rsid w:val="00541557"/>
    <w:rsid w:val="00541FEF"/>
    <w:rsid w:val="005428D6"/>
    <w:rsid w:val="00543779"/>
    <w:rsid w:val="00543E30"/>
    <w:rsid w:val="00544779"/>
    <w:rsid w:val="00544E7B"/>
    <w:rsid w:val="00545811"/>
    <w:rsid w:val="00545DAA"/>
    <w:rsid w:val="0054618D"/>
    <w:rsid w:val="00547575"/>
    <w:rsid w:val="00547580"/>
    <w:rsid w:val="005501C7"/>
    <w:rsid w:val="005506D7"/>
    <w:rsid w:val="00551739"/>
    <w:rsid w:val="00551A63"/>
    <w:rsid w:val="00553EE5"/>
    <w:rsid w:val="00554926"/>
    <w:rsid w:val="00554F14"/>
    <w:rsid w:val="00555A23"/>
    <w:rsid w:val="00555BA4"/>
    <w:rsid w:val="00555D9F"/>
    <w:rsid w:val="00556577"/>
    <w:rsid w:val="00556D5C"/>
    <w:rsid w:val="00557416"/>
    <w:rsid w:val="00557DEF"/>
    <w:rsid w:val="0056016D"/>
    <w:rsid w:val="00560296"/>
    <w:rsid w:val="005609AE"/>
    <w:rsid w:val="00561D05"/>
    <w:rsid w:val="0056366D"/>
    <w:rsid w:val="00563A33"/>
    <w:rsid w:val="005646FC"/>
    <w:rsid w:val="00565787"/>
    <w:rsid w:val="0056732C"/>
    <w:rsid w:val="00567564"/>
    <w:rsid w:val="00567BEB"/>
    <w:rsid w:val="00567D55"/>
    <w:rsid w:val="005707B1"/>
    <w:rsid w:val="00570862"/>
    <w:rsid w:val="00571309"/>
    <w:rsid w:val="00571467"/>
    <w:rsid w:val="00571D09"/>
    <w:rsid w:val="005720DF"/>
    <w:rsid w:val="005727AA"/>
    <w:rsid w:val="005727B9"/>
    <w:rsid w:val="00580743"/>
    <w:rsid w:val="00581BA3"/>
    <w:rsid w:val="00582669"/>
    <w:rsid w:val="00582CB4"/>
    <w:rsid w:val="0058391F"/>
    <w:rsid w:val="00583E81"/>
    <w:rsid w:val="0058446B"/>
    <w:rsid w:val="005874F2"/>
    <w:rsid w:val="00587AED"/>
    <w:rsid w:val="00587C37"/>
    <w:rsid w:val="00590A04"/>
    <w:rsid w:val="00590FBF"/>
    <w:rsid w:val="005930A8"/>
    <w:rsid w:val="00593622"/>
    <w:rsid w:val="00593B75"/>
    <w:rsid w:val="00593BEC"/>
    <w:rsid w:val="00594716"/>
    <w:rsid w:val="00594FC2"/>
    <w:rsid w:val="00595688"/>
    <w:rsid w:val="005968F2"/>
    <w:rsid w:val="00596B20"/>
    <w:rsid w:val="00596D97"/>
    <w:rsid w:val="00597157"/>
    <w:rsid w:val="00597726"/>
    <w:rsid w:val="00597A32"/>
    <w:rsid w:val="00597C7A"/>
    <w:rsid w:val="005A03A8"/>
    <w:rsid w:val="005A0B5E"/>
    <w:rsid w:val="005A0D09"/>
    <w:rsid w:val="005A10C6"/>
    <w:rsid w:val="005A32B3"/>
    <w:rsid w:val="005A3476"/>
    <w:rsid w:val="005A4D74"/>
    <w:rsid w:val="005A4F27"/>
    <w:rsid w:val="005A518F"/>
    <w:rsid w:val="005A56A9"/>
    <w:rsid w:val="005A60DE"/>
    <w:rsid w:val="005A613A"/>
    <w:rsid w:val="005A76BC"/>
    <w:rsid w:val="005A7BE0"/>
    <w:rsid w:val="005B0213"/>
    <w:rsid w:val="005B1347"/>
    <w:rsid w:val="005B2E06"/>
    <w:rsid w:val="005B3430"/>
    <w:rsid w:val="005B5623"/>
    <w:rsid w:val="005B5719"/>
    <w:rsid w:val="005B6F76"/>
    <w:rsid w:val="005B7BAF"/>
    <w:rsid w:val="005C0FD9"/>
    <w:rsid w:val="005C2591"/>
    <w:rsid w:val="005C2D44"/>
    <w:rsid w:val="005C2FBE"/>
    <w:rsid w:val="005C35DF"/>
    <w:rsid w:val="005C3D30"/>
    <w:rsid w:val="005C4D99"/>
    <w:rsid w:val="005C4F63"/>
    <w:rsid w:val="005C53CC"/>
    <w:rsid w:val="005C57FA"/>
    <w:rsid w:val="005C6749"/>
    <w:rsid w:val="005C71D6"/>
    <w:rsid w:val="005C7792"/>
    <w:rsid w:val="005C7C68"/>
    <w:rsid w:val="005C7E4F"/>
    <w:rsid w:val="005C7FE1"/>
    <w:rsid w:val="005D0420"/>
    <w:rsid w:val="005D09C5"/>
    <w:rsid w:val="005D0DEA"/>
    <w:rsid w:val="005D0F08"/>
    <w:rsid w:val="005D106F"/>
    <w:rsid w:val="005D1671"/>
    <w:rsid w:val="005D174E"/>
    <w:rsid w:val="005D1A7D"/>
    <w:rsid w:val="005D2780"/>
    <w:rsid w:val="005D2963"/>
    <w:rsid w:val="005D2D2C"/>
    <w:rsid w:val="005D3E69"/>
    <w:rsid w:val="005D4F3F"/>
    <w:rsid w:val="005D568E"/>
    <w:rsid w:val="005D5857"/>
    <w:rsid w:val="005D6305"/>
    <w:rsid w:val="005D6363"/>
    <w:rsid w:val="005D681B"/>
    <w:rsid w:val="005E07B2"/>
    <w:rsid w:val="005E0DEB"/>
    <w:rsid w:val="005E0F4A"/>
    <w:rsid w:val="005E0F76"/>
    <w:rsid w:val="005E2568"/>
    <w:rsid w:val="005E2DDD"/>
    <w:rsid w:val="005E3A1F"/>
    <w:rsid w:val="005E3D55"/>
    <w:rsid w:val="005E4387"/>
    <w:rsid w:val="005E6291"/>
    <w:rsid w:val="005E736B"/>
    <w:rsid w:val="005E763E"/>
    <w:rsid w:val="005E7EFD"/>
    <w:rsid w:val="005E7FA3"/>
    <w:rsid w:val="005E7FEF"/>
    <w:rsid w:val="005F0177"/>
    <w:rsid w:val="005F0465"/>
    <w:rsid w:val="005F066E"/>
    <w:rsid w:val="005F106F"/>
    <w:rsid w:val="005F117F"/>
    <w:rsid w:val="005F1269"/>
    <w:rsid w:val="005F2017"/>
    <w:rsid w:val="005F2113"/>
    <w:rsid w:val="005F3175"/>
    <w:rsid w:val="005F34F8"/>
    <w:rsid w:val="005F4056"/>
    <w:rsid w:val="005F449C"/>
    <w:rsid w:val="005F49D9"/>
    <w:rsid w:val="005F4F77"/>
    <w:rsid w:val="005F5478"/>
    <w:rsid w:val="005F54C0"/>
    <w:rsid w:val="005F55EB"/>
    <w:rsid w:val="005F67F4"/>
    <w:rsid w:val="005F6EAD"/>
    <w:rsid w:val="005F7284"/>
    <w:rsid w:val="005F7749"/>
    <w:rsid w:val="005F79B8"/>
    <w:rsid w:val="006010B5"/>
    <w:rsid w:val="00601195"/>
    <w:rsid w:val="00602805"/>
    <w:rsid w:val="00602E3A"/>
    <w:rsid w:val="00602F0D"/>
    <w:rsid w:val="0060344B"/>
    <w:rsid w:val="0060345B"/>
    <w:rsid w:val="006043CA"/>
    <w:rsid w:val="006058DA"/>
    <w:rsid w:val="00610319"/>
    <w:rsid w:val="00611547"/>
    <w:rsid w:val="00611727"/>
    <w:rsid w:val="00611886"/>
    <w:rsid w:val="00611910"/>
    <w:rsid w:val="0061226C"/>
    <w:rsid w:val="006132BF"/>
    <w:rsid w:val="0061348F"/>
    <w:rsid w:val="006134CB"/>
    <w:rsid w:val="00613B76"/>
    <w:rsid w:val="0061434A"/>
    <w:rsid w:val="00614AE0"/>
    <w:rsid w:val="006162B1"/>
    <w:rsid w:val="00616935"/>
    <w:rsid w:val="00617B33"/>
    <w:rsid w:val="006200EF"/>
    <w:rsid w:val="00621A01"/>
    <w:rsid w:val="00622085"/>
    <w:rsid w:val="0062287A"/>
    <w:rsid w:val="0062394B"/>
    <w:rsid w:val="0062419E"/>
    <w:rsid w:val="00624C2B"/>
    <w:rsid w:val="00627B94"/>
    <w:rsid w:val="00631608"/>
    <w:rsid w:val="0063305B"/>
    <w:rsid w:val="00633379"/>
    <w:rsid w:val="00635060"/>
    <w:rsid w:val="00635824"/>
    <w:rsid w:val="006363A7"/>
    <w:rsid w:val="00636E2D"/>
    <w:rsid w:val="00636E8A"/>
    <w:rsid w:val="0063780F"/>
    <w:rsid w:val="00637EE5"/>
    <w:rsid w:val="006402C1"/>
    <w:rsid w:val="00640563"/>
    <w:rsid w:val="00642626"/>
    <w:rsid w:val="0064401F"/>
    <w:rsid w:val="006444C4"/>
    <w:rsid w:val="00644A5D"/>
    <w:rsid w:val="00644BF7"/>
    <w:rsid w:val="00644C24"/>
    <w:rsid w:val="00645152"/>
    <w:rsid w:val="00645E86"/>
    <w:rsid w:val="00645FC2"/>
    <w:rsid w:val="006475E0"/>
    <w:rsid w:val="00647ACA"/>
    <w:rsid w:val="00647C20"/>
    <w:rsid w:val="00647E8B"/>
    <w:rsid w:val="00650D5D"/>
    <w:rsid w:val="0065103D"/>
    <w:rsid w:val="0065324B"/>
    <w:rsid w:val="006534B9"/>
    <w:rsid w:val="0065370A"/>
    <w:rsid w:val="00655300"/>
    <w:rsid w:val="006565A6"/>
    <w:rsid w:val="00656772"/>
    <w:rsid w:val="00657D09"/>
    <w:rsid w:val="00660B57"/>
    <w:rsid w:val="00660D74"/>
    <w:rsid w:val="00661376"/>
    <w:rsid w:val="006619A9"/>
    <w:rsid w:val="00661B25"/>
    <w:rsid w:val="00662A9C"/>
    <w:rsid w:val="00662AF7"/>
    <w:rsid w:val="00662BB9"/>
    <w:rsid w:val="00662E0A"/>
    <w:rsid w:val="0066355F"/>
    <w:rsid w:val="00663FC4"/>
    <w:rsid w:val="00664286"/>
    <w:rsid w:val="0066582B"/>
    <w:rsid w:val="0066587B"/>
    <w:rsid w:val="006662DB"/>
    <w:rsid w:val="00666FE1"/>
    <w:rsid w:val="0066743B"/>
    <w:rsid w:val="00667AB8"/>
    <w:rsid w:val="00667BB8"/>
    <w:rsid w:val="0067037C"/>
    <w:rsid w:val="00671DE7"/>
    <w:rsid w:val="006728BA"/>
    <w:rsid w:val="006729D8"/>
    <w:rsid w:val="00672E15"/>
    <w:rsid w:val="0067329C"/>
    <w:rsid w:val="0067619D"/>
    <w:rsid w:val="006762A4"/>
    <w:rsid w:val="006777EC"/>
    <w:rsid w:val="00680AEF"/>
    <w:rsid w:val="006817BA"/>
    <w:rsid w:val="00682CC6"/>
    <w:rsid w:val="00682D62"/>
    <w:rsid w:val="0068394A"/>
    <w:rsid w:val="00683ED5"/>
    <w:rsid w:val="0068412F"/>
    <w:rsid w:val="00685473"/>
    <w:rsid w:val="006865F2"/>
    <w:rsid w:val="00686641"/>
    <w:rsid w:val="00686B01"/>
    <w:rsid w:val="00687AEE"/>
    <w:rsid w:val="00690561"/>
    <w:rsid w:val="0069153E"/>
    <w:rsid w:val="006916F5"/>
    <w:rsid w:val="00693B1E"/>
    <w:rsid w:val="00693FBD"/>
    <w:rsid w:val="006969D4"/>
    <w:rsid w:val="00696B8E"/>
    <w:rsid w:val="00697BAC"/>
    <w:rsid w:val="006A048D"/>
    <w:rsid w:val="006A1D0D"/>
    <w:rsid w:val="006A45EB"/>
    <w:rsid w:val="006A46B0"/>
    <w:rsid w:val="006A51BE"/>
    <w:rsid w:val="006A5201"/>
    <w:rsid w:val="006A60B7"/>
    <w:rsid w:val="006A6AA6"/>
    <w:rsid w:val="006A6F83"/>
    <w:rsid w:val="006A7043"/>
    <w:rsid w:val="006A7875"/>
    <w:rsid w:val="006B0298"/>
    <w:rsid w:val="006B12A6"/>
    <w:rsid w:val="006B1DCA"/>
    <w:rsid w:val="006B244C"/>
    <w:rsid w:val="006B25BF"/>
    <w:rsid w:val="006B2B23"/>
    <w:rsid w:val="006B2E09"/>
    <w:rsid w:val="006B31DE"/>
    <w:rsid w:val="006B3685"/>
    <w:rsid w:val="006B5C36"/>
    <w:rsid w:val="006B7B78"/>
    <w:rsid w:val="006B7CC3"/>
    <w:rsid w:val="006C01F5"/>
    <w:rsid w:val="006C095D"/>
    <w:rsid w:val="006C2825"/>
    <w:rsid w:val="006C3DF3"/>
    <w:rsid w:val="006C4EB7"/>
    <w:rsid w:val="006C6130"/>
    <w:rsid w:val="006C6C41"/>
    <w:rsid w:val="006C7E44"/>
    <w:rsid w:val="006D098B"/>
    <w:rsid w:val="006D0A8B"/>
    <w:rsid w:val="006D0D09"/>
    <w:rsid w:val="006D1133"/>
    <w:rsid w:val="006D36E1"/>
    <w:rsid w:val="006D3994"/>
    <w:rsid w:val="006D41C2"/>
    <w:rsid w:val="006D4306"/>
    <w:rsid w:val="006D5D2F"/>
    <w:rsid w:val="006D5DEB"/>
    <w:rsid w:val="006D62B8"/>
    <w:rsid w:val="006D754B"/>
    <w:rsid w:val="006E02F0"/>
    <w:rsid w:val="006E1020"/>
    <w:rsid w:val="006E1957"/>
    <w:rsid w:val="006E2245"/>
    <w:rsid w:val="006E45C2"/>
    <w:rsid w:val="006E560C"/>
    <w:rsid w:val="006E5621"/>
    <w:rsid w:val="006E717D"/>
    <w:rsid w:val="006E7A2B"/>
    <w:rsid w:val="006F055E"/>
    <w:rsid w:val="006F081C"/>
    <w:rsid w:val="006F0C52"/>
    <w:rsid w:val="006F0E78"/>
    <w:rsid w:val="006F180D"/>
    <w:rsid w:val="006F1CED"/>
    <w:rsid w:val="006F1DAF"/>
    <w:rsid w:val="006F2557"/>
    <w:rsid w:val="006F2A9B"/>
    <w:rsid w:val="006F3DDA"/>
    <w:rsid w:val="006F46F9"/>
    <w:rsid w:val="006F4863"/>
    <w:rsid w:val="006F5CD6"/>
    <w:rsid w:val="006F7C6C"/>
    <w:rsid w:val="006F7D0B"/>
    <w:rsid w:val="00700B10"/>
    <w:rsid w:val="00701299"/>
    <w:rsid w:val="00702F56"/>
    <w:rsid w:val="0070403F"/>
    <w:rsid w:val="00704417"/>
    <w:rsid w:val="007052B2"/>
    <w:rsid w:val="0070534B"/>
    <w:rsid w:val="00705D15"/>
    <w:rsid w:val="0070655F"/>
    <w:rsid w:val="007076AD"/>
    <w:rsid w:val="007100F2"/>
    <w:rsid w:val="00710DEB"/>
    <w:rsid w:val="00711D9C"/>
    <w:rsid w:val="00712155"/>
    <w:rsid w:val="007126C4"/>
    <w:rsid w:val="00712BDB"/>
    <w:rsid w:val="00713569"/>
    <w:rsid w:val="00715F37"/>
    <w:rsid w:val="007166B3"/>
    <w:rsid w:val="007167F9"/>
    <w:rsid w:val="00716879"/>
    <w:rsid w:val="00716A57"/>
    <w:rsid w:val="00716FBE"/>
    <w:rsid w:val="00720064"/>
    <w:rsid w:val="00720923"/>
    <w:rsid w:val="00720BE4"/>
    <w:rsid w:val="007211C5"/>
    <w:rsid w:val="00721211"/>
    <w:rsid w:val="00721EBC"/>
    <w:rsid w:val="00721F9E"/>
    <w:rsid w:val="0072325B"/>
    <w:rsid w:val="0072381D"/>
    <w:rsid w:val="007239D5"/>
    <w:rsid w:val="007241F4"/>
    <w:rsid w:val="0072450D"/>
    <w:rsid w:val="00725B24"/>
    <w:rsid w:val="00726676"/>
    <w:rsid w:val="00727F92"/>
    <w:rsid w:val="00730402"/>
    <w:rsid w:val="007304B6"/>
    <w:rsid w:val="00732078"/>
    <w:rsid w:val="00732E77"/>
    <w:rsid w:val="007333D0"/>
    <w:rsid w:val="00735699"/>
    <w:rsid w:val="0073602F"/>
    <w:rsid w:val="007363E7"/>
    <w:rsid w:val="00736C1A"/>
    <w:rsid w:val="00737E1F"/>
    <w:rsid w:val="007424A4"/>
    <w:rsid w:val="00742582"/>
    <w:rsid w:val="00742B37"/>
    <w:rsid w:val="00742DEB"/>
    <w:rsid w:val="0074421A"/>
    <w:rsid w:val="00745A95"/>
    <w:rsid w:val="00745F0A"/>
    <w:rsid w:val="007500E7"/>
    <w:rsid w:val="007507C1"/>
    <w:rsid w:val="007528AB"/>
    <w:rsid w:val="0075350B"/>
    <w:rsid w:val="00753764"/>
    <w:rsid w:val="00753FB9"/>
    <w:rsid w:val="00754479"/>
    <w:rsid w:val="00755E28"/>
    <w:rsid w:val="00755E3D"/>
    <w:rsid w:val="007566FF"/>
    <w:rsid w:val="00756DE0"/>
    <w:rsid w:val="00757AB7"/>
    <w:rsid w:val="00760678"/>
    <w:rsid w:val="00762040"/>
    <w:rsid w:val="007620E8"/>
    <w:rsid w:val="00762A93"/>
    <w:rsid w:val="00763EE7"/>
    <w:rsid w:val="00764722"/>
    <w:rsid w:val="00765294"/>
    <w:rsid w:val="007658C4"/>
    <w:rsid w:val="00765C55"/>
    <w:rsid w:val="00766747"/>
    <w:rsid w:val="00766B00"/>
    <w:rsid w:val="00767381"/>
    <w:rsid w:val="007700CA"/>
    <w:rsid w:val="00770184"/>
    <w:rsid w:val="007706B7"/>
    <w:rsid w:val="007711F7"/>
    <w:rsid w:val="0077372E"/>
    <w:rsid w:val="007745DA"/>
    <w:rsid w:val="00774A07"/>
    <w:rsid w:val="0077607A"/>
    <w:rsid w:val="00776DD2"/>
    <w:rsid w:val="00776FB2"/>
    <w:rsid w:val="00777451"/>
    <w:rsid w:val="00777468"/>
    <w:rsid w:val="00777D54"/>
    <w:rsid w:val="00780879"/>
    <w:rsid w:val="00780EA9"/>
    <w:rsid w:val="007819BE"/>
    <w:rsid w:val="00782128"/>
    <w:rsid w:val="00782639"/>
    <w:rsid w:val="007846A1"/>
    <w:rsid w:val="00784EB3"/>
    <w:rsid w:val="007858B4"/>
    <w:rsid w:val="00785BB2"/>
    <w:rsid w:val="00786769"/>
    <w:rsid w:val="00786CC3"/>
    <w:rsid w:val="00787876"/>
    <w:rsid w:val="00791C46"/>
    <w:rsid w:val="00792960"/>
    <w:rsid w:val="00792F72"/>
    <w:rsid w:val="007933E7"/>
    <w:rsid w:val="007936CE"/>
    <w:rsid w:val="00794808"/>
    <w:rsid w:val="00794C10"/>
    <w:rsid w:val="0079607F"/>
    <w:rsid w:val="00796263"/>
    <w:rsid w:val="00797859"/>
    <w:rsid w:val="00797C7D"/>
    <w:rsid w:val="00797F43"/>
    <w:rsid w:val="007A02E9"/>
    <w:rsid w:val="007A12D2"/>
    <w:rsid w:val="007A25D5"/>
    <w:rsid w:val="007A284B"/>
    <w:rsid w:val="007A362B"/>
    <w:rsid w:val="007A4854"/>
    <w:rsid w:val="007A5DCA"/>
    <w:rsid w:val="007A70BF"/>
    <w:rsid w:val="007A7245"/>
    <w:rsid w:val="007A7478"/>
    <w:rsid w:val="007A7640"/>
    <w:rsid w:val="007A7AB5"/>
    <w:rsid w:val="007B0A51"/>
    <w:rsid w:val="007B0A72"/>
    <w:rsid w:val="007B0A99"/>
    <w:rsid w:val="007B110C"/>
    <w:rsid w:val="007B130D"/>
    <w:rsid w:val="007B1D0F"/>
    <w:rsid w:val="007B29B8"/>
    <w:rsid w:val="007B2AC7"/>
    <w:rsid w:val="007B371D"/>
    <w:rsid w:val="007B5793"/>
    <w:rsid w:val="007B75AD"/>
    <w:rsid w:val="007C03D9"/>
    <w:rsid w:val="007C048A"/>
    <w:rsid w:val="007C0CE5"/>
    <w:rsid w:val="007C0F61"/>
    <w:rsid w:val="007C11CD"/>
    <w:rsid w:val="007C141A"/>
    <w:rsid w:val="007C1B12"/>
    <w:rsid w:val="007C1B32"/>
    <w:rsid w:val="007C2551"/>
    <w:rsid w:val="007C25C9"/>
    <w:rsid w:val="007C26F8"/>
    <w:rsid w:val="007C3F23"/>
    <w:rsid w:val="007C444E"/>
    <w:rsid w:val="007C4ACD"/>
    <w:rsid w:val="007C56F2"/>
    <w:rsid w:val="007C5A09"/>
    <w:rsid w:val="007C65ED"/>
    <w:rsid w:val="007C6B7C"/>
    <w:rsid w:val="007C72E8"/>
    <w:rsid w:val="007C7863"/>
    <w:rsid w:val="007D0503"/>
    <w:rsid w:val="007D0D85"/>
    <w:rsid w:val="007D12DB"/>
    <w:rsid w:val="007D1FDC"/>
    <w:rsid w:val="007D2EB0"/>
    <w:rsid w:val="007D3BB0"/>
    <w:rsid w:val="007D3CC6"/>
    <w:rsid w:val="007D4346"/>
    <w:rsid w:val="007D49C8"/>
    <w:rsid w:val="007D4D43"/>
    <w:rsid w:val="007D51C4"/>
    <w:rsid w:val="007D53A1"/>
    <w:rsid w:val="007D5B57"/>
    <w:rsid w:val="007D5D92"/>
    <w:rsid w:val="007D6260"/>
    <w:rsid w:val="007D6615"/>
    <w:rsid w:val="007E044A"/>
    <w:rsid w:val="007E167C"/>
    <w:rsid w:val="007E20CA"/>
    <w:rsid w:val="007E2395"/>
    <w:rsid w:val="007E28FF"/>
    <w:rsid w:val="007E2A71"/>
    <w:rsid w:val="007E2CBC"/>
    <w:rsid w:val="007E35FC"/>
    <w:rsid w:val="007E3A10"/>
    <w:rsid w:val="007E4A1C"/>
    <w:rsid w:val="007E51B1"/>
    <w:rsid w:val="007E546E"/>
    <w:rsid w:val="007E5B65"/>
    <w:rsid w:val="007E6F34"/>
    <w:rsid w:val="007E6FE6"/>
    <w:rsid w:val="007E7E3E"/>
    <w:rsid w:val="007E7FA9"/>
    <w:rsid w:val="007F032B"/>
    <w:rsid w:val="007F0658"/>
    <w:rsid w:val="007F07CE"/>
    <w:rsid w:val="007F0CAA"/>
    <w:rsid w:val="007F0D63"/>
    <w:rsid w:val="007F18A9"/>
    <w:rsid w:val="007F1C09"/>
    <w:rsid w:val="007F1C5D"/>
    <w:rsid w:val="007F2382"/>
    <w:rsid w:val="007F3C9E"/>
    <w:rsid w:val="007F3F45"/>
    <w:rsid w:val="007F4190"/>
    <w:rsid w:val="007F5254"/>
    <w:rsid w:val="007F57B8"/>
    <w:rsid w:val="007F587A"/>
    <w:rsid w:val="007F5FED"/>
    <w:rsid w:val="007F7404"/>
    <w:rsid w:val="007F7E90"/>
    <w:rsid w:val="008016FE"/>
    <w:rsid w:val="008022B7"/>
    <w:rsid w:val="0080304C"/>
    <w:rsid w:val="008037F4"/>
    <w:rsid w:val="00803815"/>
    <w:rsid w:val="008042DE"/>
    <w:rsid w:val="008045BE"/>
    <w:rsid w:val="00804E87"/>
    <w:rsid w:val="00804EBA"/>
    <w:rsid w:val="00807D6E"/>
    <w:rsid w:val="00810480"/>
    <w:rsid w:val="00810B49"/>
    <w:rsid w:val="0081123D"/>
    <w:rsid w:val="00811380"/>
    <w:rsid w:val="00812558"/>
    <w:rsid w:val="00813728"/>
    <w:rsid w:val="00814876"/>
    <w:rsid w:val="00814EFC"/>
    <w:rsid w:val="0081664C"/>
    <w:rsid w:val="008167BD"/>
    <w:rsid w:val="008170D7"/>
    <w:rsid w:val="008179A0"/>
    <w:rsid w:val="008200BF"/>
    <w:rsid w:val="008203D4"/>
    <w:rsid w:val="00820CD6"/>
    <w:rsid w:val="008219EA"/>
    <w:rsid w:val="00821D6B"/>
    <w:rsid w:val="008224AF"/>
    <w:rsid w:val="00822ACB"/>
    <w:rsid w:val="00822CAF"/>
    <w:rsid w:val="00823973"/>
    <w:rsid w:val="008243B1"/>
    <w:rsid w:val="008253CE"/>
    <w:rsid w:val="00825826"/>
    <w:rsid w:val="00825BC2"/>
    <w:rsid w:val="00826265"/>
    <w:rsid w:val="00826BA2"/>
    <w:rsid w:val="00827C38"/>
    <w:rsid w:val="0083123C"/>
    <w:rsid w:val="008314FE"/>
    <w:rsid w:val="00834D14"/>
    <w:rsid w:val="008350C0"/>
    <w:rsid w:val="0083642A"/>
    <w:rsid w:val="00836446"/>
    <w:rsid w:val="00837341"/>
    <w:rsid w:val="00837D2D"/>
    <w:rsid w:val="008416A8"/>
    <w:rsid w:val="00841961"/>
    <w:rsid w:val="00841B10"/>
    <w:rsid w:val="00842B67"/>
    <w:rsid w:val="00842F40"/>
    <w:rsid w:val="00843F1B"/>
    <w:rsid w:val="0084426B"/>
    <w:rsid w:val="008447B3"/>
    <w:rsid w:val="008453FB"/>
    <w:rsid w:val="00845579"/>
    <w:rsid w:val="008455D8"/>
    <w:rsid w:val="008459C8"/>
    <w:rsid w:val="0084639C"/>
    <w:rsid w:val="00846F77"/>
    <w:rsid w:val="00847C45"/>
    <w:rsid w:val="00847FBF"/>
    <w:rsid w:val="00850C70"/>
    <w:rsid w:val="00850D1C"/>
    <w:rsid w:val="00850F5E"/>
    <w:rsid w:val="0085115D"/>
    <w:rsid w:val="00853424"/>
    <w:rsid w:val="0085483C"/>
    <w:rsid w:val="00855384"/>
    <w:rsid w:val="0085580A"/>
    <w:rsid w:val="008566BF"/>
    <w:rsid w:val="008566CD"/>
    <w:rsid w:val="008568EA"/>
    <w:rsid w:val="00856D7B"/>
    <w:rsid w:val="00856F2D"/>
    <w:rsid w:val="00857864"/>
    <w:rsid w:val="00857CF0"/>
    <w:rsid w:val="008600B6"/>
    <w:rsid w:val="00860490"/>
    <w:rsid w:val="00861071"/>
    <w:rsid w:val="00861784"/>
    <w:rsid w:val="00861C23"/>
    <w:rsid w:val="00861E66"/>
    <w:rsid w:val="008628A8"/>
    <w:rsid w:val="00862F76"/>
    <w:rsid w:val="008635D4"/>
    <w:rsid w:val="00865085"/>
    <w:rsid w:val="00866561"/>
    <w:rsid w:val="008671AE"/>
    <w:rsid w:val="008676F3"/>
    <w:rsid w:val="00867CA7"/>
    <w:rsid w:val="00870829"/>
    <w:rsid w:val="00870F18"/>
    <w:rsid w:val="008715CE"/>
    <w:rsid w:val="00871AC7"/>
    <w:rsid w:val="00872252"/>
    <w:rsid w:val="008745E7"/>
    <w:rsid w:val="008756D0"/>
    <w:rsid w:val="0087640C"/>
    <w:rsid w:val="00877B73"/>
    <w:rsid w:val="00881D58"/>
    <w:rsid w:val="00882452"/>
    <w:rsid w:val="0088246A"/>
    <w:rsid w:val="00882C0C"/>
    <w:rsid w:val="00883CB7"/>
    <w:rsid w:val="00883F8D"/>
    <w:rsid w:val="008845D8"/>
    <w:rsid w:val="00884D44"/>
    <w:rsid w:val="00884E0D"/>
    <w:rsid w:val="00885E9E"/>
    <w:rsid w:val="00887009"/>
    <w:rsid w:val="00887F41"/>
    <w:rsid w:val="008900DE"/>
    <w:rsid w:val="00890B7C"/>
    <w:rsid w:val="00890B85"/>
    <w:rsid w:val="00890C6C"/>
    <w:rsid w:val="008910FC"/>
    <w:rsid w:val="008912E9"/>
    <w:rsid w:val="00891A6B"/>
    <w:rsid w:val="00892A7A"/>
    <w:rsid w:val="00893011"/>
    <w:rsid w:val="0089362E"/>
    <w:rsid w:val="0089411C"/>
    <w:rsid w:val="0089470B"/>
    <w:rsid w:val="00894CB7"/>
    <w:rsid w:val="00895299"/>
    <w:rsid w:val="008959FA"/>
    <w:rsid w:val="00895AF2"/>
    <w:rsid w:val="00895FA3"/>
    <w:rsid w:val="00896EB5"/>
    <w:rsid w:val="008972C1"/>
    <w:rsid w:val="00897538"/>
    <w:rsid w:val="00897591"/>
    <w:rsid w:val="008A0CD1"/>
    <w:rsid w:val="008A2E58"/>
    <w:rsid w:val="008A304B"/>
    <w:rsid w:val="008A40C7"/>
    <w:rsid w:val="008A4BC2"/>
    <w:rsid w:val="008A51C3"/>
    <w:rsid w:val="008A6EA8"/>
    <w:rsid w:val="008B1B63"/>
    <w:rsid w:val="008B1D2F"/>
    <w:rsid w:val="008B20F1"/>
    <w:rsid w:val="008B2747"/>
    <w:rsid w:val="008B2FD8"/>
    <w:rsid w:val="008B31DB"/>
    <w:rsid w:val="008B3720"/>
    <w:rsid w:val="008B402A"/>
    <w:rsid w:val="008B42E4"/>
    <w:rsid w:val="008B4BA8"/>
    <w:rsid w:val="008B4ED1"/>
    <w:rsid w:val="008B5438"/>
    <w:rsid w:val="008B605F"/>
    <w:rsid w:val="008B7248"/>
    <w:rsid w:val="008C0254"/>
    <w:rsid w:val="008C0950"/>
    <w:rsid w:val="008C0C09"/>
    <w:rsid w:val="008C19EB"/>
    <w:rsid w:val="008C1CE2"/>
    <w:rsid w:val="008C2312"/>
    <w:rsid w:val="008C270D"/>
    <w:rsid w:val="008C2852"/>
    <w:rsid w:val="008C2E5A"/>
    <w:rsid w:val="008C308F"/>
    <w:rsid w:val="008C3274"/>
    <w:rsid w:val="008C4C88"/>
    <w:rsid w:val="008C599F"/>
    <w:rsid w:val="008C5E75"/>
    <w:rsid w:val="008C6A3A"/>
    <w:rsid w:val="008C6B9F"/>
    <w:rsid w:val="008C7163"/>
    <w:rsid w:val="008D1590"/>
    <w:rsid w:val="008D1622"/>
    <w:rsid w:val="008D16E3"/>
    <w:rsid w:val="008D16FF"/>
    <w:rsid w:val="008D1BAE"/>
    <w:rsid w:val="008D2F56"/>
    <w:rsid w:val="008D4C16"/>
    <w:rsid w:val="008D4DFA"/>
    <w:rsid w:val="008D4E9E"/>
    <w:rsid w:val="008D60DA"/>
    <w:rsid w:val="008D7C11"/>
    <w:rsid w:val="008E04C0"/>
    <w:rsid w:val="008E0A3A"/>
    <w:rsid w:val="008E16AE"/>
    <w:rsid w:val="008E193D"/>
    <w:rsid w:val="008E26C4"/>
    <w:rsid w:val="008E2E54"/>
    <w:rsid w:val="008E3D9D"/>
    <w:rsid w:val="008E3F79"/>
    <w:rsid w:val="008E434C"/>
    <w:rsid w:val="008E465F"/>
    <w:rsid w:val="008E4983"/>
    <w:rsid w:val="008F010F"/>
    <w:rsid w:val="008F1389"/>
    <w:rsid w:val="008F2811"/>
    <w:rsid w:val="008F36FA"/>
    <w:rsid w:val="008F3BD7"/>
    <w:rsid w:val="008F3FFB"/>
    <w:rsid w:val="008F4870"/>
    <w:rsid w:val="008F4957"/>
    <w:rsid w:val="008F5C39"/>
    <w:rsid w:val="008F6013"/>
    <w:rsid w:val="008F63F2"/>
    <w:rsid w:val="008F6652"/>
    <w:rsid w:val="008F6910"/>
    <w:rsid w:val="008F6A4E"/>
    <w:rsid w:val="008F7BAC"/>
    <w:rsid w:val="008F7D63"/>
    <w:rsid w:val="0090002A"/>
    <w:rsid w:val="009005DB"/>
    <w:rsid w:val="0090072A"/>
    <w:rsid w:val="00901113"/>
    <w:rsid w:val="00901E72"/>
    <w:rsid w:val="009026AF"/>
    <w:rsid w:val="00902BC2"/>
    <w:rsid w:val="00903239"/>
    <w:rsid w:val="0090366F"/>
    <w:rsid w:val="00903AEE"/>
    <w:rsid w:val="00904141"/>
    <w:rsid w:val="00904188"/>
    <w:rsid w:val="00904A81"/>
    <w:rsid w:val="00904A96"/>
    <w:rsid w:val="00906DBA"/>
    <w:rsid w:val="00907E23"/>
    <w:rsid w:val="00907FB7"/>
    <w:rsid w:val="009100CE"/>
    <w:rsid w:val="009110EB"/>
    <w:rsid w:val="009112ED"/>
    <w:rsid w:val="00911839"/>
    <w:rsid w:val="00913150"/>
    <w:rsid w:val="00913928"/>
    <w:rsid w:val="00913BFE"/>
    <w:rsid w:val="00913E73"/>
    <w:rsid w:val="00914B5D"/>
    <w:rsid w:val="009152E9"/>
    <w:rsid w:val="00915BA2"/>
    <w:rsid w:val="00916BA0"/>
    <w:rsid w:val="00917723"/>
    <w:rsid w:val="00921417"/>
    <w:rsid w:val="009217CC"/>
    <w:rsid w:val="00921AB7"/>
    <w:rsid w:val="00921B39"/>
    <w:rsid w:val="009224CE"/>
    <w:rsid w:val="00923291"/>
    <w:rsid w:val="009236FE"/>
    <w:rsid w:val="0092386C"/>
    <w:rsid w:val="0092413A"/>
    <w:rsid w:val="00925869"/>
    <w:rsid w:val="00925AFE"/>
    <w:rsid w:val="00925BE6"/>
    <w:rsid w:val="00926290"/>
    <w:rsid w:val="00926C97"/>
    <w:rsid w:val="00927426"/>
    <w:rsid w:val="00927F1F"/>
    <w:rsid w:val="00931CDB"/>
    <w:rsid w:val="0093268F"/>
    <w:rsid w:val="0093269D"/>
    <w:rsid w:val="00932AAF"/>
    <w:rsid w:val="009330E7"/>
    <w:rsid w:val="00933A1A"/>
    <w:rsid w:val="0093442A"/>
    <w:rsid w:val="00934668"/>
    <w:rsid w:val="00936CD4"/>
    <w:rsid w:val="00936D04"/>
    <w:rsid w:val="00937835"/>
    <w:rsid w:val="00937D7A"/>
    <w:rsid w:val="00940035"/>
    <w:rsid w:val="009403D9"/>
    <w:rsid w:val="0094058C"/>
    <w:rsid w:val="00941674"/>
    <w:rsid w:val="0094208F"/>
    <w:rsid w:val="009420E7"/>
    <w:rsid w:val="0094222C"/>
    <w:rsid w:val="00942F41"/>
    <w:rsid w:val="00943012"/>
    <w:rsid w:val="0094429F"/>
    <w:rsid w:val="009443F6"/>
    <w:rsid w:val="009449B7"/>
    <w:rsid w:val="009451E2"/>
    <w:rsid w:val="009456B3"/>
    <w:rsid w:val="0094611B"/>
    <w:rsid w:val="00947982"/>
    <w:rsid w:val="009479D0"/>
    <w:rsid w:val="00950728"/>
    <w:rsid w:val="009508A5"/>
    <w:rsid w:val="009518E9"/>
    <w:rsid w:val="00951FA4"/>
    <w:rsid w:val="00952FD5"/>
    <w:rsid w:val="009535BB"/>
    <w:rsid w:val="009543B9"/>
    <w:rsid w:val="0095474C"/>
    <w:rsid w:val="00954CB7"/>
    <w:rsid w:val="009555B1"/>
    <w:rsid w:val="009556EB"/>
    <w:rsid w:val="00955EB6"/>
    <w:rsid w:val="00956907"/>
    <w:rsid w:val="009577F9"/>
    <w:rsid w:val="00960D8D"/>
    <w:rsid w:val="00960FE5"/>
    <w:rsid w:val="009624ED"/>
    <w:rsid w:val="009630CA"/>
    <w:rsid w:val="00964139"/>
    <w:rsid w:val="00964270"/>
    <w:rsid w:val="00964B7E"/>
    <w:rsid w:val="00964F12"/>
    <w:rsid w:val="0096571C"/>
    <w:rsid w:val="00965841"/>
    <w:rsid w:val="00965EA8"/>
    <w:rsid w:val="00965F08"/>
    <w:rsid w:val="00966146"/>
    <w:rsid w:val="0096634B"/>
    <w:rsid w:val="00966656"/>
    <w:rsid w:val="00966B56"/>
    <w:rsid w:val="00967852"/>
    <w:rsid w:val="00970221"/>
    <w:rsid w:val="00971B8D"/>
    <w:rsid w:val="00972B13"/>
    <w:rsid w:val="00972FFD"/>
    <w:rsid w:val="00973171"/>
    <w:rsid w:val="00973EAA"/>
    <w:rsid w:val="00974F78"/>
    <w:rsid w:val="00975877"/>
    <w:rsid w:val="00975E5B"/>
    <w:rsid w:val="00976664"/>
    <w:rsid w:val="009768A0"/>
    <w:rsid w:val="00980320"/>
    <w:rsid w:val="0098033A"/>
    <w:rsid w:val="00980A2F"/>
    <w:rsid w:val="00980B3E"/>
    <w:rsid w:val="00981360"/>
    <w:rsid w:val="00981588"/>
    <w:rsid w:val="00981938"/>
    <w:rsid w:val="00983575"/>
    <w:rsid w:val="00983DBE"/>
    <w:rsid w:val="00984846"/>
    <w:rsid w:val="00984C5E"/>
    <w:rsid w:val="00984DCA"/>
    <w:rsid w:val="0098706D"/>
    <w:rsid w:val="00990A37"/>
    <w:rsid w:val="00990BEE"/>
    <w:rsid w:val="009910C3"/>
    <w:rsid w:val="009914C1"/>
    <w:rsid w:val="00992ABC"/>
    <w:rsid w:val="00993B60"/>
    <w:rsid w:val="00993BB7"/>
    <w:rsid w:val="00993BF1"/>
    <w:rsid w:val="009946A5"/>
    <w:rsid w:val="00994C26"/>
    <w:rsid w:val="00995768"/>
    <w:rsid w:val="00995A57"/>
    <w:rsid w:val="0099728B"/>
    <w:rsid w:val="00997368"/>
    <w:rsid w:val="0099736E"/>
    <w:rsid w:val="009A012D"/>
    <w:rsid w:val="009A0883"/>
    <w:rsid w:val="009A11C7"/>
    <w:rsid w:val="009A22AB"/>
    <w:rsid w:val="009A3B7E"/>
    <w:rsid w:val="009A4D80"/>
    <w:rsid w:val="009A5A7F"/>
    <w:rsid w:val="009A7756"/>
    <w:rsid w:val="009A7A58"/>
    <w:rsid w:val="009B049F"/>
    <w:rsid w:val="009B06A3"/>
    <w:rsid w:val="009B09D2"/>
    <w:rsid w:val="009B10E0"/>
    <w:rsid w:val="009B1E19"/>
    <w:rsid w:val="009B26F5"/>
    <w:rsid w:val="009B2B65"/>
    <w:rsid w:val="009B4889"/>
    <w:rsid w:val="009B5DC9"/>
    <w:rsid w:val="009B66EC"/>
    <w:rsid w:val="009B6F67"/>
    <w:rsid w:val="009C05B5"/>
    <w:rsid w:val="009C081A"/>
    <w:rsid w:val="009C105E"/>
    <w:rsid w:val="009C11FC"/>
    <w:rsid w:val="009C2023"/>
    <w:rsid w:val="009C308E"/>
    <w:rsid w:val="009C3912"/>
    <w:rsid w:val="009C3FFF"/>
    <w:rsid w:val="009C50C3"/>
    <w:rsid w:val="009C534E"/>
    <w:rsid w:val="009C6B6C"/>
    <w:rsid w:val="009C6C7E"/>
    <w:rsid w:val="009C74F9"/>
    <w:rsid w:val="009C7575"/>
    <w:rsid w:val="009D1386"/>
    <w:rsid w:val="009D1873"/>
    <w:rsid w:val="009D2499"/>
    <w:rsid w:val="009D3CE4"/>
    <w:rsid w:val="009D3D81"/>
    <w:rsid w:val="009D4412"/>
    <w:rsid w:val="009D51F4"/>
    <w:rsid w:val="009D523D"/>
    <w:rsid w:val="009D5BE9"/>
    <w:rsid w:val="009D6AE7"/>
    <w:rsid w:val="009D6DCB"/>
    <w:rsid w:val="009D7E32"/>
    <w:rsid w:val="009E0DE4"/>
    <w:rsid w:val="009E1EC1"/>
    <w:rsid w:val="009E25B4"/>
    <w:rsid w:val="009E3847"/>
    <w:rsid w:val="009E47BF"/>
    <w:rsid w:val="009E5329"/>
    <w:rsid w:val="009E5BB5"/>
    <w:rsid w:val="009E5DB0"/>
    <w:rsid w:val="009E60BB"/>
    <w:rsid w:val="009E67C9"/>
    <w:rsid w:val="009E6DD0"/>
    <w:rsid w:val="009E7681"/>
    <w:rsid w:val="009F22A6"/>
    <w:rsid w:val="009F2449"/>
    <w:rsid w:val="009F250C"/>
    <w:rsid w:val="009F28AE"/>
    <w:rsid w:val="009F2A88"/>
    <w:rsid w:val="009F392E"/>
    <w:rsid w:val="009F397C"/>
    <w:rsid w:val="009F4C81"/>
    <w:rsid w:val="009F4DF3"/>
    <w:rsid w:val="009F5560"/>
    <w:rsid w:val="009F64A1"/>
    <w:rsid w:val="009F75B4"/>
    <w:rsid w:val="00A0043D"/>
    <w:rsid w:val="00A01A4F"/>
    <w:rsid w:val="00A0202F"/>
    <w:rsid w:val="00A025C5"/>
    <w:rsid w:val="00A02A84"/>
    <w:rsid w:val="00A03ABF"/>
    <w:rsid w:val="00A03FAE"/>
    <w:rsid w:val="00A043DD"/>
    <w:rsid w:val="00A044F0"/>
    <w:rsid w:val="00A046FB"/>
    <w:rsid w:val="00A04B8E"/>
    <w:rsid w:val="00A05707"/>
    <w:rsid w:val="00A0602D"/>
    <w:rsid w:val="00A06074"/>
    <w:rsid w:val="00A07775"/>
    <w:rsid w:val="00A07FAD"/>
    <w:rsid w:val="00A10497"/>
    <w:rsid w:val="00A114B5"/>
    <w:rsid w:val="00A119F3"/>
    <w:rsid w:val="00A11A7A"/>
    <w:rsid w:val="00A124B8"/>
    <w:rsid w:val="00A126A7"/>
    <w:rsid w:val="00A12A3D"/>
    <w:rsid w:val="00A13942"/>
    <w:rsid w:val="00A13BE5"/>
    <w:rsid w:val="00A14727"/>
    <w:rsid w:val="00A14FA6"/>
    <w:rsid w:val="00A15380"/>
    <w:rsid w:val="00A1554A"/>
    <w:rsid w:val="00A1659D"/>
    <w:rsid w:val="00A16DAD"/>
    <w:rsid w:val="00A171E0"/>
    <w:rsid w:val="00A17758"/>
    <w:rsid w:val="00A21279"/>
    <w:rsid w:val="00A219EC"/>
    <w:rsid w:val="00A238E8"/>
    <w:rsid w:val="00A257F0"/>
    <w:rsid w:val="00A27322"/>
    <w:rsid w:val="00A2758E"/>
    <w:rsid w:val="00A27866"/>
    <w:rsid w:val="00A27BA9"/>
    <w:rsid w:val="00A301B5"/>
    <w:rsid w:val="00A30208"/>
    <w:rsid w:val="00A30FBB"/>
    <w:rsid w:val="00A32458"/>
    <w:rsid w:val="00A32537"/>
    <w:rsid w:val="00A32EBF"/>
    <w:rsid w:val="00A33BC1"/>
    <w:rsid w:val="00A3430A"/>
    <w:rsid w:val="00A35B1A"/>
    <w:rsid w:val="00A367A8"/>
    <w:rsid w:val="00A369F0"/>
    <w:rsid w:val="00A40B5C"/>
    <w:rsid w:val="00A4142F"/>
    <w:rsid w:val="00A4181C"/>
    <w:rsid w:val="00A4295F"/>
    <w:rsid w:val="00A4307B"/>
    <w:rsid w:val="00A44C35"/>
    <w:rsid w:val="00A45893"/>
    <w:rsid w:val="00A479B3"/>
    <w:rsid w:val="00A50265"/>
    <w:rsid w:val="00A5072C"/>
    <w:rsid w:val="00A51A90"/>
    <w:rsid w:val="00A52718"/>
    <w:rsid w:val="00A529FF"/>
    <w:rsid w:val="00A54BA9"/>
    <w:rsid w:val="00A54C83"/>
    <w:rsid w:val="00A54D2C"/>
    <w:rsid w:val="00A55BBE"/>
    <w:rsid w:val="00A55E5A"/>
    <w:rsid w:val="00A56CB6"/>
    <w:rsid w:val="00A57899"/>
    <w:rsid w:val="00A6063D"/>
    <w:rsid w:val="00A618D0"/>
    <w:rsid w:val="00A63D22"/>
    <w:rsid w:val="00A6451C"/>
    <w:rsid w:val="00A65490"/>
    <w:rsid w:val="00A66222"/>
    <w:rsid w:val="00A664D6"/>
    <w:rsid w:val="00A6663F"/>
    <w:rsid w:val="00A67F36"/>
    <w:rsid w:val="00A702C3"/>
    <w:rsid w:val="00A703B6"/>
    <w:rsid w:val="00A70A70"/>
    <w:rsid w:val="00A70E16"/>
    <w:rsid w:val="00A711E9"/>
    <w:rsid w:val="00A71A54"/>
    <w:rsid w:val="00A71DE3"/>
    <w:rsid w:val="00A71F17"/>
    <w:rsid w:val="00A73187"/>
    <w:rsid w:val="00A73A9A"/>
    <w:rsid w:val="00A73C0B"/>
    <w:rsid w:val="00A73D2B"/>
    <w:rsid w:val="00A743B5"/>
    <w:rsid w:val="00A7443B"/>
    <w:rsid w:val="00A753FF"/>
    <w:rsid w:val="00A771FE"/>
    <w:rsid w:val="00A774A6"/>
    <w:rsid w:val="00A8244C"/>
    <w:rsid w:val="00A825F8"/>
    <w:rsid w:val="00A82D55"/>
    <w:rsid w:val="00A83368"/>
    <w:rsid w:val="00A83C64"/>
    <w:rsid w:val="00A846C9"/>
    <w:rsid w:val="00A85825"/>
    <w:rsid w:val="00A863B5"/>
    <w:rsid w:val="00A87F7D"/>
    <w:rsid w:val="00A902B8"/>
    <w:rsid w:val="00A91502"/>
    <w:rsid w:val="00A9287C"/>
    <w:rsid w:val="00A930EB"/>
    <w:rsid w:val="00A95CCA"/>
    <w:rsid w:val="00A96A1E"/>
    <w:rsid w:val="00AA0838"/>
    <w:rsid w:val="00AA2E76"/>
    <w:rsid w:val="00AA30DE"/>
    <w:rsid w:val="00AA33DD"/>
    <w:rsid w:val="00AA3763"/>
    <w:rsid w:val="00AA3BBD"/>
    <w:rsid w:val="00AA46DE"/>
    <w:rsid w:val="00AA4794"/>
    <w:rsid w:val="00AA6728"/>
    <w:rsid w:val="00AA7D40"/>
    <w:rsid w:val="00AB1397"/>
    <w:rsid w:val="00AB1457"/>
    <w:rsid w:val="00AB46CF"/>
    <w:rsid w:val="00AB47B2"/>
    <w:rsid w:val="00AB4BD7"/>
    <w:rsid w:val="00AB61A5"/>
    <w:rsid w:val="00AB759C"/>
    <w:rsid w:val="00AC09C2"/>
    <w:rsid w:val="00AC09DF"/>
    <w:rsid w:val="00AC0D09"/>
    <w:rsid w:val="00AC0D0A"/>
    <w:rsid w:val="00AC0DAA"/>
    <w:rsid w:val="00AC33CD"/>
    <w:rsid w:val="00AC3590"/>
    <w:rsid w:val="00AC40BF"/>
    <w:rsid w:val="00AC4262"/>
    <w:rsid w:val="00AC6358"/>
    <w:rsid w:val="00AC6784"/>
    <w:rsid w:val="00AC7714"/>
    <w:rsid w:val="00AC7DF6"/>
    <w:rsid w:val="00AD0258"/>
    <w:rsid w:val="00AD1513"/>
    <w:rsid w:val="00AD1734"/>
    <w:rsid w:val="00AD17D3"/>
    <w:rsid w:val="00AD3758"/>
    <w:rsid w:val="00AD4131"/>
    <w:rsid w:val="00AD41C1"/>
    <w:rsid w:val="00AD44D9"/>
    <w:rsid w:val="00AD4AE6"/>
    <w:rsid w:val="00AD4E86"/>
    <w:rsid w:val="00AD6930"/>
    <w:rsid w:val="00AD6A79"/>
    <w:rsid w:val="00AD74D9"/>
    <w:rsid w:val="00AD74E5"/>
    <w:rsid w:val="00AE0265"/>
    <w:rsid w:val="00AE2F34"/>
    <w:rsid w:val="00AE34BF"/>
    <w:rsid w:val="00AE39A9"/>
    <w:rsid w:val="00AE5D2C"/>
    <w:rsid w:val="00AE6777"/>
    <w:rsid w:val="00AE7821"/>
    <w:rsid w:val="00AF0F2F"/>
    <w:rsid w:val="00AF114C"/>
    <w:rsid w:val="00AF1E7F"/>
    <w:rsid w:val="00AF1EAE"/>
    <w:rsid w:val="00AF23D2"/>
    <w:rsid w:val="00AF2973"/>
    <w:rsid w:val="00AF2A1A"/>
    <w:rsid w:val="00AF30CC"/>
    <w:rsid w:val="00AF35FA"/>
    <w:rsid w:val="00AF4A3D"/>
    <w:rsid w:val="00AF54E8"/>
    <w:rsid w:val="00AF6004"/>
    <w:rsid w:val="00AF79C1"/>
    <w:rsid w:val="00AF79F0"/>
    <w:rsid w:val="00AF7A96"/>
    <w:rsid w:val="00B009C4"/>
    <w:rsid w:val="00B00BC6"/>
    <w:rsid w:val="00B01C10"/>
    <w:rsid w:val="00B02178"/>
    <w:rsid w:val="00B0252D"/>
    <w:rsid w:val="00B02F27"/>
    <w:rsid w:val="00B030FF"/>
    <w:rsid w:val="00B03489"/>
    <w:rsid w:val="00B03F00"/>
    <w:rsid w:val="00B04073"/>
    <w:rsid w:val="00B0467D"/>
    <w:rsid w:val="00B1095E"/>
    <w:rsid w:val="00B10EB7"/>
    <w:rsid w:val="00B11082"/>
    <w:rsid w:val="00B12E72"/>
    <w:rsid w:val="00B130CA"/>
    <w:rsid w:val="00B13AF9"/>
    <w:rsid w:val="00B153AF"/>
    <w:rsid w:val="00B155B9"/>
    <w:rsid w:val="00B15AB1"/>
    <w:rsid w:val="00B1649A"/>
    <w:rsid w:val="00B17B3C"/>
    <w:rsid w:val="00B213DA"/>
    <w:rsid w:val="00B21A96"/>
    <w:rsid w:val="00B227D7"/>
    <w:rsid w:val="00B239FB"/>
    <w:rsid w:val="00B23C5D"/>
    <w:rsid w:val="00B2453C"/>
    <w:rsid w:val="00B246B9"/>
    <w:rsid w:val="00B24C75"/>
    <w:rsid w:val="00B2794D"/>
    <w:rsid w:val="00B303BC"/>
    <w:rsid w:val="00B306FA"/>
    <w:rsid w:val="00B31B3F"/>
    <w:rsid w:val="00B327E7"/>
    <w:rsid w:val="00B32C4D"/>
    <w:rsid w:val="00B33CB3"/>
    <w:rsid w:val="00B34670"/>
    <w:rsid w:val="00B34E79"/>
    <w:rsid w:val="00B34EC1"/>
    <w:rsid w:val="00B35F82"/>
    <w:rsid w:val="00B3645C"/>
    <w:rsid w:val="00B36B1F"/>
    <w:rsid w:val="00B371BD"/>
    <w:rsid w:val="00B404FA"/>
    <w:rsid w:val="00B41AA4"/>
    <w:rsid w:val="00B41DC2"/>
    <w:rsid w:val="00B43FC2"/>
    <w:rsid w:val="00B44270"/>
    <w:rsid w:val="00B44E13"/>
    <w:rsid w:val="00B46185"/>
    <w:rsid w:val="00B472E8"/>
    <w:rsid w:val="00B47461"/>
    <w:rsid w:val="00B507A0"/>
    <w:rsid w:val="00B50E2A"/>
    <w:rsid w:val="00B51156"/>
    <w:rsid w:val="00B521F8"/>
    <w:rsid w:val="00B5234E"/>
    <w:rsid w:val="00B5250F"/>
    <w:rsid w:val="00B52871"/>
    <w:rsid w:val="00B528B9"/>
    <w:rsid w:val="00B52A45"/>
    <w:rsid w:val="00B52F89"/>
    <w:rsid w:val="00B53763"/>
    <w:rsid w:val="00B55037"/>
    <w:rsid w:val="00B55D2C"/>
    <w:rsid w:val="00B55EA8"/>
    <w:rsid w:val="00B55EAB"/>
    <w:rsid w:val="00B567CB"/>
    <w:rsid w:val="00B56CC9"/>
    <w:rsid w:val="00B60616"/>
    <w:rsid w:val="00B60D5F"/>
    <w:rsid w:val="00B60DB5"/>
    <w:rsid w:val="00B60DE7"/>
    <w:rsid w:val="00B61221"/>
    <w:rsid w:val="00B621E5"/>
    <w:rsid w:val="00B624FC"/>
    <w:rsid w:val="00B64051"/>
    <w:rsid w:val="00B66C02"/>
    <w:rsid w:val="00B6758F"/>
    <w:rsid w:val="00B67D03"/>
    <w:rsid w:val="00B70305"/>
    <w:rsid w:val="00B707D2"/>
    <w:rsid w:val="00B712B7"/>
    <w:rsid w:val="00B7157E"/>
    <w:rsid w:val="00B71FE2"/>
    <w:rsid w:val="00B723C9"/>
    <w:rsid w:val="00B72849"/>
    <w:rsid w:val="00B741C3"/>
    <w:rsid w:val="00B74913"/>
    <w:rsid w:val="00B7493E"/>
    <w:rsid w:val="00B74C51"/>
    <w:rsid w:val="00B75889"/>
    <w:rsid w:val="00B75C16"/>
    <w:rsid w:val="00B75CF6"/>
    <w:rsid w:val="00B76970"/>
    <w:rsid w:val="00B76EE4"/>
    <w:rsid w:val="00B77539"/>
    <w:rsid w:val="00B77E27"/>
    <w:rsid w:val="00B803A8"/>
    <w:rsid w:val="00B81594"/>
    <w:rsid w:val="00B8197B"/>
    <w:rsid w:val="00B83987"/>
    <w:rsid w:val="00B846DF"/>
    <w:rsid w:val="00B86332"/>
    <w:rsid w:val="00B87D2A"/>
    <w:rsid w:val="00B91948"/>
    <w:rsid w:val="00B92969"/>
    <w:rsid w:val="00B94A04"/>
    <w:rsid w:val="00B97155"/>
    <w:rsid w:val="00B97615"/>
    <w:rsid w:val="00B976F7"/>
    <w:rsid w:val="00BA0ED2"/>
    <w:rsid w:val="00BA14D0"/>
    <w:rsid w:val="00BA397A"/>
    <w:rsid w:val="00BA4A20"/>
    <w:rsid w:val="00BA61E9"/>
    <w:rsid w:val="00BA62B2"/>
    <w:rsid w:val="00BA6598"/>
    <w:rsid w:val="00BA68CA"/>
    <w:rsid w:val="00BA719D"/>
    <w:rsid w:val="00BB0E7D"/>
    <w:rsid w:val="00BB144F"/>
    <w:rsid w:val="00BB1F22"/>
    <w:rsid w:val="00BB2006"/>
    <w:rsid w:val="00BB2924"/>
    <w:rsid w:val="00BB44CE"/>
    <w:rsid w:val="00BB47D8"/>
    <w:rsid w:val="00BB5143"/>
    <w:rsid w:val="00BB598E"/>
    <w:rsid w:val="00BB5CD9"/>
    <w:rsid w:val="00BB7B3F"/>
    <w:rsid w:val="00BC05B7"/>
    <w:rsid w:val="00BC24A3"/>
    <w:rsid w:val="00BC34A5"/>
    <w:rsid w:val="00BC52E9"/>
    <w:rsid w:val="00BC56D7"/>
    <w:rsid w:val="00BC61FE"/>
    <w:rsid w:val="00BC6729"/>
    <w:rsid w:val="00BC70D3"/>
    <w:rsid w:val="00BC79E6"/>
    <w:rsid w:val="00BD23C6"/>
    <w:rsid w:val="00BD3344"/>
    <w:rsid w:val="00BD43EA"/>
    <w:rsid w:val="00BD4C9F"/>
    <w:rsid w:val="00BD4F2E"/>
    <w:rsid w:val="00BD5B2A"/>
    <w:rsid w:val="00BD76BA"/>
    <w:rsid w:val="00BD7E84"/>
    <w:rsid w:val="00BE011A"/>
    <w:rsid w:val="00BE126F"/>
    <w:rsid w:val="00BE1314"/>
    <w:rsid w:val="00BE2286"/>
    <w:rsid w:val="00BE3A50"/>
    <w:rsid w:val="00BE3DC4"/>
    <w:rsid w:val="00BE42FC"/>
    <w:rsid w:val="00BE4C98"/>
    <w:rsid w:val="00BE5400"/>
    <w:rsid w:val="00BE5655"/>
    <w:rsid w:val="00BE5E99"/>
    <w:rsid w:val="00BE6514"/>
    <w:rsid w:val="00BE7619"/>
    <w:rsid w:val="00BF0118"/>
    <w:rsid w:val="00BF03EC"/>
    <w:rsid w:val="00BF088C"/>
    <w:rsid w:val="00BF09C2"/>
    <w:rsid w:val="00BF0A04"/>
    <w:rsid w:val="00BF1069"/>
    <w:rsid w:val="00BF1B8C"/>
    <w:rsid w:val="00BF1DDD"/>
    <w:rsid w:val="00BF22C1"/>
    <w:rsid w:val="00BF25CE"/>
    <w:rsid w:val="00BF3A98"/>
    <w:rsid w:val="00BF3C5A"/>
    <w:rsid w:val="00BF41A3"/>
    <w:rsid w:val="00BF464D"/>
    <w:rsid w:val="00BF52D9"/>
    <w:rsid w:val="00BF54A9"/>
    <w:rsid w:val="00BF5985"/>
    <w:rsid w:val="00BF6027"/>
    <w:rsid w:val="00BF70A5"/>
    <w:rsid w:val="00BF7180"/>
    <w:rsid w:val="00C00CCF"/>
    <w:rsid w:val="00C04AC5"/>
    <w:rsid w:val="00C04DB5"/>
    <w:rsid w:val="00C05276"/>
    <w:rsid w:val="00C05B9C"/>
    <w:rsid w:val="00C05E26"/>
    <w:rsid w:val="00C06080"/>
    <w:rsid w:val="00C0652A"/>
    <w:rsid w:val="00C069F4"/>
    <w:rsid w:val="00C078FF"/>
    <w:rsid w:val="00C07E76"/>
    <w:rsid w:val="00C100A9"/>
    <w:rsid w:val="00C10CC2"/>
    <w:rsid w:val="00C10F55"/>
    <w:rsid w:val="00C12802"/>
    <w:rsid w:val="00C1417A"/>
    <w:rsid w:val="00C15272"/>
    <w:rsid w:val="00C1541C"/>
    <w:rsid w:val="00C1589A"/>
    <w:rsid w:val="00C15E10"/>
    <w:rsid w:val="00C1601F"/>
    <w:rsid w:val="00C16F3F"/>
    <w:rsid w:val="00C16F77"/>
    <w:rsid w:val="00C20179"/>
    <w:rsid w:val="00C2033F"/>
    <w:rsid w:val="00C20557"/>
    <w:rsid w:val="00C207AD"/>
    <w:rsid w:val="00C210AE"/>
    <w:rsid w:val="00C21262"/>
    <w:rsid w:val="00C2164F"/>
    <w:rsid w:val="00C2238B"/>
    <w:rsid w:val="00C23FE7"/>
    <w:rsid w:val="00C24E45"/>
    <w:rsid w:val="00C2568B"/>
    <w:rsid w:val="00C25820"/>
    <w:rsid w:val="00C259C1"/>
    <w:rsid w:val="00C25A80"/>
    <w:rsid w:val="00C27732"/>
    <w:rsid w:val="00C3136D"/>
    <w:rsid w:val="00C316CF"/>
    <w:rsid w:val="00C31817"/>
    <w:rsid w:val="00C31CEA"/>
    <w:rsid w:val="00C31DC1"/>
    <w:rsid w:val="00C32AD0"/>
    <w:rsid w:val="00C32F68"/>
    <w:rsid w:val="00C32FE2"/>
    <w:rsid w:val="00C33F87"/>
    <w:rsid w:val="00C343D9"/>
    <w:rsid w:val="00C34974"/>
    <w:rsid w:val="00C35417"/>
    <w:rsid w:val="00C35587"/>
    <w:rsid w:val="00C35EBA"/>
    <w:rsid w:val="00C36EF6"/>
    <w:rsid w:val="00C4026A"/>
    <w:rsid w:val="00C40679"/>
    <w:rsid w:val="00C40702"/>
    <w:rsid w:val="00C40CA1"/>
    <w:rsid w:val="00C40DF1"/>
    <w:rsid w:val="00C41263"/>
    <w:rsid w:val="00C42FC9"/>
    <w:rsid w:val="00C430EE"/>
    <w:rsid w:val="00C4342E"/>
    <w:rsid w:val="00C4430A"/>
    <w:rsid w:val="00C44694"/>
    <w:rsid w:val="00C44AE6"/>
    <w:rsid w:val="00C44D7E"/>
    <w:rsid w:val="00C452CE"/>
    <w:rsid w:val="00C4586B"/>
    <w:rsid w:val="00C459B1"/>
    <w:rsid w:val="00C45BAF"/>
    <w:rsid w:val="00C45D82"/>
    <w:rsid w:val="00C46045"/>
    <w:rsid w:val="00C46B10"/>
    <w:rsid w:val="00C46FE3"/>
    <w:rsid w:val="00C50D84"/>
    <w:rsid w:val="00C5131A"/>
    <w:rsid w:val="00C529F2"/>
    <w:rsid w:val="00C5354D"/>
    <w:rsid w:val="00C53CC6"/>
    <w:rsid w:val="00C5450D"/>
    <w:rsid w:val="00C546C9"/>
    <w:rsid w:val="00C55752"/>
    <w:rsid w:val="00C55969"/>
    <w:rsid w:val="00C55A09"/>
    <w:rsid w:val="00C56EE0"/>
    <w:rsid w:val="00C57024"/>
    <w:rsid w:val="00C60029"/>
    <w:rsid w:val="00C60D05"/>
    <w:rsid w:val="00C60E65"/>
    <w:rsid w:val="00C61651"/>
    <w:rsid w:val="00C61C44"/>
    <w:rsid w:val="00C61EF3"/>
    <w:rsid w:val="00C6223A"/>
    <w:rsid w:val="00C62272"/>
    <w:rsid w:val="00C62B8C"/>
    <w:rsid w:val="00C63070"/>
    <w:rsid w:val="00C635C8"/>
    <w:rsid w:val="00C66645"/>
    <w:rsid w:val="00C66B74"/>
    <w:rsid w:val="00C671BE"/>
    <w:rsid w:val="00C6750C"/>
    <w:rsid w:val="00C67A12"/>
    <w:rsid w:val="00C7041E"/>
    <w:rsid w:val="00C7123D"/>
    <w:rsid w:val="00C72ADB"/>
    <w:rsid w:val="00C736F2"/>
    <w:rsid w:val="00C73B5E"/>
    <w:rsid w:val="00C7553D"/>
    <w:rsid w:val="00C76552"/>
    <w:rsid w:val="00C76CD7"/>
    <w:rsid w:val="00C76E09"/>
    <w:rsid w:val="00C773A9"/>
    <w:rsid w:val="00C778D9"/>
    <w:rsid w:val="00C80F39"/>
    <w:rsid w:val="00C813BE"/>
    <w:rsid w:val="00C81A5A"/>
    <w:rsid w:val="00C8257A"/>
    <w:rsid w:val="00C82FF1"/>
    <w:rsid w:val="00C83FC6"/>
    <w:rsid w:val="00C85109"/>
    <w:rsid w:val="00C856B0"/>
    <w:rsid w:val="00C85E14"/>
    <w:rsid w:val="00C86A26"/>
    <w:rsid w:val="00C9053E"/>
    <w:rsid w:val="00C90D01"/>
    <w:rsid w:val="00C91862"/>
    <w:rsid w:val="00C9208F"/>
    <w:rsid w:val="00C92AAA"/>
    <w:rsid w:val="00C930A6"/>
    <w:rsid w:val="00C950C8"/>
    <w:rsid w:val="00C954F4"/>
    <w:rsid w:val="00C95739"/>
    <w:rsid w:val="00C95B23"/>
    <w:rsid w:val="00C96B41"/>
    <w:rsid w:val="00C96D47"/>
    <w:rsid w:val="00C974B0"/>
    <w:rsid w:val="00C97839"/>
    <w:rsid w:val="00CA0122"/>
    <w:rsid w:val="00CA0F93"/>
    <w:rsid w:val="00CA441C"/>
    <w:rsid w:val="00CA4A8E"/>
    <w:rsid w:val="00CA4BED"/>
    <w:rsid w:val="00CA5178"/>
    <w:rsid w:val="00CA5AF7"/>
    <w:rsid w:val="00CA6CAF"/>
    <w:rsid w:val="00CA7C5D"/>
    <w:rsid w:val="00CA7FAC"/>
    <w:rsid w:val="00CB011F"/>
    <w:rsid w:val="00CB019C"/>
    <w:rsid w:val="00CB0ED7"/>
    <w:rsid w:val="00CB158D"/>
    <w:rsid w:val="00CB164F"/>
    <w:rsid w:val="00CB16F7"/>
    <w:rsid w:val="00CB179E"/>
    <w:rsid w:val="00CB1C60"/>
    <w:rsid w:val="00CB1D14"/>
    <w:rsid w:val="00CB25CA"/>
    <w:rsid w:val="00CB2BB0"/>
    <w:rsid w:val="00CB313C"/>
    <w:rsid w:val="00CB35EA"/>
    <w:rsid w:val="00CB3D23"/>
    <w:rsid w:val="00CB43C4"/>
    <w:rsid w:val="00CB5323"/>
    <w:rsid w:val="00CB59D0"/>
    <w:rsid w:val="00CB65A8"/>
    <w:rsid w:val="00CB6728"/>
    <w:rsid w:val="00CB681F"/>
    <w:rsid w:val="00CB71A8"/>
    <w:rsid w:val="00CB723D"/>
    <w:rsid w:val="00CB7781"/>
    <w:rsid w:val="00CB7F23"/>
    <w:rsid w:val="00CC1035"/>
    <w:rsid w:val="00CC1994"/>
    <w:rsid w:val="00CC2846"/>
    <w:rsid w:val="00CC2DCD"/>
    <w:rsid w:val="00CC5916"/>
    <w:rsid w:val="00CC65C1"/>
    <w:rsid w:val="00CC6B2A"/>
    <w:rsid w:val="00CC713A"/>
    <w:rsid w:val="00CD0C88"/>
    <w:rsid w:val="00CD1F65"/>
    <w:rsid w:val="00CD289C"/>
    <w:rsid w:val="00CD49B7"/>
    <w:rsid w:val="00CD58B2"/>
    <w:rsid w:val="00CD64D8"/>
    <w:rsid w:val="00CD6CE0"/>
    <w:rsid w:val="00CD762D"/>
    <w:rsid w:val="00CE031E"/>
    <w:rsid w:val="00CE0865"/>
    <w:rsid w:val="00CE1110"/>
    <w:rsid w:val="00CE1229"/>
    <w:rsid w:val="00CE14E4"/>
    <w:rsid w:val="00CE31FF"/>
    <w:rsid w:val="00CE3FBA"/>
    <w:rsid w:val="00CE4EDC"/>
    <w:rsid w:val="00CE4F28"/>
    <w:rsid w:val="00CE6140"/>
    <w:rsid w:val="00CE79F5"/>
    <w:rsid w:val="00CF02E6"/>
    <w:rsid w:val="00CF0E44"/>
    <w:rsid w:val="00CF1B7D"/>
    <w:rsid w:val="00CF2D3D"/>
    <w:rsid w:val="00CF3443"/>
    <w:rsid w:val="00CF3C3E"/>
    <w:rsid w:val="00CF3DD7"/>
    <w:rsid w:val="00CF4C24"/>
    <w:rsid w:val="00CF60EB"/>
    <w:rsid w:val="00CF64BF"/>
    <w:rsid w:val="00D00373"/>
    <w:rsid w:val="00D00798"/>
    <w:rsid w:val="00D00804"/>
    <w:rsid w:val="00D00816"/>
    <w:rsid w:val="00D01787"/>
    <w:rsid w:val="00D018C5"/>
    <w:rsid w:val="00D01C23"/>
    <w:rsid w:val="00D034CA"/>
    <w:rsid w:val="00D03AD7"/>
    <w:rsid w:val="00D04135"/>
    <w:rsid w:val="00D047BA"/>
    <w:rsid w:val="00D04BFE"/>
    <w:rsid w:val="00D05114"/>
    <w:rsid w:val="00D051DE"/>
    <w:rsid w:val="00D06B65"/>
    <w:rsid w:val="00D078C8"/>
    <w:rsid w:val="00D11E7B"/>
    <w:rsid w:val="00D12340"/>
    <w:rsid w:val="00D126AE"/>
    <w:rsid w:val="00D1339F"/>
    <w:rsid w:val="00D13E7C"/>
    <w:rsid w:val="00D148A3"/>
    <w:rsid w:val="00D156EB"/>
    <w:rsid w:val="00D15A77"/>
    <w:rsid w:val="00D15D4B"/>
    <w:rsid w:val="00D168F4"/>
    <w:rsid w:val="00D17973"/>
    <w:rsid w:val="00D2055B"/>
    <w:rsid w:val="00D213C7"/>
    <w:rsid w:val="00D216B8"/>
    <w:rsid w:val="00D2257E"/>
    <w:rsid w:val="00D227F0"/>
    <w:rsid w:val="00D23049"/>
    <w:rsid w:val="00D249CA"/>
    <w:rsid w:val="00D26019"/>
    <w:rsid w:val="00D267FD"/>
    <w:rsid w:val="00D27785"/>
    <w:rsid w:val="00D27882"/>
    <w:rsid w:val="00D27E15"/>
    <w:rsid w:val="00D300E6"/>
    <w:rsid w:val="00D302E4"/>
    <w:rsid w:val="00D3244E"/>
    <w:rsid w:val="00D33654"/>
    <w:rsid w:val="00D33693"/>
    <w:rsid w:val="00D353AD"/>
    <w:rsid w:val="00D3605E"/>
    <w:rsid w:val="00D36FC0"/>
    <w:rsid w:val="00D37406"/>
    <w:rsid w:val="00D375C8"/>
    <w:rsid w:val="00D376A0"/>
    <w:rsid w:val="00D40B33"/>
    <w:rsid w:val="00D4152B"/>
    <w:rsid w:val="00D418BE"/>
    <w:rsid w:val="00D42436"/>
    <w:rsid w:val="00D43416"/>
    <w:rsid w:val="00D43744"/>
    <w:rsid w:val="00D439CE"/>
    <w:rsid w:val="00D45597"/>
    <w:rsid w:val="00D45CEF"/>
    <w:rsid w:val="00D46099"/>
    <w:rsid w:val="00D4631D"/>
    <w:rsid w:val="00D46E88"/>
    <w:rsid w:val="00D47777"/>
    <w:rsid w:val="00D511EC"/>
    <w:rsid w:val="00D512FC"/>
    <w:rsid w:val="00D5304C"/>
    <w:rsid w:val="00D535A5"/>
    <w:rsid w:val="00D535DF"/>
    <w:rsid w:val="00D53722"/>
    <w:rsid w:val="00D543E5"/>
    <w:rsid w:val="00D5519D"/>
    <w:rsid w:val="00D556A3"/>
    <w:rsid w:val="00D55BFD"/>
    <w:rsid w:val="00D56385"/>
    <w:rsid w:val="00D56B0C"/>
    <w:rsid w:val="00D56F0F"/>
    <w:rsid w:val="00D57867"/>
    <w:rsid w:val="00D602C5"/>
    <w:rsid w:val="00D60D03"/>
    <w:rsid w:val="00D61A18"/>
    <w:rsid w:val="00D63635"/>
    <w:rsid w:val="00D63835"/>
    <w:rsid w:val="00D6462C"/>
    <w:rsid w:val="00D652B8"/>
    <w:rsid w:val="00D65DBE"/>
    <w:rsid w:val="00D65EC9"/>
    <w:rsid w:val="00D661B2"/>
    <w:rsid w:val="00D66356"/>
    <w:rsid w:val="00D6664F"/>
    <w:rsid w:val="00D67F50"/>
    <w:rsid w:val="00D71A7E"/>
    <w:rsid w:val="00D71D23"/>
    <w:rsid w:val="00D72067"/>
    <w:rsid w:val="00D7272E"/>
    <w:rsid w:val="00D72CA4"/>
    <w:rsid w:val="00D72DE4"/>
    <w:rsid w:val="00D7331C"/>
    <w:rsid w:val="00D74557"/>
    <w:rsid w:val="00D758E6"/>
    <w:rsid w:val="00D77B56"/>
    <w:rsid w:val="00D82A45"/>
    <w:rsid w:val="00D82BF1"/>
    <w:rsid w:val="00D83321"/>
    <w:rsid w:val="00D839DE"/>
    <w:rsid w:val="00D83D0E"/>
    <w:rsid w:val="00D840A6"/>
    <w:rsid w:val="00D846FC"/>
    <w:rsid w:val="00D85550"/>
    <w:rsid w:val="00D8588B"/>
    <w:rsid w:val="00D90297"/>
    <w:rsid w:val="00D91047"/>
    <w:rsid w:val="00D9234F"/>
    <w:rsid w:val="00D92810"/>
    <w:rsid w:val="00D92E20"/>
    <w:rsid w:val="00D93981"/>
    <w:rsid w:val="00D93D32"/>
    <w:rsid w:val="00D94115"/>
    <w:rsid w:val="00D94130"/>
    <w:rsid w:val="00D958CD"/>
    <w:rsid w:val="00D95983"/>
    <w:rsid w:val="00D95BC2"/>
    <w:rsid w:val="00D95C2B"/>
    <w:rsid w:val="00D95E36"/>
    <w:rsid w:val="00D96067"/>
    <w:rsid w:val="00D968C0"/>
    <w:rsid w:val="00D96B09"/>
    <w:rsid w:val="00D96F29"/>
    <w:rsid w:val="00D97A8B"/>
    <w:rsid w:val="00DA0004"/>
    <w:rsid w:val="00DA01FA"/>
    <w:rsid w:val="00DA047E"/>
    <w:rsid w:val="00DA0E68"/>
    <w:rsid w:val="00DA1086"/>
    <w:rsid w:val="00DA1120"/>
    <w:rsid w:val="00DA1EC0"/>
    <w:rsid w:val="00DA32DA"/>
    <w:rsid w:val="00DA3382"/>
    <w:rsid w:val="00DA363E"/>
    <w:rsid w:val="00DA3BA3"/>
    <w:rsid w:val="00DA5AF6"/>
    <w:rsid w:val="00DA5FC2"/>
    <w:rsid w:val="00DA75E6"/>
    <w:rsid w:val="00DA778A"/>
    <w:rsid w:val="00DA78D8"/>
    <w:rsid w:val="00DA7BE0"/>
    <w:rsid w:val="00DA7DE1"/>
    <w:rsid w:val="00DB14FD"/>
    <w:rsid w:val="00DB1553"/>
    <w:rsid w:val="00DB1C3F"/>
    <w:rsid w:val="00DB1E90"/>
    <w:rsid w:val="00DB2A62"/>
    <w:rsid w:val="00DB2D11"/>
    <w:rsid w:val="00DB30E7"/>
    <w:rsid w:val="00DB3788"/>
    <w:rsid w:val="00DB49B9"/>
    <w:rsid w:val="00DB5159"/>
    <w:rsid w:val="00DB6104"/>
    <w:rsid w:val="00DB61F7"/>
    <w:rsid w:val="00DC0069"/>
    <w:rsid w:val="00DC0FA4"/>
    <w:rsid w:val="00DC1593"/>
    <w:rsid w:val="00DC21ED"/>
    <w:rsid w:val="00DC2405"/>
    <w:rsid w:val="00DC4375"/>
    <w:rsid w:val="00DC66A5"/>
    <w:rsid w:val="00DC69B1"/>
    <w:rsid w:val="00DD00A6"/>
    <w:rsid w:val="00DD1754"/>
    <w:rsid w:val="00DD2D59"/>
    <w:rsid w:val="00DD2E5E"/>
    <w:rsid w:val="00DD3237"/>
    <w:rsid w:val="00DD37A1"/>
    <w:rsid w:val="00DD40B9"/>
    <w:rsid w:val="00DD4A63"/>
    <w:rsid w:val="00DD4AE0"/>
    <w:rsid w:val="00DD5B71"/>
    <w:rsid w:val="00DD61DD"/>
    <w:rsid w:val="00DD741E"/>
    <w:rsid w:val="00DD7A01"/>
    <w:rsid w:val="00DE0B42"/>
    <w:rsid w:val="00DE0D3F"/>
    <w:rsid w:val="00DE11A2"/>
    <w:rsid w:val="00DE1284"/>
    <w:rsid w:val="00DE1B8E"/>
    <w:rsid w:val="00DE29AA"/>
    <w:rsid w:val="00DE2A14"/>
    <w:rsid w:val="00DE2D5B"/>
    <w:rsid w:val="00DE3511"/>
    <w:rsid w:val="00DE4001"/>
    <w:rsid w:val="00DE408D"/>
    <w:rsid w:val="00DE465F"/>
    <w:rsid w:val="00DE4B6C"/>
    <w:rsid w:val="00DE4F8F"/>
    <w:rsid w:val="00DE5B5A"/>
    <w:rsid w:val="00DE6691"/>
    <w:rsid w:val="00DE707C"/>
    <w:rsid w:val="00DF0084"/>
    <w:rsid w:val="00DF06E2"/>
    <w:rsid w:val="00DF076D"/>
    <w:rsid w:val="00DF0A3C"/>
    <w:rsid w:val="00DF14A9"/>
    <w:rsid w:val="00DF18E4"/>
    <w:rsid w:val="00DF231B"/>
    <w:rsid w:val="00DF2A2F"/>
    <w:rsid w:val="00DF373B"/>
    <w:rsid w:val="00DF40F5"/>
    <w:rsid w:val="00DF48E3"/>
    <w:rsid w:val="00DF533D"/>
    <w:rsid w:val="00DF5A2C"/>
    <w:rsid w:val="00DF5ECB"/>
    <w:rsid w:val="00DF5EEE"/>
    <w:rsid w:val="00DF634F"/>
    <w:rsid w:val="00DF6554"/>
    <w:rsid w:val="00DF6AC7"/>
    <w:rsid w:val="00DF6D03"/>
    <w:rsid w:val="00DF6DB8"/>
    <w:rsid w:val="00DF76AF"/>
    <w:rsid w:val="00DF7C03"/>
    <w:rsid w:val="00DF7FC9"/>
    <w:rsid w:val="00E01330"/>
    <w:rsid w:val="00E014BB"/>
    <w:rsid w:val="00E01894"/>
    <w:rsid w:val="00E0225D"/>
    <w:rsid w:val="00E026CE"/>
    <w:rsid w:val="00E02784"/>
    <w:rsid w:val="00E02FBD"/>
    <w:rsid w:val="00E033FB"/>
    <w:rsid w:val="00E04B9F"/>
    <w:rsid w:val="00E05087"/>
    <w:rsid w:val="00E06AA9"/>
    <w:rsid w:val="00E06F35"/>
    <w:rsid w:val="00E077B6"/>
    <w:rsid w:val="00E07965"/>
    <w:rsid w:val="00E07CA5"/>
    <w:rsid w:val="00E10EA2"/>
    <w:rsid w:val="00E11298"/>
    <w:rsid w:val="00E1152C"/>
    <w:rsid w:val="00E128C9"/>
    <w:rsid w:val="00E13654"/>
    <w:rsid w:val="00E13A6F"/>
    <w:rsid w:val="00E14D01"/>
    <w:rsid w:val="00E160FE"/>
    <w:rsid w:val="00E163A8"/>
    <w:rsid w:val="00E16520"/>
    <w:rsid w:val="00E17E83"/>
    <w:rsid w:val="00E20740"/>
    <w:rsid w:val="00E21A35"/>
    <w:rsid w:val="00E235C3"/>
    <w:rsid w:val="00E235F9"/>
    <w:rsid w:val="00E23A8B"/>
    <w:rsid w:val="00E241FB"/>
    <w:rsid w:val="00E246C7"/>
    <w:rsid w:val="00E24B64"/>
    <w:rsid w:val="00E24E8D"/>
    <w:rsid w:val="00E25B85"/>
    <w:rsid w:val="00E2648E"/>
    <w:rsid w:val="00E264E9"/>
    <w:rsid w:val="00E2689D"/>
    <w:rsid w:val="00E27A1A"/>
    <w:rsid w:val="00E27B9E"/>
    <w:rsid w:val="00E30093"/>
    <w:rsid w:val="00E30978"/>
    <w:rsid w:val="00E30CA2"/>
    <w:rsid w:val="00E30EC4"/>
    <w:rsid w:val="00E3181A"/>
    <w:rsid w:val="00E3200B"/>
    <w:rsid w:val="00E32E10"/>
    <w:rsid w:val="00E341B7"/>
    <w:rsid w:val="00E34281"/>
    <w:rsid w:val="00E34630"/>
    <w:rsid w:val="00E34931"/>
    <w:rsid w:val="00E35B83"/>
    <w:rsid w:val="00E374FF"/>
    <w:rsid w:val="00E4031B"/>
    <w:rsid w:val="00E40C96"/>
    <w:rsid w:val="00E4120F"/>
    <w:rsid w:val="00E4124B"/>
    <w:rsid w:val="00E415AC"/>
    <w:rsid w:val="00E42159"/>
    <w:rsid w:val="00E423A9"/>
    <w:rsid w:val="00E432FB"/>
    <w:rsid w:val="00E437D6"/>
    <w:rsid w:val="00E43EDE"/>
    <w:rsid w:val="00E43F86"/>
    <w:rsid w:val="00E444C3"/>
    <w:rsid w:val="00E45080"/>
    <w:rsid w:val="00E4549E"/>
    <w:rsid w:val="00E475E7"/>
    <w:rsid w:val="00E479FF"/>
    <w:rsid w:val="00E47CA3"/>
    <w:rsid w:val="00E50B3B"/>
    <w:rsid w:val="00E51A4B"/>
    <w:rsid w:val="00E52777"/>
    <w:rsid w:val="00E5348F"/>
    <w:rsid w:val="00E53717"/>
    <w:rsid w:val="00E53BDF"/>
    <w:rsid w:val="00E552BA"/>
    <w:rsid w:val="00E557C0"/>
    <w:rsid w:val="00E5601A"/>
    <w:rsid w:val="00E5696D"/>
    <w:rsid w:val="00E56BAF"/>
    <w:rsid w:val="00E56C88"/>
    <w:rsid w:val="00E61CC2"/>
    <w:rsid w:val="00E61FBA"/>
    <w:rsid w:val="00E62C4A"/>
    <w:rsid w:val="00E636C8"/>
    <w:rsid w:val="00E645E6"/>
    <w:rsid w:val="00E65847"/>
    <w:rsid w:val="00E6620E"/>
    <w:rsid w:val="00E671AE"/>
    <w:rsid w:val="00E6748F"/>
    <w:rsid w:val="00E67C5A"/>
    <w:rsid w:val="00E706C6"/>
    <w:rsid w:val="00E708AD"/>
    <w:rsid w:val="00E70AB9"/>
    <w:rsid w:val="00E70D53"/>
    <w:rsid w:val="00E713C0"/>
    <w:rsid w:val="00E713CC"/>
    <w:rsid w:val="00E717E0"/>
    <w:rsid w:val="00E7326E"/>
    <w:rsid w:val="00E73C65"/>
    <w:rsid w:val="00E74A30"/>
    <w:rsid w:val="00E750BA"/>
    <w:rsid w:val="00E763B9"/>
    <w:rsid w:val="00E77B91"/>
    <w:rsid w:val="00E80D43"/>
    <w:rsid w:val="00E819E2"/>
    <w:rsid w:val="00E81B8B"/>
    <w:rsid w:val="00E8244B"/>
    <w:rsid w:val="00E825C0"/>
    <w:rsid w:val="00E829CE"/>
    <w:rsid w:val="00E82D05"/>
    <w:rsid w:val="00E83610"/>
    <w:rsid w:val="00E84AE9"/>
    <w:rsid w:val="00E86443"/>
    <w:rsid w:val="00E86724"/>
    <w:rsid w:val="00E86EEC"/>
    <w:rsid w:val="00E875A5"/>
    <w:rsid w:val="00E87B99"/>
    <w:rsid w:val="00E909FC"/>
    <w:rsid w:val="00E90DAD"/>
    <w:rsid w:val="00E919A4"/>
    <w:rsid w:val="00E91F3B"/>
    <w:rsid w:val="00E92F83"/>
    <w:rsid w:val="00E93071"/>
    <w:rsid w:val="00E938C7"/>
    <w:rsid w:val="00E93E51"/>
    <w:rsid w:val="00E94237"/>
    <w:rsid w:val="00E95696"/>
    <w:rsid w:val="00E96527"/>
    <w:rsid w:val="00E96EE2"/>
    <w:rsid w:val="00EA0AF1"/>
    <w:rsid w:val="00EA0FB1"/>
    <w:rsid w:val="00EA128C"/>
    <w:rsid w:val="00EA1895"/>
    <w:rsid w:val="00EA20D0"/>
    <w:rsid w:val="00EA2EB6"/>
    <w:rsid w:val="00EA354B"/>
    <w:rsid w:val="00EA4192"/>
    <w:rsid w:val="00EA4C48"/>
    <w:rsid w:val="00EA6D04"/>
    <w:rsid w:val="00EB00B3"/>
    <w:rsid w:val="00EB03ED"/>
    <w:rsid w:val="00EB0469"/>
    <w:rsid w:val="00EB0F44"/>
    <w:rsid w:val="00EB1395"/>
    <w:rsid w:val="00EB1500"/>
    <w:rsid w:val="00EB16C0"/>
    <w:rsid w:val="00EB22DD"/>
    <w:rsid w:val="00EB2335"/>
    <w:rsid w:val="00EB2468"/>
    <w:rsid w:val="00EB3FDD"/>
    <w:rsid w:val="00EB4520"/>
    <w:rsid w:val="00EB464E"/>
    <w:rsid w:val="00EB51D2"/>
    <w:rsid w:val="00EB5245"/>
    <w:rsid w:val="00EB5267"/>
    <w:rsid w:val="00EB59A2"/>
    <w:rsid w:val="00EB5FEB"/>
    <w:rsid w:val="00EC1BE9"/>
    <w:rsid w:val="00EC320B"/>
    <w:rsid w:val="00EC3322"/>
    <w:rsid w:val="00EC3FC0"/>
    <w:rsid w:val="00EC4455"/>
    <w:rsid w:val="00EC4FFE"/>
    <w:rsid w:val="00EC51E2"/>
    <w:rsid w:val="00EC5311"/>
    <w:rsid w:val="00EC73FD"/>
    <w:rsid w:val="00EC7646"/>
    <w:rsid w:val="00ED0FC2"/>
    <w:rsid w:val="00ED1439"/>
    <w:rsid w:val="00ED15B3"/>
    <w:rsid w:val="00ED2DE7"/>
    <w:rsid w:val="00ED3B7C"/>
    <w:rsid w:val="00ED3DC7"/>
    <w:rsid w:val="00ED3DC9"/>
    <w:rsid w:val="00ED469B"/>
    <w:rsid w:val="00ED5A63"/>
    <w:rsid w:val="00ED5BCC"/>
    <w:rsid w:val="00ED6D88"/>
    <w:rsid w:val="00ED731A"/>
    <w:rsid w:val="00ED7436"/>
    <w:rsid w:val="00ED7A73"/>
    <w:rsid w:val="00ED7B4E"/>
    <w:rsid w:val="00ED7E0A"/>
    <w:rsid w:val="00ED7E6D"/>
    <w:rsid w:val="00EE0932"/>
    <w:rsid w:val="00EE17D5"/>
    <w:rsid w:val="00EE1818"/>
    <w:rsid w:val="00EE320B"/>
    <w:rsid w:val="00EE3F7D"/>
    <w:rsid w:val="00EE4B71"/>
    <w:rsid w:val="00EE4CF1"/>
    <w:rsid w:val="00EE57FD"/>
    <w:rsid w:val="00EE64F9"/>
    <w:rsid w:val="00EE6EE1"/>
    <w:rsid w:val="00EE78B4"/>
    <w:rsid w:val="00EE7D08"/>
    <w:rsid w:val="00EE7F37"/>
    <w:rsid w:val="00EF049E"/>
    <w:rsid w:val="00EF103C"/>
    <w:rsid w:val="00EF10CA"/>
    <w:rsid w:val="00EF11C8"/>
    <w:rsid w:val="00EF169D"/>
    <w:rsid w:val="00EF1ACA"/>
    <w:rsid w:val="00EF1FDD"/>
    <w:rsid w:val="00EF31FA"/>
    <w:rsid w:val="00EF3899"/>
    <w:rsid w:val="00EF41F8"/>
    <w:rsid w:val="00EF4F03"/>
    <w:rsid w:val="00EF532F"/>
    <w:rsid w:val="00EF5AD4"/>
    <w:rsid w:val="00EF7487"/>
    <w:rsid w:val="00EF79D4"/>
    <w:rsid w:val="00F00182"/>
    <w:rsid w:val="00F0038C"/>
    <w:rsid w:val="00F00AE0"/>
    <w:rsid w:val="00F00E93"/>
    <w:rsid w:val="00F01EE4"/>
    <w:rsid w:val="00F02ABB"/>
    <w:rsid w:val="00F03AEE"/>
    <w:rsid w:val="00F04405"/>
    <w:rsid w:val="00F04B95"/>
    <w:rsid w:val="00F04C6C"/>
    <w:rsid w:val="00F0537D"/>
    <w:rsid w:val="00F05414"/>
    <w:rsid w:val="00F0568B"/>
    <w:rsid w:val="00F0620E"/>
    <w:rsid w:val="00F0659D"/>
    <w:rsid w:val="00F068E6"/>
    <w:rsid w:val="00F109EB"/>
    <w:rsid w:val="00F10E1F"/>
    <w:rsid w:val="00F11609"/>
    <w:rsid w:val="00F1186B"/>
    <w:rsid w:val="00F118A4"/>
    <w:rsid w:val="00F11B7C"/>
    <w:rsid w:val="00F12624"/>
    <w:rsid w:val="00F12960"/>
    <w:rsid w:val="00F12FA7"/>
    <w:rsid w:val="00F135EE"/>
    <w:rsid w:val="00F1362D"/>
    <w:rsid w:val="00F14804"/>
    <w:rsid w:val="00F168B6"/>
    <w:rsid w:val="00F17065"/>
    <w:rsid w:val="00F20BD3"/>
    <w:rsid w:val="00F21268"/>
    <w:rsid w:val="00F214EC"/>
    <w:rsid w:val="00F21584"/>
    <w:rsid w:val="00F2204E"/>
    <w:rsid w:val="00F22BC1"/>
    <w:rsid w:val="00F23761"/>
    <w:rsid w:val="00F23BA6"/>
    <w:rsid w:val="00F24598"/>
    <w:rsid w:val="00F24B77"/>
    <w:rsid w:val="00F2687D"/>
    <w:rsid w:val="00F26919"/>
    <w:rsid w:val="00F27A14"/>
    <w:rsid w:val="00F30724"/>
    <w:rsid w:val="00F31869"/>
    <w:rsid w:val="00F32627"/>
    <w:rsid w:val="00F33E04"/>
    <w:rsid w:val="00F3477A"/>
    <w:rsid w:val="00F34931"/>
    <w:rsid w:val="00F34AA1"/>
    <w:rsid w:val="00F35B03"/>
    <w:rsid w:val="00F35CAA"/>
    <w:rsid w:val="00F36392"/>
    <w:rsid w:val="00F3669D"/>
    <w:rsid w:val="00F36BF9"/>
    <w:rsid w:val="00F36CD1"/>
    <w:rsid w:val="00F3710C"/>
    <w:rsid w:val="00F3738D"/>
    <w:rsid w:val="00F379B5"/>
    <w:rsid w:val="00F37B5F"/>
    <w:rsid w:val="00F40644"/>
    <w:rsid w:val="00F40D74"/>
    <w:rsid w:val="00F412D6"/>
    <w:rsid w:val="00F423D2"/>
    <w:rsid w:val="00F42BA0"/>
    <w:rsid w:val="00F43A04"/>
    <w:rsid w:val="00F43C24"/>
    <w:rsid w:val="00F4478F"/>
    <w:rsid w:val="00F44D29"/>
    <w:rsid w:val="00F4606D"/>
    <w:rsid w:val="00F464F5"/>
    <w:rsid w:val="00F465CA"/>
    <w:rsid w:val="00F46A54"/>
    <w:rsid w:val="00F4735C"/>
    <w:rsid w:val="00F50215"/>
    <w:rsid w:val="00F50931"/>
    <w:rsid w:val="00F52052"/>
    <w:rsid w:val="00F52A0B"/>
    <w:rsid w:val="00F54288"/>
    <w:rsid w:val="00F5531D"/>
    <w:rsid w:val="00F556A2"/>
    <w:rsid w:val="00F558AB"/>
    <w:rsid w:val="00F5617B"/>
    <w:rsid w:val="00F561E4"/>
    <w:rsid w:val="00F57D6D"/>
    <w:rsid w:val="00F601AC"/>
    <w:rsid w:val="00F61428"/>
    <w:rsid w:val="00F63763"/>
    <w:rsid w:val="00F64138"/>
    <w:rsid w:val="00F651D2"/>
    <w:rsid w:val="00F659A0"/>
    <w:rsid w:val="00F65C6F"/>
    <w:rsid w:val="00F661A7"/>
    <w:rsid w:val="00F668C7"/>
    <w:rsid w:val="00F67141"/>
    <w:rsid w:val="00F671DB"/>
    <w:rsid w:val="00F70155"/>
    <w:rsid w:val="00F72DD9"/>
    <w:rsid w:val="00F7428E"/>
    <w:rsid w:val="00F74614"/>
    <w:rsid w:val="00F7470C"/>
    <w:rsid w:val="00F74729"/>
    <w:rsid w:val="00F74814"/>
    <w:rsid w:val="00F753EA"/>
    <w:rsid w:val="00F75FD1"/>
    <w:rsid w:val="00F773FA"/>
    <w:rsid w:val="00F778CC"/>
    <w:rsid w:val="00F77CF4"/>
    <w:rsid w:val="00F80649"/>
    <w:rsid w:val="00F814A8"/>
    <w:rsid w:val="00F81692"/>
    <w:rsid w:val="00F81C86"/>
    <w:rsid w:val="00F81C89"/>
    <w:rsid w:val="00F8339F"/>
    <w:rsid w:val="00F84505"/>
    <w:rsid w:val="00F846D2"/>
    <w:rsid w:val="00F850C9"/>
    <w:rsid w:val="00F85F6C"/>
    <w:rsid w:val="00F87358"/>
    <w:rsid w:val="00F877D2"/>
    <w:rsid w:val="00F90596"/>
    <w:rsid w:val="00F90911"/>
    <w:rsid w:val="00F909C5"/>
    <w:rsid w:val="00F90F1C"/>
    <w:rsid w:val="00F91880"/>
    <w:rsid w:val="00F92F31"/>
    <w:rsid w:val="00F9440E"/>
    <w:rsid w:val="00F94FE7"/>
    <w:rsid w:val="00F95101"/>
    <w:rsid w:val="00F96228"/>
    <w:rsid w:val="00F96324"/>
    <w:rsid w:val="00F9657C"/>
    <w:rsid w:val="00F96B90"/>
    <w:rsid w:val="00F97598"/>
    <w:rsid w:val="00F97F65"/>
    <w:rsid w:val="00FA081F"/>
    <w:rsid w:val="00FA1529"/>
    <w:rsid w:val="00FA15FD"/>
    <w:rsid w:val="00FA1B13"/>
    <w:rsid w:val="00FA2F9B"/>
    <w:rsid w:val="00FA4987"/>
    <w:rsid w:val="00FA51CA"/>
    <w:rsid w:val="00FA6150"/>
    <w:rsid w:val="00FA6F18"/>
    <w:rsid w:val="00FA6FAD"/>
    <w:rsid w:val="00FB001C"/>
    <w:rsid w:val="00FB017C"/>
    <w:rsid w:val="00FB0185"/>
    <w:rsid w:val="00FB0DBC"/>
    <w:rsid w:val="00FB0FA3"/>
    <w:rsid w:val="00FB16C4"/>
    <w:rsid w:val="00FB1FD2"/>
    <w:rsid w:val="00FB2493"/>
    <w:rsid w:val="00FB2B37"/>
    <w:rsid w:val="00FB30CF"/>
    <w:rsid w:val="00FB333A"/>
    <w:rsid w:val="00FB44C3"/>
    <w:rsid w:val="00FB4AF8"/>
    <w:rsid w:val="00FB4BF4"/>
    <w:rsid w:val="00FB4BFA"/>
    <w:rsid w:val="00FC05FF"/>
    <w:rsid w:val="00FC2254"/>
    <w:rsid w:val="00FC2CC2"/>
    <w:rsid w:val="00FC366B"/>
    <w:rsid w:val="00FC3F7E"/>
    <w:rsid w:val="00FC4EFA"/>
    <w:rsid w:val="00FC51CA"/>
    <w:rsid w:val="00FC5490"/>
    <w:rsid w:val="00FC57B2"/>
    <w:rsid w:val="00FC5BF1"/>
    <w:rsid w:val="00FC6EC0"/>
    <w:rsid w:val="00FC7464"/>
    <w:rsid w:val="00FC7DC5"/>
    <w:rsid w:val="00FD006D"/>
    <w:rsid w:val="00FD3829"/>
    <w:rsid w:val="00FD3C76"/>
    <w:rsid w:val="00FD4804"/>
    <w:rsid w:val="00FD4D5C"/>
    <w:rsid w:val="00FD4D8A"/>
    <w:rsid w:val="00FD5FBF"/>
    <w:rsid w:val="00FD6ECF"/>
    <w:rsid w:val="00FD7314"/>
    <w:rsid w:val="00FD7826"/>
    <w:rsid w:val="00FD7BFF"/>
    <w:rsid w:val="00FE0269"/>
    <w:rsid w:val="00FE0292"/>
    <w:rsid w:val="00FE03F7"/>
    <w:rsid w:val="00FE0DA0"/>
    <w:rsid w:val="00FE2212"/>
    <w:rsid w:val="00FE23BA"/>
    <w:rsid w:val="00FE29FD"/>
    <w:rsid w:val="00FE427E"/>
    <w:rsid w:val="00FE50DC"/>
    <w:rsid w:val="00FE510B"/>
    <w:rsid w:val="00FE589E"/>
    <w:rsid w:val="00FE60CB"/>
    <w:rsid w:val="00FE669D"/>
    <w:rsid w:val="00FE676B"/>
    <w:rsid w:val="00FE7551"/>
    <w:rsid w:val="00FF02FF"/>
    <w:rsid w:val="00FF06BC"/>
    <w:rsid w:val="00FF0A67"/>
    <w:rsid w:val="00FF0BAC"/>
    <w:rsid w:val="00FF1C27"/>
    <w:rsid w:val="00FF1C65"/>
    <w:rsid w:val="00FF21F8"/>
    <w:rsid w:val="00FF2D4A"/>
    <w:rsid w:val="00FF4D9B"/>
    <w:rsid w:val="00FF5F0C"/>
    <w:rsid w:val="00FF6E1B"/>
    <w:rsid w:val="0188473D"/>
    <w:rsid w:val="02C53C8D"/>
    <w:rsid w:val="02D21428"/>
    <w:rsid w:val="03AD5698"/>
    <w:rsid w:val="03DD5648"/>
    <w:rsid w:val="051A2167"/>
    <w:rsid w:val="054D38CE"/>
    <w:rsid w:val="057331FB"/>
    <w:rsid w:val="069C0F0B"/>
    <w:rsid w:val="07531128"/>
    <w:rsid w:val="078B3E26"/>
    <w:rsid w:val="07F716E4"/>
    <w:rsid w:val="082A24AE"/>
    <w:rsid w:val="097745EE"/>
    <w:rsid w:val="09CE1560"/>
    <w:rsid w:val="0A642D5A"/>
    <w:rsid w:val="0AC845CB"/>
    <w:rsid w:val="0ADA57AF"/>
    <w:rsid w:val="0C1A784C"/>
    <w:rsid w:val="0C223423"/>
    <w:rsid w:val="0C56191E"/>
    <w:rsid w:val="0C7475A4"/>
    <w:rsid w:val="0CDA5443"/>
    <w:rsid w:val="0CE5565F"/>
    <w:rsid w:val="0D492E3A"/>
    <w:rsid w:val="0D7D594C"/>
    <w:rsid w:val="0DAD7B8C"/>
    <w:rsid w:val="0DE24882"/>
    <w:rsid w:val="0E2E1FB8"/>
    <w:rsid w:val="0F1970D8"/>
    <w:rsid w:val="0F63129C"/>
    <w:rsid w:val="0F7375E5"/>
    <w:rsid w:val="105021B0"/>
    <w:rsid w:val="119A73A6"/>
    <w:rsid w:val="127B30E0"/>
    <w:rsid w:val="12B940CF"/>
    <w:rsid w:val="13231E1C"/>
    <w:rsid w:val="13531E84"/>
    <w:rsid w:val="13555C66"/>
    <w:rsid w:val="143E4EB1"/>
    <w:rsid w:val="14D25167"/>
    <w:rsid w:val="1509206F"/>
    <w:rsid w:val="15ED0F2A"/>
    <w:rsid w:val="15F03C8E"/>
    <w:rsid w:val="15F721EE"/>
    <w:rsid w:val="164F6297"/>
    <w:rsid w:val="16643A40"/>
    <w:rsid w:val="16663DB9"/>
    <w:rsid w:val="16A01266"/>
    <w:rsid w:val="16D377E1"/>
    <w:rsid w:val="170F329E"/>
    <w:rsid w:val="17BE0ADF"/>
    <w:rsid w:val="17ED6536"/>
    <w:rsid w:val="1836082C"/>
    <w:rsid w:val="18EE2CC7"/>
    <w:rsid w:val="19EE60B7"/>
    <w:rsid w:val="1A4E1FEA"/>
    <w:rsid w:val="1A4E66A8"/>
    <w:rsid w:val="1A971069"/>
    <w:rsid w:val="1A9A110C"/>
    <w:rsid w:val="1AEB6F08"/>
    <w:rsid w:val="1B000994"/>
    <w:rsid w:val="1B130A40"/>
    <w:rsid w:val="1B566FB7"/>
    <w:rsid w:val="1B8A49F9"/>
    <w:rsid w:val="1BF572CE"/>
    <w:rsid w:val="1C1C7681"/>
    <w:rsid w:val="1C62208B"/>
    <w:rsid w:val="1D2579B7"/>
    <w:rsid w:val="1D2F3697"/>
    <w:rsid w:val="1D617548"/>
    <w:rsid w:val="1E154F70"/>
    <w:rsid w:val="1E256988"/>
    <w:rsid w:val="1E264941"/>
    <w:rsid w:val="1EFB544A"/>
    <w:rsid w:val="1F136372"/>
    <w:rsid w:val="1FCC0C6F"/>
    <w:rsid w:val="208C70CC"/>
    <w:rsid w:val="209017EE"/>
    <w:rsid w:val="20C54490"/>
    <w:rsid w:val="20E56222"/>
    <w:rsid w:val="228C3783"/>
    <w:rsid w:val="22D5440C"/>
    <w:rsid w:val="23040172"/>
    <w:rsid w:val="238A5E5C"/>
    <w:rsid w:val="23911D4B"/>
    <w:rsid w:val="23E10087"/>
    <w:rsid w:val="253E2376"/>
    <w:rsid w:val="25A77F46"/>
    <w:rsid w:val="25DA3C3B"/>
    <w:rsid w:val="25FC7E83"/>
    <w:rsid w:val="264334CE"/>
    <w:rsid w:val="26A847DC"/>
    <w:rsid w:val="271E58D2"/>
    <w:rsid w:val="2762095B"/>
    <w:rsid w:val="277B612E"/>
    <w:rsid w:val="279D0AB7"/>
    <w:rsid w:val="27F13569"/>
    <w:rsid w:val="28E26C12"/>
    <w:rsid w:val="292D0FCF"/>
    <w:rsid w:val="294A70AE"/>
    <w:rsid w:val="297740EC"/>
    <w:rsid w:val="29B10A94"/>
    <w:rsid w:val="29C12B00"/>
    <w:rsid w:val="29C94814"/>
    <w:rsid w:val="29F45A25"/>
    <w:rsid w:val="29FF7620"/>
    <w:rsid w:val="2A2B240E"/>
    <w:rsid w:val="2A973A45"/>
    <w:rsid w:val="2AA25161"/>
    <w:rsid w:val="2AC55177"/>
    <w:rsid w:val="2B267520"/>
    <w:rsid w:val="2B3968E0"/>
    <w:rsid w:val="2B806233"/>
    <w:rsid w:val="2CAE5807"/>
    <w:rsid w:val="2CB349BC"/>
    <w:rsid w:val="2CB976F0"/>
    <w:rsid w:val="2CDF1B3F"/>
    <w:rsid w:val="2CFF73DD"/>
    <w:rsid w:val="2D705E17"/>
    <w:rsid w:val="2DF62849"/>
    <w:rsid w:val="2E326430"/>
    <w:rsid w:val="2E9D7DCB"/>
    <w:rsid w:val="2EF809EE"/>
    <w:rsid w:val="2F325C69"/>
    <w:rsid w:val="2FD85881"/>
    <w:rsid w:val="2FF95A7F"/>
    <w:rsid w:val="309A63C6"/>
    <w:rsid w:val="30CF4451"/>
    <w:rsid w:val="30EB180E"/>
    <w:rsid w:val="313333F6"/>
    <w:rsid w:val="31356FEB"/>
    <w:rsid w:val="314E1F55"/>
    <w:rsid w:val="32677FEB"/>
    <w:rsid w:val="327459F6"/>
    <w:rsid w:val="32776C4F"/>
    <w:rsid w:val="32930A10"/>
    <w:rsid w:val="329C550A"/>
    <w:rsid w:val="32D87995"/>
    <w:rsid w:val="332B5F92"/>
    <w:rsid w:val="357978CF"/>
    <w:rsid w:val="35C3763B"/>
    <w:rsid w:val="35CC15B6"/>
    <w:rsid w:val="35ED067A"/>
    <w:rsid w:val="36262DDE"/>
    <w:rsid w:val="36DB4CF9"/>
    <w:rsid w:val="37C329C2"/>
    <w:rsid w:val="380C7770"/>
    <w:rsid w:val="38CD00A6"/>
    <w:rsid w:val="392F080A"/>
    <w:rsid w:val="397B6AF5"/>
    <w:rsid w:val="39B3536A"/>
    <w:rsid w:val="39C71A85"/>
    <w:rsid w:val="3A850520"/>
    <w:rsid w:val="3ABD6A71"/>
    <w:rsid w:val="3B004D21"/>
    <w:rsid w:val="3B912A57"/>
    <w:rsid w:val="3C275B52"/>
    <w:rsid w:val="3C413A38"/>
    <w:rsid w:val="3C6F7697"/>
    <w:rsid w:val="3C8F6F2D"/>
    <w:rsid w:val="3C994E4C"/>
    <w:rsid w:val="3D450F07"/>
    <w:rsid w:val="3DA665D7"/>
    <w:rsid w:val="3DC030F4"/>
    <w:rsid w:val="3E7527B6"/>
    <w:rsid w:val="3F5B3DD4"/>
    <w:rsid w:val="3FB731F7"/>
    <w:rsid w:val="3FE536F1"/>
    <w:rsid w:val="401809F4"/>
    <w:rsid w:val="40256FEA"/>
    <w:rsid w:val="405A44FB"/>
    <w:rsid w:val="405E56FD"/>
    <w:rsid w:val="40CC7106"/>
    <w:rsid w:val="417607D7"/>
    <w:rsid w:val="41A45A1B"/>
    <w:rsid w:val="41A8103D"/>
    <w:rsid w:val="426441D6"/>
    <w:rsid w:val="426549FB"/>
    <w:rsid w:val="42964BF5"/>
    <w:rsid w:val="429A39E0"/>
    <w:rsid w:val="43A807EB"/>
    <w:rsid w:val="446C2B02"/>
    <w:rsid w:val="447C6AC3"/>
    <w:rsid w:val="4480554B"/>
    <w:rsid w:val="44924B88"/>
    <w:rsid w:val="44F433B9"/>
    <w:rsid w:val="45041012"/>
    <w:rsid w:val="47891E3E"/>
    <w:rsid w:val="479069F2"/>
    <w:rsid w:val="48114CA4"/>
    <w:rsid w:val="48214E50"/>
    <w:rsid w:val="483B65A4"/>
    <w:rsid w:val="489D725F"/>
    <w:rsid w:val="4A582693"/>
    <w:rsid w:val="4ABC2E48"/>
    <w:rsid w:val="4B4C34A0"/>
    <w:rsid w:val="4B906DF4"/>
    <w:rsid w:val="4CE10F69"/>
    <w:rsid w:val="4D082464"/>
    <w:rsid w:val="4DCB1DF5"/>
    <w:rsid w:val="4E3957FB"/>
    <w:rsid w:val="4E941B1B"/>
    <w:rsid w:val="4EE03A62"/>
    <w:rsid w:val="4F230697"/>
    <w:rsid w:val="5013708D"/>
    <w:rsid w:val="503840F6"/>
    <w:rsid w:val="513A085B"/>
    <w:rsid w:val="51622836"/>
    <w:rsid w:val="51D8197F"/>
    <w:rsid w:val="523F3A32"/>
    <w:rsid w:val="5269386D"/>
    <w:rsid w:val="528A080F"/>
    <w:rsid w:val="53314874"/>
    <w:rsid w:val="53AB5AC3"/>
    <w:rsid w:val="54CC427C"/>
    <w:rsid w:val="5651630C"/>
    <w:rsid w:val="56B65F70"/>
    <w:rsid w:val="57F639A0"/>
    <w:rsid w:val="58BC5D7D"/>
    <w:rsid w:val="591F642A"/>
    <w:rsid w:val="59563383"/>
    <w:rsid w:val="59827D88"/>
    <w:rsid w:val="59874286"/>
    <w:rsid w:val="59CE0FBC"/>
    <w:rsid w:val="59EC5FE7"/>
    <w:rsid w:val="5A2662AE"/>
    <w:rsid w:val="5A4A751E"/>
    <w:rsid w:val="5A6A0DA5"/>
    <w:rsid w:val="5A7668FF"/>
    <w:rsid w:val="5AAF3916"/>
    <w:rsid w:val="5AC35323"/>
    <w:rsid w:val="5AC57CA8"/>
    <w:rsid w:val="5B096F15"/>
    <w:rsid w:val="5B4040F8"/>
    <w:rsid w:val="5B59055D"/>
    <w:rsid w:val="5BEE1155"/>
    <w:rsid w:val="5C434EF1"/>
    <w:rsid w:val="5C6231F2"/>
    <w:rsid w:val="5C755503"/>
    <w:rsid w:val="5CBD78B2"/>
    <w:rsid w:val="5CC25C08"/>
    <w:rsid w:val="5CF4326B"/>
    <w:rsid w:val="5D441A31"/>
    <w:rsid w:val="5E313816"/>
    <w:rsid w:val="5E8312B8"/>
    <w:rsid w:val="5E8D3BFF"/>
    <w:rsid w:val="5EDB52E5"/>
    <w:rsid w:val="5F9A650D"/>
    <w:rsid w:val="601119C8"/>
    <w:rsid w:val="60310705"/>
    <w:rsid w:val="60BD636B"/>
    <w:rsid w:val="61C81BE1"/>
    <w:rsid w:val="61E24B14"/>
    <w:rsid w:val="62472623"/>
    <w:rsid w:val="62E3135C"/>
    <w:rsid w:val="63380E71"/>
    <w:rsid w:val="63640DA9"/>
    <w:rsid w:val="64772139"/>
    <w:rsid w:val="65953DD2"/>
    <w:rsid w:val="680B5C8D"/>
    <w:rsid w:val="68446A19"/>
    <w:rsid w:val="691878C2"/>
    <w:rsid w:val="69623D09"/>
    <w:rsid w:val="69632D8C"/>
    <w:rsid w:val="6A063015"/>
    <w:rsid w:val="6A763D4B"/>
    <w:rsid w:val="6ACD1129"/>
    <w:rsid w:val="6ADA0FE4"/>
    <w:rsid w:val="6B1B027A"/>
    <w:rsid w:val="6B311473"/>
    <w:rsid w:val="6B3929BF"/>
    <w:rsid w:val="6C0905E4"/>
    <w:rsid w:val="6D4B1B60"/>
    <w:rsid w:val="6D7F2B9B"/>
    <w:rsid w:val="6D806864"/>
    <w:rsid w:val="6E613F0F"/>
    <w:rsid w:val="6F094772"/>
    <w:rsid w:val="6F2C6363"/>
    <w:rsid w:val="6F933628"/>
    <w:rsid w:val="6FE532F1"/>
    <w:rsid w:val="703123D2"/>
    <w:rsid w:val="70A8149F"/>
    <w:rsid w:val="70AE5831"/>
    <w:rsid w:val="712C7FBB"/>
    <w:rsid w:val="71482132"/>
    <w:rsid w:val="7183580B"/>
    <w:rsid w:val="71F1229A"/>
    <w:rsid w:val="7262594E"/>
    <w:rsid w:val="726351C1"/>
    <w:rsid w:val="72B91BEA"/>
    <w:rsid w:val="730B5096"/>
    <w:rsid w:val="744410BB"/>
    <w:rsid w:val="7457698B"/>
    <w:rsid w:val="750104E2"/>
    <w:rsid w:val="75262982"/>
    <w:rsid w:val="76016200"/>
    <w:rsid w:val="761D25D2"/>
    <w:rsid w:val="765B262A"/>
    <w:rsid w:val="77112212"/>
    <w:rsid w:val="772B47F0"/>
    <w:rsid w:val="77542C46"/>
    <w:rsid w:val="77920DDB"/>
    <w:rsid w:val="77E276B9"/>
    <w:rsid w:val="78A62762"/>
    <w:rsid w:val="78B43FDC"/>
    <w:rsid w:val="78ED5D7B"/>
    <w:rsid w:val="7917499F"/>
    <w:rsid w:val="798844A3"/>
    <w:rsid w:val="7A004E50"/>
    <w:rsid w:val="7A0A1437"/>
    <w:rsid w:val="7A7259AB"/>
    <w:rsid w:val="7ADD5D8F"/>
    <w:rsid w:val="7B23152C"/>
    <w:rsid w:val="7B272834"/>
    <w:rsid w:val="7B8C13AD"/>
    <w:rsid w:val="7D4A380F"/>
    <w:rsid w:val="7D985E7F"/>
    <w:rsid w:val="7DDD7E06"/>
    <w:rsid w:val="7E3C03A5"/>
    <w:rsid w:val="7E423C62"/>
    <w:rsid w:val="7F084AD6"/>
    <w:rsid w:val="7F494A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link w:val="93"/>
    <w:qFormat/>
    <w:uiPriority w:val="0"/>
    <w:pPr>
      <w:keepNext/>
      <w:keepLines/>
      <w:spacing w:before="340" w:beforeLines="0" w:after="330" w:afterLines="0" w:line="578" w:lineRule="auto"/>
      <w:outlineLvl w:val="0"/>
    </w:pPr>
    <w:rPr>
      <w:b/>
      <w:bCs/>
      <w:kern w:val="44"/>
      <w:sz w:val="44"/>
      <w:szCs w:val="44"/>
    </w:rPr>
  </w:style>
  <w:style w:type="paragraph" w:styleId="6">
    <w:name w:val="heading 2"/>
    <w:basedOn w:val="1"/>
    <w:next w:val="1"/>
    <w:link w:val="94"/>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7">
    <w:name w:val="heading 3"/>
    <w:basedOn w:val="1"/>
    <w:next w:val="1"/>
    <w:link w:val="95"/>
    <w:qFormat/>
    <w:uiPriority w:val="0"/>
    <w:pPr>
      <w:keepNext/>
      <w:keepLines/>
      <w:spacing w:before="260" w:beforeLines="0" w:after="260" w:afterLines="0" w:line="416" w:lineRule="auto"/>
      <w:outlineLvl w:val="2"/>
    </w:pPr>
    <w:rPr>
      <w:b/>
      <w:bCs/>
      <w:sz w:val="32"/>
      <w:szCs w:val="32"/>
    </w:rPr>
  </w:style>
  <w:style w:type="paragraph" w:styleId="8">
    <w:name w:val="heading 4"/>
    <w:basedOn w:val="1"/>
    <w:next w:val="1"/>
    <w:link w:val="96"/>
    <w:qFormat/>
    <w:uiPriority w:val="0"/>
    <w:pPr>
      <w:snapToGrid w:val="0"/>
      <w:spacing w:before="156" w:beforeLines="0" w:after="156" w:afterLines="0" w:line="360" w:lineRule="auto"/>
      <w:ind w:left="907"/>
      <w:jc w:val="left"/>
      <w:outlineLvl w:val="3"/>
    </w:pPr>
    <w:rPr>
      <w:rFonts w:ascii="Verdana" w:hAnsi="Verdana"/>
      <w:b/>
      <w:bCs/>
      <w:color w:val="000000"/>
      <w:kern w:val="0"/>
      <w:sz w:val="24"/>
      <w:szCs w:val="24"/>
    </w:rPr>
  </w:style>
  <w:style w:type="paragraph" w:styleId="9">
    <w:name w:val="heading 5"/>
    <w:basedOn w:val="1"/>
    <w:next w:val="1"/>
    <w:link w:val="97"/>
    <w:qFormat/>
    <w:uiPriority w:val="0"/>
    <w:pPr>
      <w:keepNext/>
      <w:keepLines/>
      <w:spacing w:before="280" w:beforeLines="0" w:after="290" w:afterLines="0" w:line="376" w:lineRule="auto"/>
      <w:outlineLvl w:val="4"/>
    </w:pPr>
    <w:rPr>
      <w:b/>
      <w:bCs/>
      <w:sz w:val="28"/>
      <w:szCs w:val="28"/>
    </w:rPr>
  </w:style>
  <w:style w:type="paragraph" w:styleId="10">
    <w:name w:val="heading 6"/>
    <w:basedOn w:val="1"/>
    <w:next w:val="1"/>
    <w:link w:val="98"/>
    <w:qFormat/>
    <w:uiPriority w:val="0"/>
    <w:pPr>
      <w:keepNext/>
      <w:keepLines/>
      <w:spacing w:before="240" w:beforeLines="0" w:after="64" w:afterLines="0" w:line="320" w:lineRule="auto"/>
      <w:outlineLvl w:val="5"/>
    </w:pPr>
    <w:rPr>
      <w:rFonts w:ascii="Arial" w:hAnsi="Arial" w:eastAsia="黑体"/>
      <w:b/>
      <w:bCs/>
      <w:sz w:val="24"/>
      <w:szCs w:val="24"/>
    </w:rPr>
  </w:style>
  <w:style w:type="paragraph" w:styleId="11">
    <w:name w:val="heading 7"/>
    <w:basedOn w:val="1"/>
    <w:next w:val="12"/>
    <w:link w:val="99"/>
    <w:qFormat/>
    <w:uiPriority w:val="0"/>
    <w:pPr>
      <w:keepNext/>
      <w:keepLines/>
      <w:tabs>
        <w:tab w:val="left" w:pos="1296"/>
      </w:tabs>
      <w:spacing w:before="240" w:beforeLines="0" w:after="64" w:afterLines="0" w:line="320" w:lineRule="auto"/>
      <w:ind w:left="1296" w:hanging="1296"/>
      <w:outlineLvl w:val="6"/>
    </w:pPr>
    <w:rPr>
      <w:b/>
      <w:sz w:val="24"/>
    </w:rPr>
  </w:style>
  <w:style w:type="paragraph" w:styleId="13">
    <w:name w:val="heading 8"/>
    <w:basedOn w:val="1"/>
    <w:next w:val="12"/>
    <w:link w:val="101"/>
    <w:qFormat/>
    <w:uiPriority w:val="0"/>
    <w:pPr>
      <w:keepNext/>
      <w:keepLines/>
      <w:tabs>
        <w:tab w:val="left" w:pos="1440"/>
      </w:tabs>
      <w:spacing w:before="240" w:beforeLines="0" w:after="64" w:afterLines="0" w:line="320" w:lineRule="auto"/>
      <w:ind w:left="1440" w:hanging="1440"/>
      <w:outlineLvl w:val="7"/>
    </w:pPr>
    <w:rPr>
      <w:rFonts w:ascii="Arial" w:hAnsi="Arial" w:eastAsia="黑体"/>
      <w:sz w:val="24"/>
    </w:rPr>
  </w:style>
  <w:style w:type="paragraph" w:styleId="14">
    <w:name w:val="heading 9"/>
    <w:basedOn w:val="1"/>
    <w:next w:val="12"/>
    <w:link w:val="102"/>
    <w:qFormat/>
    <w:uiPriority w:val="0"/>
    <w:pPr>
      <w:keepNext/>
      <w:keepLines/>
      <w:tabs>
        <w:tab w:val="left" w:pos="1584"/>
      </w:tabs>
      <w:spacing w:before="240" w:beforeLines="0" w:after="64" w:afterLines="0" w:line="320" w:lineRule="auto"/>
      <w:ind w:left="1584" w:hanging="1584"/>
      <w:outlineLvl w:val="8"/>
    </w:pPr>
    <w:rPr>
      <w:rFonts w:ascii="Arial" w:hAnsi="Arial" w:eastAsia="黑体"/>
    </w:rPr>
  </w:style>
  <w:style w:type="character" w:default="1" w:styleId="75">
    <w:name w:val="Default Paragraph Font"/>
    <w:qFormat/>
    <w:uiPriority w:val="0"/>
  </w:style>
  <w:style w:type="table" w:default="1" w:styleId="73">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rPr>
      <w:szCs w:val="24"/>
    </w:rPr>
  </w:style>
  <w:style w:type="paragraph" w:styleId="3">
    <w:name w:val="Body Text Indent"/>
    <w:basedOn w:val="1"/>
    <w:link w:val="91"/>
    <w:qFormat/>
    <w:uiPriority w:val="0"/>
    <w:pPr>
      <w:spacing w:after="120" w:afterLines="0"/>
      <w:ind w:left="420" w:leftChars="200"/>
    </w:pPr>
  </w:style>
  <w:style w:type="paragraph" w:styleId="4">
    <w:name w:val="macro"/>
    <w:link w:val="92"/>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Times New Roman"/>
      <w:kern w:val="2"/>
      <w:sz w:val="24"/>
      <w:lang w:val="en-US" w:eastAsia="zh-CN" w:bidi="ar-SA"/>
    </w:rPr>
  </w:style>
  <w:style w:type="paragraph" w:styleId="12">
    <w:name w:val="Normal Indent"/>
    <w:basedOn w:val="1"/>
    <w:link w:val="100"/>
    <w:qFormat/>
    <w:uiPriority w:val="0"/>
    <w:pPr>
      <w:spacing w:line="360" w:lineRule="auto"/>
      <w:ind w:firstLine="200" w:firstLineChars="200"/>
    </w:pPr>
    <w:rPr>
      <w:sz w:val="24"/>
    </w:rPr>
  </w:style>
  <w:style w:type="paragraph" w:styleId="15">
    <w:name w:val="List 3"/>
    <w:basedOn w:val="1"/>
    <w:qFormat/>
    <w:uiPriority w:val="0"/>
    <w:pPr>
      <w:ind w:left="100" w:leftChars="400" w:hanging="200" w:hangingChars="200"/>
    </w:pPr>
  </w:style>
  <w:style w:type="paragraph" w:styleId="16">
    <w:name w:val="toc 7"/>
    <w:basedOn w:val="1"/>
    <w:next w:val="1"/>
    <w:qFormat/>
    <w:uiPriority w:val="0"/>
    <w:pPr>
      <w:ind w:left="1260"/>
      <w:jc w:val="left"/>
    </w:pPr>
    <w:rPr>
      <w:sz w:val="18"/>
      <w:szCs w:val="18"/>
    </w:rPr>
  </w:style>
  <w:style w:type="paragraph" w:styleId="17">
    <w:name w:val="List Number 2"/>
    <w:basedOn w:val="1"/>
    <w:qFormat/>
    <w:uiPriority w:val="0"/>
    <w:pPr>
      <w:tabs>
        <w:tab w:val="left" w:pos="420"/>
      </w:tabs>
      <w:ind w:left="420" w:hanging="420"/>
    </w:pPr>
  </w:style>
  <w:style w:type="paragraph" w:styleId="18">
    <w:name w:val="table of authorities"/>
    <w:basedOn w:val="1"/>
    <w:next w:val="1"/>
    <w:qFormat/>
    <w:uiPriority w:val="0"/>
    <w:pPr>
      <w:spacing w:line="360" w:lineRule="auto"/>
      <w:ind w:left="420" w:leftChars="200"/>
    </w:pPr>
    <w:rPr>
      <w:rFonts w:ascii="Plotter" w:hAnsi="Plotter"/>
    </w:rPr>
  </w:style>
  <w:style w:type="paragraph" w:styleId="19">
    <w:name w:val="Note Heading"/>
    <w:basedOn w:val="1"/>
    <w:next w:val="1"/>
    <w:link w:val="103"/>
    <w:qFormat/>
    <w:uiPriority w:val="0"/>
    <w:pPr>
      <w:spacing w:line="360" w:lineRule="auto"/>
      <w:jc w:val="center"/>
    </w:pPr>
    <w:rPr>
      <w:sz w:val="24"/>
    </w:rPr>
  </w:style>
  <w:style w:type="paragraph" w:styleId="20">
    <w:name w:val="List Bullet 4"/>
    <w:basedOn w:val="1"/>
    <w:qFormat/>
    <w:uiPriority w:val="0"/>
    <w:pPr>
      <w:tabs>
        <w:tab w:val="left" w:pos="360"/>
      </w:tabs>
      <w:ind w:left="360" w:hanging="420"/>
    </w:pPr>
  </w:style>
  <w:style w:type="paragraph" w:styleId="21">
    <w:name w:val="List Number"/>
    <w:basedOn w:val="1"/>
    <w:qFormat/>
    <w:uiPriority w:val="0"/>
    <w:pPr>
      <w:numPr>
        <w:ilvl w:val="0"/>
        <w:numId w:val="1"/>
      </w:numPr>
    </w:pPr>
    <w:rPr>
      <w:szCs w:val="24"/>
    </w:rPr>
  </w:style>
  <w:style w:type="paragraph" w:styleId="22">
    <w:name w:val="caption"/>
    <w:basedOn w:val="1"/>
    <w:next w:val="1"/>
    <w:link w:val="104"/>
    <w:qFormat/>
    <w:uiPriority w:val="0"/>
    <w:pPr>
      <w:spacing w:before="152" w:beforeLines="0" w:after="160" w:afterLines="0"/>
    </w:pPr>
    <w:rPr>
      <w:rFonts w:ascii="Arial" w:hAnsi="Arial" w:eastAsia="黑体"/>
      <w:sz w:val="20"/>
    </w:rPr>
  </w:style>
  <w:style w:type="paragraph" w:styleId="23">
    <w:name w:val="index 5"/>
    <w:basedOn w:val="1"/>
    <w:next w:val="1"/>
    <w:qFormat/>
    <w:uiPriority w:val="0"/>
    <w:pPr>
      <w:ind w:left="800" w:leftChars="800"/>
    </w:pPr>
  </w:style>
  <w:style w:type="paragraph" w:styleId="24">
    <w:name w:val="List Bullet"/>
    <w:basedOn w:val="1"/>
    <w:qFormat/>
    <w:uiPriority w:val="0"/>
    <w:pPr>
      <w:tabs>
        <w:tab w:val="left" w:pos="420"/>
      </w:tabs>
      <w:ind w:left="420" w:hanging="420"/>
    </w:pPr>
  </w:style>
  <w:style w:type="paragraph" w:styleId="25">
    <w:name w:val="Document Map"/>
    <w:basedOn w:val="1"/>
    <w:link w:val="105"/>
    <w:qFormat/>
    <w:uiPriority w:val="0"/>
    <w:pPr>
      <w:shd w:val="clear" w:color="auto" w:fill="000080"/>
    </w:pPr>
    <w:rPr>
      <w:shd w:val="clear" w:color="auto" w:fill="000080"/>
    </w:rPr>
  </w:style>
  <w:style w:type="paragraph" w:styleId="26">
    <w:name w:val="toa heading"/>
    <w:basedOn w:val="1"/>
    <w:next w:val="1"/>
    <w:qFormat/>
    <w:uiPriority w:val="0"/>
    <w:pPr>
      <w:spacing w:before="120" w:beforeLines="0"/>
    </w:pPr>
    <w:rPr>
      <w:rFonts w:ascii="Arial" w:hAnsi="Arial" w:cs="Arial"/>
      <w:sz w:val="24"/>
      <w:szCs w:val="24"/>
    </w:rPr>
  </w:style>
  <w:style w:type="paragraph" w:styleId="27">
    <w:name w:val="annotation text"/>
    <w:basedOn w:val="1"/>
    <w:link w:val="106"/>
    <w:qFormat/>
    <w:uiPriority w:val="99"/>
    <w:pPr>
      <w:jc w:val="left"/>
    </w:pPr>
    <w:rPr>
      <w:szCs w:val="24"/>
    </w:rPr>
  </w:style>
  <w:style w:type="paragraph" w:styleId="28">
    <w:name w:val="Salutation"/>
    <w:basedOn w:val="1"/>
    <w:next w:val="1"/>
    <w:link w:val="107"/>
    <w:qFormat/>
    <w:uiPriority w:val="0"/>
    <w:rPr>
      <w:rFonts w:ascii="Arial" w:hAnsi="Arial"/>
      <w:sz w:val="24"/>
      <w:szCs w:val="24"/>
    </w:rPr>
  </w:style>
  <w:style w:type="paragraph" w:styleId="29">
    <w:name w:val="Body Text 3"/>
    <w:basedOn w:val="1"/>
    <w:link w:val="108"/>
    <w:qFormat/>
    <w:uiPriority w:val="0"/>
    <w:pPr>
      <w:spacing w:after="120" w:afterLines="0"/>
    </w:pPr>
    <w:rPr>
      <w:sz w:val="16"/>
      <w:szCs w:val="16"/>
    </w:rPr>
  </w:style>
  <w:style w:type="paragraph" w:styleId="30">
    <w:name w:val="Closing"/>
    <w:basedOn w:val="1"/>
    <w:link w:val="109"/>
    <w:qFormat/>
    <w:uiPriority w:val="0"/>
    <w:pPr>
      <w:ind w:left="100" w:leftChars="2100"/>
    </w:pPr>
    <w:rPr>
      <w:rFonts w:ascii="宋体" w:hAnsi="宋体"/>
      <w:spacing w:val="20"/>
      <w:sz w:val="24"/>
    </w:rPr>
  </w:style>
  <w:style w:type="paragraph" w:styleId="31">
    <w:name w:val="List Bullet 3"/>
    <w:basedOn w:val="1"/>
    <w:qFormat/>
    <w:uiPriority w:val="0"/>
    <w:pPr>
      <w:numPr>
        <w:ilvl w:val="0"/>
        <w:numId w:val="2"/>
      </w:numPr>
      <w:spacing w:before="60" w:after="60" w:line="300" w:lineRule="auto"/>
    </w:pPr>
    <w:rPr>
      <w:sz w:val="24"/>
    </w:rPr>
  </w:style>
  <w:style w:type="paragraph" w:styleId="32">
    <w:name w:val="Body Text"/>
    <w:basedOn w:val="1"/>
    <w:next w:val="1"/>
    <w:link w:val="110"/>
    <w:qFormat/>
    <w:uiPriority w:val="0"/>
    <w:pPr>
      <w:spacing w:after="120" w:afterLines="0"/>
    </w:pPr>
  </w:style>
  <w:style w:type="paragraph" w:styleId="33">
    <w:name w:val="List Number 3"/>
    <w:basedOn w:val="1"/>
    <w:qFormat/>
    <w:uiPriority w:val="0"/>
    <w:pPr>
      <w:tabs>
        <w:tab w:val="left" w:pos="420"/>
      </w:tabs>
      <w:ind w:left="420" w:hanging="420"/>
    </w:pPr>
  </w:style>
  <w:style w:type="paragraph" w:styleId="34">
    <w:name w:val="List 2"/>
    <w:basedOn w:val="1"/>
    <w:qFormat/>
    <w:uiPriority w:val="0"/>
    <w:pPr>
      <w:ind w:left="100" w:leftChars="200" w:hanging="200" w:hangingChars="200"/>
    </w:pPr>
    <w:rPr>
      <w:szCs w:val="24"/>
    </w:rPr>
  </w:style>
  <w:style w:type="paragraph" w:styleId="35">
    <w:name w:val="Block Text"/>
    <w:basedOn w:val="1"/>
    <w:qFormat/>
    <w:uiPriority w:val="0"/>
    <w:pPr>
      <w:autoSpaceDE w:val="0"/>
      <w:autoSpaceDN w:val="0"/>
      <w:adjustRightInd w:val="0"/>
      <w:snapToGrid w:val="0"/>
      <w:spacing w:line="480" w:lineRule="auto"/>
      <w:ind w:left="-189" w:leftChars="-90" w:right="-567" w:firstLine="420" w:firstLineChars="200"/>
      <w:jc w:val="left"/>
    </w:pPr>
    <w:rPr>
      <w:rFonts w:ascii="宋体" w:hAnsi="宋体"/>
      <w:bCs/>
      <w:szCs w:val="24"/>
    </w:rPr>
  </w:style>
  <w:style w:type="paragraph" w:styleId="36">
    <w:name w:val="List Bullet 2"/>
    <w:basedOn w:val="1"/>
    <w:qFormat/>
    <w:uiPriority w:val="0"/>
    <w:pPr>
      <w:numPr>
        <w:ilvl w:val="0"/>
        <w:numId w:val="3"/>
      </w:numPr>
      <w:spacing w:before="60" w:after="60" w:line="300" w:lineRule="auto"/>
    </w:pPr>
    <w:rPr>
      <w:sz w:val="24"/>
    </w:rPr>
  </w:style>
  <w:style w:type="paragraph" w:styleId="37">
    <w:name w:val="toc 5"/>
    <w:basedOn w:val="1"/>
    <w:next w:val="1"/>
    <w:qFormat/>
    <w:uiPriority w:val="0"/>
    <w:pPr>
      <w:ind w:left="840"/>
      <w:jc w:val="left"/>
    </w:pPr>
    <w:rPr>
      <w:sz w:val="18"/>
      <w:szCs w:val="18"/>
    </w:rPr>
  </w:style>
  <w:style w:type="paragraph" w:styleId="38">
    <w:name w:val="toc 3"/>
    <w:basedOn w:val="1"/>
    <w:next w:val="1"/>
    <w:qFormat/>
    <w:uiPriority w:val="0"/>
    <w:pPr>
      <w:ind w:left="420"/>
      <w:jc w:val="left"/>
    </w:pPr>
    <w:rPr>
      <w:i/>
      <w:iCs/>
      <w:sz w:val="20"/>
    </w:rPr>
  </w:style>
  <w:style w:type="paragraph" w:styleId="39">
    <w:name w:val="Plain Text"/>
    <w:basedOn w:val="1"/>
    <w:link w:val="111"/>
    <w:qFormat/>
    <w:uiPriority w:val="0"/>
    <w:rPr>
      <w:rFonts w:ascii="宋体" w:hAnsi="Courier New"/>
      <w:sz w:val="24"/>
    </w:rPr>
  </w:style>
  <w:style w:type="paragraph" w:styleId="40">
    <w:name w:val="List Bullet 5"/>
    <w:basedOn w:val="1"/>
    <w:qFormat/>
    <w:uiPriority w:val="0"/>
    <w:pPr>
      <w:tabs>
        <w:tab w:val="left" w:pos="420"/>
      </w:tabs>
      <w:ind w:left="420" w:hanging="420"/>
    </w:pPr>
  </w:style>
  <w:style w:type="paragraph" w:styleId="41">
    <w:name w:val="List Number 4"/>
    <w:basedOn w:val="1"/>
    <w:qFormat/>
    <w:uiPriority w:val="0"/>
    <w:pPr>
      <w:tabs>
        <w:tab w:val="left" w:pos="420"/>
      </w:tabs>
      <w:ind w:left="420" w:hanging="420"/>
    </w:pPr>
  </w:style>
  <w:style w:type="paragraph" w:styleId="42">
    <w:name w:val="toc 8"/>
    <w:basedOn w:val="1"/>
    <w:next w:val="1"/>
    <w:qFormat/>
    <w:uiPriority w:val="0"/>
    <w:pPr>
      <w:ind w:left="1470"/>
      <w:jc w:val="left"/>
    </w:pPr>
    <w:rPr>
      <w:sz w:val="18"/>
      <w:szCs w:val="18"/>
    </w:rPr>
  </w:style>
  <w:style w:type="paragraph" w:styleId="43">
    <w:name w:val="Date"/>
    <w:basedOn w:val="1"/>
    <w:next w:val="1"/>
    <w:link w:val="112"/>
    <w:qFormat/>
    <w:uiPriority w:val="0"/>
    <w:pPr>
      <w:ind w:left="100" w:leftChars="2500"/>
    </w:pPr>
  </w:style>
  <w:style w:type="paragraph" w:styleId="44">
    <w:name w:val="Body Text Indent 2"/>
    <w:basedOn w:val="1"/>
    <w:link w:val="113"/>
    <w:qFormat/>
    <w:uiPriority w:val="0"/>
    <w:pPr>
      <w:spacing w:line="360" w:lineRule="auto"/>
      <w:ind w:left="-61" w:leftChars="-29" w:firstLine="458" w:firstLineChars="218"/>
    </w:pPr>
    <w:rPr>
      <w:rFonts w:ascii="宋体" w:hAnsi="宋体"/>
      <w:szCs w:val="32"/>
    </w:rPr>
  </w:style>
  <w:style w:type="paragraph" w:styleId="45">
    <w:name w:val="List Continue 5"/>
    <w:basedOn w:val="1"/>
    <w:qFormat/>
    <w:uiPriority w:val="0"/>
    <w:pPr>
      <w:spacing w:after="120" w:afterLines="0"/>
      <w:ind w:left="2100" w:leftChars="1000"/>
    </w:pPr>
  </w:style>
  <w:style w:type="paragraph" w:styleId="46">
    <w:name w:val="Balloon Text"/>
    <w:basedOn w:val="1"/>
    <w:link w:val="114"/>
    <w:qFormat/>
    <w:uiPriority w:val="0"/>
    <w:rPr>
      <w:sz w:val="18"/>
      <w:szCs w:val="18"/>
    </w:rPr>
  </w:style>
  <w:style w:type="paragraph" w:styleId="47">
    <w:name w:val="footer"/>
    <w:basedOn w:val="1"/>
    <w:link w:val="115"/>
    <w:qFormat/>
    <w:uiPriority w:val="99"/>
    <w:pPr>
      <w:tabs>
        <w:tab w:val="center" w:pos="4153"/>
        <w:tab w:val="right" w:pos="8306"/>
      </w:tabs>
      <w:snapToGrid w:val="0"/>
      <w:jc w:val="left"/>
    </w:pPr>
    <w:rPr>
      <w:sz w:val="18"/>
      <w:szCs w:val="18"/>
    </w:rPr>
  </w:style>
  <w:style w:type="paragraph" w:styleId="48">
    <w:name w:val="envelope return"/>
    <w:basedOn w:val="1"/>
    <w:qFormat/>
    <w:uiPriority w:val="0"/>
    <w:pPr>
      <w:snapToGrid w:val="0"/>
      <w:spacing w:line="360" w:lineRule="auto"/>
    </w:pPr>
    <w:rPr>
      <w:rFonts w:ascii="Arial" w:hAnsi="Arial"/>
      <w:sz w:val="24"/>
    </w:rPr>
  </w:style>
  <w:style w:type="paragraph" w:styleId="49">
    <w:name w:val="header"/>
    <w:basedOn w:val="1"/>
    <w:link w:val="116"/>
    <w:qFormat/>
    <w:uiPriority w:val="0"/>
    <w:pPr>
      <w:pBdr>
        <w:bottom w:val="single" w:color="auto" w:sz="6" w:space="1"/>
      </w:pBdr>
      <w:tabs>
        <w:tab w:val="center" w:pos="4153"/>
        <w:tab w:val="right" w:pos="8306"/>
      </w:tabs>
      <w:snapToGrid w:val="0"/>
      <w:jc w:val="center"/>
    </w:pPr>
    <w:rPr>
      <w:sz w:val="18"/>
      <w:szCs w:val="18"/>
    </w:rPr>
  </w:style>
  <w:style w:type="paragraph" w:styleId="50">
    <w:name w:val="toc 1"/>
    <w:basedOn w:val="1"/>
    <w:next w:val="1"/>
    <w:qFormat/>
    <w:uiPriority w:val="39"/>
    <w:pPr>
      <w:tabs>
        <w:tab w:val="right" w:leader="dot" w:pos="9060"/>
      </w:tabs>
      <w:spacing w:after="120" w:afterLines="0" w:line="360" w:lineRule="exact"/>
      <w:ind w:firstLine="198"/>
      <w:jc w:val="center"/>
    </w:pPr>
    <w:rPr>
      <w:rFonts w:ascii="宋体" w:hAnsi="宋体" w:cs="Times New Roman"/>
      <w:b/>
      <w:bCs/>
      <w:caps/>
    </w:rPr>
  </w:style>
  <w:style w:type="paragraph" w:styleId="51">
    <w:name w:val="toc 4"/>
    <w:basedOn w:val="1"/>
    <w:next w:val="1"/>
    <w:qFormat/>
    <w:uiPriority w:val="0"/>
    <w:pPr>
      <w:ind w:left="630"/>
      <w:jc w:val="left"/>
    </w:pPr>
    <w:rPr>
      <w:sz w:val="18"/>
      <w:szCs w:val="18"/>
    </w:rPr>
  </w:style>
  <w:style w:type="paragraph" w:styleId="52">
    <w:name w:val="index heading"/>
    <w:basedOn w:val="53"/>
    <w:next w:val="54"/>
    <w:qFormat/>
    <w:uiPriority w:val="0"/>
    <w:pPr>
      <w:keepLines w:val="0"/>
      <w:spacing w:before="0" w:beforeLines="0" w:line="480" w:lineRule="atLeast"/>
      <w:ind w:left="0"/>
    </w:pPr>
    <w:rPr>
      <w:rFonts w:ascii="Arial Black" w:hAnsi="Arial Black"/>
      <w:spacing w:val="-5"/>
      <w:kern w:val="0"/>
      <w:sz w:val="24"/>
    </w:rPr>
  </w:style>
  <w:style w:type="paragraph" w:customStyle="1" w:styleId="53">
    <w:name w:val="Heading Base"/>
    <w:basedOn w:val="1"/>
    <w:next w:val="32"/>
    <w:link w:val="117"/>
    <w:qFormat/>
    <w:uiPriority w:val="0"/>
    <w:pPr>
      <w:keepNext/>
      <w:keepLines/>
      <w:widowControl/>
      <w:spacing w:before="140" w:beforeLines="0" w:line="220" w:lineRule="atLeast"/>
      <w:ind w:left="1080"/>
      <w:jc w:val="left"/>
    </w:pPr>
    <w:rPr>
      <w:rFonts w:ascii="Arial" w:hAnsi="Arial" w:eastAsia="仿宋体"/>
      <w:spacing w:val="-4"/>
      <w:kern w:val="28"/>
      <w:sz w:val="22"/>
      <w:lang w:eastAsia="en-US"/>
    </w:rPr>
  </w:style>
  <w:style w:type="paragraph" w:styleId="54">
    <w:name w:val="index 1"/>
    <w:basedOn w:val="1"/>
    <w:next w:val="1"/>
    <w:qFormat/>
    <w:uiPriority w:val="0"/>
  </w:style>
  <w:style w:type="paragraph" w:styleId="55">
    <w:name w:val="Subtitle"/>
    <w:basedOn w:val="1"/>
    <w:link w:val="118"/>
    <w:qFormat/>
    <w:uiPriority w:val="0"/>
    <w:pPr>
      <w:widowControl/>
      <w:jc w:val="center"/>
    </w:pPr>
    <w:rPr>
      <w:rFonts w:ascii="Arial" w:hAnsi="Arial" w:eastAsia="Times New Roman"/>
      <w:b/>
      <w:kern w:val="0"/>
      <w:sz w:val="28"/>
      <w:szCs w:val="24"/>
      <w:lang w:val="fr-FR"/>
    </w:rPr>
  </w:style>
  <w:style w:type="paragraph" w:styleId="56">
    <w:name w:val="List Number 5"/>
    <w:basedOn w:val="1"/>
    <w:qFormat/>
    <w:uiPriority w:val="0"/>
    <w:pPr>
      <w:tabs>
        <w:tab w:val="left" w:pos="1260"/>
      </w:tabs>
      <w:ind w:left="1260" w:hanging="420"/>
    </w:pPr>
  </w:style>
  <w:style w:type="paragraph" w:styleId="57">
    <w:name w:val="List"/>
    <w:basedOn w:val="1"/>
    <w:qFormat/>
    <w:uiPriority w:val="0"/>
    <w:pPr>
      <w:numPr>
        <w:ilvl w:val="0"/>
        <w:numId w:val="4"/>
      </w:numPr>
      <w:tabs>
        <w:tab w:val="clear" w:pos="1701"/>
      </w:tabs>
      <w:ind w:left="200" w:hanging="200" w:hangingChars="200"/>
    </w:pPr>
    <w:rPr>
      <w:rFonts w:ascii="Arial" w:hAnsi="Arial"/>
      <w:sz w:val="24"/>
      <w:szCs w:val="24"/>
    </w:rPr>
  </w:style>
  <w:style w:type="paragraph" w:styleId="58">
    <w:name w:val="footnote text"/>
    <w:basedOn w:val="1"/>
    <w:link w:val="119"/>
    <w:qFormat/>
    <w:uiPriority w:val="0"/>
    <w:pPr>
      <w:snapToGrid w:val="0"/>
      <w:spacing w:line="360" w:lineRule="auto"/>
      <w:jc w:val="left"/>
    </w:pPr>
    <w:rPr>
      <w:sz w:val="18"/>
    </w:rPr>
  </w:style>
  <w:style w:type="paragraph" w:styleId="59">
    <w:name w:val="toc 6"/>
    <w:basedOn w:val="1"/>
    <w:next w:val="1"/>
    <w:qFormat/>
    <w:uiPriority w:val="0"/>
    <w:pPr>
      <w:ind w:left="1050"/>
      <w:jc w:val="left"/>
    </w:pPr>
    <w:rPr>
      <w:sz w:val="18"/>
      <w:szCs w:val="18"/>
    </w:rPr>
  </w:style>
  <w:style w:type="paragraph" w:styleId="60">
    <w:name w:val="Body Text Indent 3"/>
    <w:basedOn w:val="1"/>
    <w:link w:val="120"/>
    <w:qFormat/>
    <w:uiPriority w:val="0"/>
    <w:pPr>
      <w:snapToGrid w:val="0"/>
      <w:spacing w:line="657" w:lineRule="atLeast"/>
      <w:ind w:firstLine="720"/>
      <w:jc w:val="left"/>
    </w:pPr>
    <w:rPr>
      <w:rFonts w:ascii="仿宋_GB2312" w:eastAsia="仿宋_GB2312"/>
      <w:b/>
      <w:bCs/>
      <w:sz w:val="36"/>
    </w:rPr>
  </w:style>
  <w:style w:type="paragraph" w:styleId="61">
    <w:name w:val="table of figures"/>
    <w:basedOn w:val="1"/>
    <w:next w:val="1"/>
    <w:qFormat/>
    <w:uiPriority w:val="0"/>
    <w:pPr>
      <w:ind w:left="840" w:leftChars="200" w:hanging="420" w:hangingChars="200"/>
    </w:pPr>
    <w:rPr>
      <w:szCs w:val="24"/>
    </w:rPr>
  </w:style>
  <w:style w:type="paragraph" w:styleId="62">
    <w:name w:val="toc 2"/>
    <w:basedOn w:val="1"/>
    <w:next w:val="1"/>
    <w:qFormat/>
    <w:uiPriority w:val="0"/>
    <w:pPr>
      <w:ind w:left="210"/>
      <w:jc w:val="left"/>
    </w:pPr>
    <w:rPr>
      <w:smallCaps/>
      <w:sz w:val="20"/>
    </w:rPr>
  </w:style>
  <w:style w:type="paragraph" w:styleId="63">
    <w:name w:val="toc 9"/>
    <w:basedOn w:val="1"/>
    <w:next w:val="1"/>
    <w:qFormat/>
    <w:uiPriority w:val="0"/>
    <w:pPr>
      <w:ind w:left="1680"/>
      <w:jc w:val="left"/>
    </w:pPr>
    <w:rPr>
      <w:sz w:val="18"/>
      <w:szCs w:val="18"/>
    </w:rPr>
  </w:style>
  <w:style w:type="paragraph" w:styleId="64">
    <w:name w:val="Body Text 2"/>
    <w:basedOn w:val="1"/>
    <w:qFormat/>
    <w:uiPriority w:val="0"/>
    <w:pPr>
      <w:spacing w:after="120" w:afterLines="0" w:line="480" w:lineRule="auto"/>
    </w:pPr>
  </w:style>
  <w:style w:type="paragraph" w:styleId="65">
    <w:name w:val="Message Header"/>
    <w:basedOn w:val="32"/>
    <w:qFormat/>
    <w:uiPriority w:val="0"/>
    <w:pPr>
      <w:keepLines/>
      <w:widowControl/>
      <w:tabs>
        <w:tab w:val="left" w:pos="0"/>
        <w:tab w:val="left" w:pos="3600"/>
        <w:tab w:val="left" w:pos="4680"/>
      </w:tabs>
      <w:spacing w:line="280" w:lineRule="exact"/>
      <w:ind w:left="907" w:right="2160" w:hanging="1080"/>
      <w:jc w:val="left"/>
    </w:pPr>
    <w:rPr>
      <w:rFonts w:ascii="仿宋体" w:hAnsi="Arial" w:eastAsia="仿宋体"/>
      <w:kern w:val="0"/>
      <w:sz w:val="22"/>
    </w:rPr>
  </w:style>
  <w:style w:type="paragraph" w:styleId="66">
    <w:name w:val="HTML Preformatted"/>
    <w:basedOn w:val="1"/>
    <w:link w:val="12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rPr>
  </w:style>
  <w:style w:type="paragraph" w:styleId="67">
    <w:name w:val="Normal (Web)"/>
    <w:basedOn w:val="1"/>
    <w:link w:val="122"/>
    <w:qFormat/>
    <w:uiPriority w:val="0"/>
    <w:pPr>
      <w:widowControl/>
      <w:spacing w:before="100" w:beforeLines="0" w:beforeAutospacing="1" w:after="100" w:afterLines="0" w:afterAutospacing="1"/>
      <w:jc w:val="left"/>
    </w:pPr>
    <w:rPr>
      <w:rFonts w:ascii="宋体" w:hAnsi="宋体"/>
      <w:kern w:val="0"/>
      <w:sz w:val="24"/>
      <w:szCs w:val="24"/>
    </w:rPr>
  </w:style>
  <w:style w:type="paragraph" w:styleId="68">
    <w:name w:val="index 2"/>
    <w:basedOn w:val="69"/>
    <w:next w:val="1"/>
    <w:qFormat/>
    <w:uiPriority w:val="0"/>
    <w:pPr>
      <w:spacing w:line="360" w:lineRule="auto"/>
      <w:ind w:left="720" w:firstLine="432"/>
    </w:pPr>
    <w:rPr>
      <w:rFonts w:ascii="Times New Roman" w:hAnsi="Times New Roman"/>
      <w:sz w:val="28"/>
      <w:lang w:eastAsia="zh-CN"/>
    </w:rPr>
  </w:style>
  <w:style w:type="paragraph" w:customStyle="1" w:styleId="69">
    <w:name w:val="Index Base"/>
    <w:basedOn w:val="1"/>
    <w:qFormat/>
    <w:uiPriority w:val="0"/>
    <w:pPr>
      <w:widowControl/>
      <w:spacing w:line="240" w:lineRule="atLeast"/>
      <w:ind w:left="360" w:hanging="360"/>
      <w:jc w:val="left"/>
    </w:pPr>
    <w:rPr>
      <w:rFonts w:ascii="Arial" w:hAnsi="Arial" w:eastAsia="仿宋体"/>
      <w:spacing w:val="-5"/>
      <w:kern w:val="0"/>
      <w:sz w:val="18"/>
      <w:lang w:eastAsia="en-US"/>
    </w:rPr>
  </w:style>
  <w:style w:type="paragraph" w:styleId="70">
    <w:name w:val="Title"/>
    <w:basedOn w:val="1"/>
    <w:qFormat/>
    <w:uiPriority w:val="0"/>
    <w:pPr>
      <w:spacing w:before="240" w:beforeLines="0" w:after="60" w:afterLines="0"/>
      <w:jc w:val="center"/>
      <w:outlineLvl w:val="0"/>
    </w:pPr>
    <w:rPr>
      <w:rFonts w:ascii="Arial" w:hAnsi="Arial" w:cs="Arial"/>
      <w:b/>
      <w:bCs/>
      <w:sz w:val="32"/>
      <w:szCs w:val="32"/>
    </w:rPr>
  </w:style>
  <w:style w:type="paragraph" w:styleId="71">
    <w:name w:val="annotation subject"/>
    <w:basedOn w:val="27"/>
    <w:next w:val="27"/>
    <w:link w:val="123"/>
    <w:qFormat/>
    <w:uiPriority w:val="0"/>
    <w:rPr>
      <w:b/>
      <w:bCs/>
    </w:rPr>
  </w:style>
  <w:style w:type="paragraph" w:styleId="72">
    <w:name w:val="Body Text First Indent"/>
    <w:basedOn w:val="32"/>
    <w:link w:val="124"/>
    <w:qFormat/>
    <w:uiPriority w:val="0"/>
    <w:pPr>
      <w:ind w:firstLine="420" w:firstLineChars="100"/>
    </w:pPr>
    <w:rPr>
      <w:szCs w:val="24"/>
    </w:rPr>
  </w:style>
  <w:style w:type="table" w:styleId="74">
    <w:name w:val="Table Grid"/>
    <w:basedOn w:val="73"/>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6">
    <w:name w:val="Strong"/>
    <w:basedOn w:val="75"/>
    <w:qFormat/>
    <w:uiPriority w:val="0"/>
    <w:rPr>
      <w:b/>
      <w:bCs/>
    </w:rPr>
  </w:style>
  <w:style w:type="character" w:styleId="77">
    <w:name w:val="page number"/>
    <w:qFormat/>
    <w:uiPriority w:val="0"/>
  </w:style>
  <w:style w:type="character" w:styleId="78">
    <w:name w:val="FollowedHyperlink"/>
    <w:qFormat/>
    <w:uiPriority w:val="0"/>
    <w:rPr>
      <w:color w:val="231816"/>
      <w:u w:val="none"/>
    </w:rPr>
  </w:style>
  <w:style w:type="character" w:styleId="79">
    <w:name w:val="Emphasis"/>
    <w:qFormat/>
    <w:uiPriority w:val="0"/>
    <w:rPr>
      <w:color w:val="CC0000"/>
    </w:rPr>
  </w:style>
  <w:style w:type="character" w:styleId="80">
    <w:name w:val="HTML Definition"/>
    <w:basedOn w:val="75"/>
    <w:qFormat/>
    <w:uiPriority w:val="0"/>
    <w:rPr>
      <w:i/>
      <w:iCs/>
    </w:rPr>
  </w:style>
  <w:style w:type="character" w:styleId="81">
    <w:name w:val="HTML Typewriter"/>
    <w:basedOn w:val="75"/>
    <w:qFormat/>
    <w:uiPriority w:val="0"/>
    <w:rPr>
      <w:rFonts w:ascii="monospace" w:hAnsi="monospace" w:eastAsia="monospace" w:cs="monospace"/>
      <w:sz w:val="20"/>
    </w:rPr>
  </w:style>
  <w:style w:type="character" w:styleId="82">
    <w:name w:val="HTML Acronym"/>
    <w:basedOn w:val="75"/>
    <w:qFormat/>
    <w:uiPriority w:val="0"/>
  </w:style>
  <w:style w:type="character" w:styleId="83">
    <w:name w:val="HTML Variable"/>
    <w:basedOn w:val="75"/>
    <w:qFormat/>
    <w:uiPriority w:val="0"/>
  </w:style>
  <w:style w:type="character" w:styleId="84">
    <w:name w:val="Hyperlink"/>
    <w:qFormat/>
    <w:uiPriority w:val="99"/>
    <w:rPr>
      <w:rFonts w:ascii="微软雅黑" w:hAnsi="微软雅黑" w:eastAsia="微软雅黑" w:cs="微软雅黑"/>
      <w:color w:val="3E3E3E"/>
      <w:sz w:val="21"/>
      <w:szCs w:val="21"/>
      <w:u w:val="none"/>
    </w:rPr>
  </w:style>
  <w:style w:type="character" w:styleId="85">
    <w:name w:val="HTML Code"/>
    <w:basedOn w:val="75"/>
    <w:qFormat/>
    <w:uiPriority w:val="0"/>
    <w:rPr>
      <w:rFonts w:ascii="serif" w:hAnsi="serif" w:eastAsia="serif" w:cs="serif"/>
      <w:sz w:val="21"/>
      <w:szCs w:val="21"/>
    </w:rPr>
  </w:style>
  <w:style w:type="character" w:styleId="86">
    <w:name w:val="annotation reference"/>
    <w:qFormat/>
    <w:uiPriority w:val="0"/>
    <w:rPr>
      <w:sz w:val="21"/>
      <w:szCs w:val="21"/>
    </w:rPr>
  </w:style>
  <w:style w:type="character" w:styleId="87">
    <w:name w:val="HTML Cite"/>
    <w:basedOn w:val="75"/>
    <w:qFormat/>
    <w:uiPriority w:val="0"/>
    <w:rPr>
      <w:color w:val="008000"/>
    </w:rPr>
  </w:style>
  <w:style w:type="character" w:styleId="88">
    <w:name w:val="HTML Keyboard"/>
    <w:basedOn w:val="75"/>
    <w:qFormat/>
    <w:uiPriority w:val="0"/>
    <w:rPr>
      <w:rFonts w:hint="default" w:ascii="serif" w:hAnsi="serif" w:eastAsia="serif" w:cs="serif"/>
      <w:sz w:val="21"/>
      <w:szCs w:val="21"/>
    </w:rPr>
  </w:style>
  <w:style w:type="character" w:styleId="89">
    <w:name w:val="HTML Sample"/>
    <w:basedOn w:val="75"/>
    <w:qFormat/>
    <w:uiPriority w:val="0"/>
    <w:rPr>
      <w:rFonts w:hint="default" w:ascii="monospace" w:hAnsi="monospace" w:eastAsia="monospace" w:cs="monospace"/>
    </w:rPr>
  </w:style>
  <w:style w:type="paragraph" w:customStyle="1" w:styleId="90">
    <w:name w:val="首行缩进"/>
    <w:basedOn w:val="1"/>
    <w:next w:val="1"/>
    <w:qFormat/>
    <w:uiPriority w:val="0"/>
    <w:pPr>
      <w:spacing w:line="360" w:lineRule="auto"/>
      <w:ind w:left="210" w:leftChars="100" w:firstLine="420" w:firstLineChars="200"/>
    </w:pPr>
    <w:rPr>
      <w:rFonts w:ascii="宋体" w:hAnsi="宋体"/>
      <w:szCs w:val="24"/>
    </w:rPr>
  </w:style>
  <w:style w:type="character" w:customStyle="1" w:styleId="91">
    <w:name w:val="正文文本缩进 字符"/>
    <w:link w:val="3"/>
    <w:qFormat/>
    <w:uiPriority w:val="0"/>
    <w:rPr>
      <w:kern w:val="2"/>
      <w:sz w:val="21"/>
    </w:rPr>
  </w:style>
  <w:style w:type="character" w:customStyle="1" w:styleId="92">
    <w:name w:val="宏文本 字符"/>
    <w:link w:val="4"/>
    <w:qFormat/>
    <w:uiPriority w:val="0"/>
    <w:rPr>
      <w:rFonts w:ascii="Courier New" w:hAnsi="Courier New"/>
      <w:kern w:val="2"/>
      <w:sz w:val="24"/>
      <w:lang w:val="en-US" w:eastAsia="zh-CN" w:bidi="ar-SA"/>
    </w:rPr>
  </w:style>
  <w:style w:type="character" w:customStyle="1" w:styleId="93">
    <w:name w:val="标题 1 字符"/>
    <w:link w:val="5"/>
    <w:qFormat/>
    <w:uiPriority w:val="0"/>
    <w:rPr>
      <w:b/>
      <w:bCs/>
      <w:kern w:val="44"/>
      <w:sz w:val="44"/>
      <w:szCs w:val="44"/>
    </w:rPr>
  </w:style>
  <w:style w:type="character" w:customStyle="1" w:styleId="94">
    <w:name w:val="标题 2 字符"/>
    <w:link w:val="6"/>
    <w:qFormat/>
    <w:uiPriority w:val="0"/>
    <w:rPr>
      <w:rFonts w:ascii="Arial" w:hAnsi="Arial" w:eastAsia="黑体"/>
      <w:b/>
      <w:bCs/>
      <w:kern w:val="2"/>
      <w:sz w:val="32"/>
      <w:szCs w:val="32"/>
    </w:rPr>
  </w:style>
  <w:style w:type="character" w:customStyle="1" w:styleId="95">
    <w:name w:val="标题 3 字符"/>
    <w:link w:val="7"/>
    <w:qFormat/>
    <w:uiPriority w:val="0"/>
    <w:rPr>
      <w:rFonts w:eastAsia="宋体"/>
      <w:b/>
      <w:bCs/>
      <w:kern w:val="2"/>
      <w:sz w:val="32"/>
      <w:szCs w:val="32"/>
      <w:lang w:val="en-US" w:eastAsia="zh-CN" w:bidi="ar-SA"/>
    </w:rPr>
  </w:style>
  <w:style w:type="character" w:customStyle="1" w:styleId="96">
    <w:name w:val="标题 4 字符"/>
    <w:link w:val="8"/>
    <w:qFormat/>
    <w:uiPriority w:val="0"/>
    <w:rPr>
      <w:rFonts w:ascii="Verdana" w:hAnsi="Verdana" w:eastAsia="宋体"/>
      <w:color w:val="000000"/>
      <w:sz w:val="24"/>
      <w:szCs w:val="24"/>
      <w:lang w:val="en-US" w:eastAsia="zh-CN" w:bidi="ar-SA"/>
    </w:rPr>
  </w:style>
  <w:style w:type="character" w:customStyle="1" w:styleId="97">
    <w:name w:val="标题 5 字符"/>
    <w:link w:val="9"/>
    <w:qFormat/>
    <w:locked/>
    <w:uiPriority w:val="0"/>
    <w:rPr>
      <w:b/>
      <w:bCs/>
      <w:kern w:val="2"/>
      <w:sz w:val="28"/>
      <w:szCs w:val="28"/>
    </w:rPr>
  </w:style>
  <w:style w:type="character" w:customStyle="1" w:styleId="98">
    <w:name w:val="标题 6 字符"/>
    <w:link w:val="10"/>
    <w:qFormat/>
    <w:locked/>
    <w:uiPriority w:val="0"/>
    <w:rPr>
      <w:rFonts w:ascii="Arial" w:hAnsi="Arial" w:eastAsia="黑体"/>
      <w:b/>
      <w:bCs/>
      <w:kern w:val="2"/>
      <w:sz w:val="24"/>
      <w:szCs w:val="24"/>
    </w:rPr>
  </w:style>
  <w:style w:type="character" w:customStyle="1" w:styleId="99">
    <w:name w:val="标题 7 字符"/>
    <w:link w:val="11"/>
    <w:qFormat/>
    <w:locked/>
    <w:uiPriority w:val="0"/>
    <w:rPr>
      <w:b/>
      <w:kern w:val="2"/>
      <w:sz w:val="24"/>
    </w:rPr>
  </w:style>
  <w:style w:type="character" w:customStyle="1" w:styleId="100">
    <w:name w:val="正文缩进 字符"/>
    <w:link w:val="12"/>
    <w:qFormat/>
    <w:uiPriority w:val="0"/>
    <w:rPr>
      <w:rFonts w:eastAsia="宋体"/>
      <w:kern w:val="2"/>
      <w:sz w:val="24"/>
      <w:lang w:val="en-US" w:eastAsia="zh-CN" w:bidi="ar-SA"/>
    </w:rPr>
  </w:style>
  <w:style w:type="character" w:customStyle="1" w:styleId="101">
    <w:name w:val="标题 8 字符"/>
    <w:link w:val="13"/>
    <w:qFormat/>
    <w:locked/>
    <w:uiPriority w:val="0"/>
    <w:rPr>
      <w:rFonts w:ascii="Arial" w:hAnsi="Arial" w:eastAsia="黑体"/>
      <w:kern w:val="2"/>
      <w:sz w:val="24"/>
    </w:rPr>
  </w:style>
  <w:style w:type="character" w:customStyle="1" w:styleId="102">
    <w:name w:val="标题 9 字符"/>
    <w:link w:val="14"/>
    <w:qFormat/>
    <w:uiPriority w:val="0"/>
    <w:rPr>
      <w:rFonts w:ascii="Arial" w:hAnsi="Arial" w:eastAsia="黑体"/>
      <w:kern w:val="2"/>
      <w:sz w:val="21"/>
    </w:rPr>
  </w:style>
  <w:style w:type="character" w:customStyle="1" w:styleId="103">
    <w:name w:val="注释标题 字符"/>
    <w:link w:val="19"/>
    <w:qFormat/>
    <w:uiPriority w:val="0"/>
    <w:rPr>
      <w:kern w:val="2"/>
      <w:sz w:val="24"/>
    </w:rPr>
  </w:style>
  <w:style w:type="character" w:customStyle="1" w:styleId="104">
    <w:name w:val="题注 字符"/>
    <w:link w:val="22"/>
    <w:qFormat/>
    <w:uiPriority w:val="0"/>
    <w:rPr>
      <w:rFonts w:ascii="Arial" w:hAnsi="Arial" w:eastAsia="黑体" w:cs="Arial"/>
      <w:kern w:val="2"/>
    </w:rPr>
  </w:style>
  <w:style w:type="character" w:customStyle="1" w:styleId="105">
    <w:name w:val="文档结构图 字符"/>
    <w:link w:val="25"/>
    <w:qFormat/>
    <w:uiPriority w:val="0"/>
    <w:rPr>
      <w:kern w:val="2"/>
      <w:sz w:val="21"/>
      <w:shd w:val="clear" w:color="auto" w:fill="000080"/>
    </w:rPr>
  </w:style>
  <w:style w:type="character" w:customStyle="1" w:styleId="106">
    <w:name w:val="批注文字 字符"/>
    <w:link w:val="27"/>
    <w:qFormat/>
    <w:uiPriority w:val="99"/>
    <w:rPr>
      <w:kern w:val="2"/>
      <w:sz w:val="21"/>
      <w:szCs w:val="24"/>
    </w:rPr>
  </w:style>
  <w:style w:type="character" w:customStyle="1" w:styleId="107">
    <w:name w:val="称呼 字符"/>
    <w:link w:val="28"/>
    <w:qFormat/>
    <w:uiPriority w:val="0"/>
    <w:rPr>
      <w:rFonts w:ascii="Arial" w:hAnsi="Arial"/>
      <w:kern w:val="2"/>
      <w:sz w:val="24"/>
      <w:szCs w:val="24"/>
    </w:rPr>
  </w:style>
  <w:style w:type="character" w:customStyle="1" w:styleId="108">
    <w:name w:val="正文文本 3 字符"/>
    <w:link w:val="29"/>
    <w:qFormat/>
    <w:uiPriority w:val="0"/>
    <w:rPr>
      <w:kern w:val="2"/>
      <w:sz w:val="16"/>
      <w:szCs w:val="16"/>
    </w:rPr>
  </w:style>
  <w:style w:type="character" w:customStyle="1" w:styleId="109">
    <w:name w:val="结束语 字符"/>
    <w:link w:val="30"/>
    <w:qFormat/>
    <w:uiPriority w:val="0"/>
    <w:rPr>
      <w:rFonts w:ascii="宋体" w:hAnsi="宋体"/>
      <w:spacing w:val="20"/>
      <w:kern w:val="2"/>
      <w:sz w:val="24"/>
    </w:rPr>
  </w:style>
  <w:style w:type="character" w:customStyle="1" w:styleId="110">
    <w:name w:val="正文文本 字符"/>
    <w:link w:val="32"/>
    <w:qFormat/>
    <w:uiPriority w:val="0"/>
    <w:rPr>
      <w:rFonts w:eastAsia="宋体"/>
      <w:kern w:val="2"/>
      <w:sz w:val="21"/>
      <w:lang w:val="en-US" w:eastAsia="zh-CN" w:bidi="ar-SA"/>
    </w:rPr>
  </w:style>
  <w:style w:type="character" w:customStyle="1" w:styleId="111">
    <w:name w:val="纯文本 字符"/>
    <w:link w:val="39"/>
    <w:qFormat/>
    <w:uiPriority w:val="0"/>
    <w:rPr>
      <w:rFonts w:ascii="宋体" w:hAnsi="Courier New" w:eastAsia="宋体"/>
      <w:kern w:val="2"/>
      <w:sz w:val="24"/>
      <w:lang w:val="en-US" w:eastAsia="zh-CN" w:bidi="ar-SA"/>
    </w:rPr>
  </w:style>
  <w:style w:type="character" w:customStyle="1" w:styleId="112">
    <w:name w:val="日期 字符"/>
    <w:link w:val="43"/>
    <w:qFormat/>
    <w:uiPriority w:val="0"/>
    <w:rPr>
      <w:kern w:val="2"/>
      <w:sz w:val="21"/>
    </w:rPr>
  </w:style>
  <w:style w:type="character" w:customStyle="1" w:styleId="113">
    <w:name w:val="正文文本缩进 2 字符"/>
    <w:link w:val="44"/>
    <w:qFormat/>
    <w:uiPriority w:val="0"/>
    <w:rPr>
      <w:rFonts w:ascii="宋体" w:hAnsi="宋体"/>
      <w:kern w:val="2"/>
      <w:sz w:val="21"/>
      <w:szCs w:val="32"/>
    </w:rPr>
  </w:style>
  <w:style w:type="character" w:customStyle="1" w:styleId="114">
    <w:name w:val="批注框文本 字符"/>
    <w:link w:val="46"/>
    <w:qFormat/>
    <w:uiPriority w:val="0"/>
    <w:rPr>
      <w:kern w:val="2"/>
      <w:sz w:val="18"/>
      <w:szCs w:val="18"/>
    </w:rPr>
  </w:style>
  <w:style w:type="character" w:customStyle="1" w:styleId="115">
    <w:name w:val="页脚 字符"/>
    <w:link w:val="47"/>
    <w:qFormat/>
    <w:uiPriority w:val="99"/>
    <w:rPr>
      <w:rFonts w:eastAsia="宋体"/>
      <w:kern w:val="2"/>
      <w:sz w:val="18"/>
      <w:szCs w:val="18"/>
      <w:lang w:val="en-US" w:eastAsia="zh-CN" w:bidi="ar-SA"/>
    </w:rPr>
  </w:style>
  <w:style w:type="character" w:customStyle="1" w:styleId="116">
    <w:name w:val="页眉 字符"/>
    <w:link w:val="49"/>
    <w:qFormat/>
    <w:uiPriority w:val="0"/>
    <w:rPr>
      <w:rFonts w:eastAsia="宋体"/>
      <w:kern w:val="2"/>
      <w:sz w:val="18"/>
      <w:szCs w:val="18"/>
      <w:lang w:val="en-US" w:eastAsia="zh-CN" w:bidi="ar-SA"/>
    </w:rPr>
  </w:style>
  <w:style w:type="character" w:customStyle="1" w:styleId="117">
    <w:name w:val="Heading Base Char Char"/>
    <w:link w:val="53"/>
    <w:qFormat/>
    <w:uiPriority w:val="0"/>
    <w:rPr>
      <w:rFonts w:ascii="Arial" w:hAnsi="Arial" w:eastAsia="仿宋体"/>
      <w:spacing w:val="-4"/>
      <w:kern w:val="28"/>
      <w:sz w:val="22"/>
      <w:lang w:eastAsia="en-US"/>
    </w:rPr>
  </w:style>
  <w:style w:type="character" w:customStyle="1" w:styleId="118">
    <w:name w:val="副标题 字符"/>
    <w:link w:val="55"/>
    <w:qFormat/>
    <w:uiPriority w:val="0"/>
    <w:rPr>
      <w:rFonts w:ascii="Arial" w:hAnsi="Arial" w:eastAsia="Times New Roman"/>
      <w:b/>
      <w:sz w:val="28"/>
      <w:szCs w:val="24"/>
      <w:lang w:val="fr-FR"/>
    </w:rPr>
  </w:style>
  <w:style w:type="character" w:customStyle="1" w:styleId="119">
    <w:name w:val="脚注文本 字符"/>
    <w:link w:val="58"/>
    <w:qFormat/>
    <w:uiPriority w:val="0"/>
    <w:rPr>
      <w:kern w:val="2"/>
      <w:sz w:val="18"/>
    </w:rPr>
  </w:style>
  <w:style w:type="character" w:customStyle="1" w:styleId="120">
    <w:name w:val="正文文本缩进 3 字符"/>
    <w:link w:val="60"/>
    <w:qFormat/>
    <w:uiPriority w:val="0"/>
    <w:rPr>
      <w:rFonts w:ascii="仿宋_GB2312" w:eastAsia="仿宋_GB2312"/>
      <w:b/>
      <w:bCs/>
      <w:kern w:val="2"/>
      <w:sz w:val="36"/>
    </w:rPr>
  </w:style>
  <w:style w:type="character" w:customStyle="1" w:styleId="121">
    <w:name w:val="HTML 预设格式 字符"/>
    <w:link w:val="66"/>
    <w:qFormat/>
    <w:uiPriority w:val="0"/>
    <w:rPr>
      <w:rFonts w:ascii="黑体" w:hAnsi="Courier New" w:eastAsia="黑体"/>
    </w:rPr>
  </w:style>
  <w:style w:type="character" w:customStyle="1" w:styleId="122">
    <w:name w:val="普通(网站) 字符"/>
    <w:link w:val="67"/>
    <w:qFormat/>
    <w:uiPriority w:val="0"/>
    <w:rPr>
      <w:rFonts w:ascii="宋体" w:hAnsi="宋体"/>
      <w:sz w:val="24"/>
      <w:szCs w:val="24"/>
    </w:rPr>
  </w:style>
  <w:style w:type="character" w:customStyle="1" w:styleId="123">
    <w:name w:val="批注主题 字符"/>
    <w:link w:val="71"/>
    <w:qFormat/>
    <w:uiPriority w:val="0"/>
    <w:rPr>
      <w:b/>
      <w:bCs/>
      <w:kern w:val="2"/>
      <w:sz w:val="21"/>
      <w:szCs w:val="24"/>
    </w:rPr>
  </w:style>
  <w:style w:type="character" w:customStyle="1" w:styleId="124">
    <w:name w:val="正文文本首行缩进 字符"/>
    <w:link w:val="72"/>
    <w:qFormat/>
    <w:uiPriority w:val="0"/>
    <w:rPr>
      <w:rFonts w:eastAsia="宋体"/>
      <w:kern w:val="2"/>
      <w:sz w:val="21"/>
      <w:szCs w:val="24"/>
      <w:lang w:val="en-US" w:eastAsia="zh-CN" w:bidi="ar-SA"/>
    </w:rPr>
  </w:style>
  <w:style w:type="character" w:customStyle="1" w:styleId="125">
    <w:name w:val="font121"/>
    <w:qFormat/>
    <w:uiPriority w:val="0"/>
    <w:rPr>
      <w:sz w:val="18"/>
    </w:rPr>
  </w:style>
  <w:style w:type="character" w:customStyle="1" w:styleId="126">
    <w:name w:val="font-12"/>
    <w:qFormat/>
    <w:uiPriority w:val="0"/>
  </w:style>
  <w:style w:type="character" w:customStyle="1" w:styleId="127">
    <w:name w:val="样式 规范正文 + Arial Char"/>
    <w:qFormat/>
    <w:uiPriority w:val="0"/>
    <w:rPr>
      <w:rFonts w:ascii="Arial" w:hAnsi="Arial" w:eastAsia="宋体"/>
      <w:sz w:val="24"/>
      <w:szCs w:val="24"/>
      <w:lang w:val="en-US" w:eastAsia="zh-CN" w:bidi="ar-SA"/>
    </w:rPr>
  </w:style>
  <w:style w:type="character" w:customStyle="1" w:styleId="128">
    <w:name w:val="unnamed11"/>
    <w:qFormat/>
    <w:uiPriority w:val="0"/>
    <w:rPr>
      <w:color w:val="333333"/>
      <w:sz w:val="18"/>
    </w:rPr>
  </w:style>
  <w:style w:type="character" w:customStyle="1" w:styleId="129">
    <w:name w:val="缺省文本 Char Char"/>
    <w:link w:val="130"/>
    <w:qFormat/>
    <w:uiPriority w:val="0"/>
    <w:rPr>
      <w:rFonts w:eastAsia="宋体"/>
      <w:sz w:val="24"/>
      <w:lang w:val="en-US" w:eastAsia="zh-CN" w:bidi="ar-SA"/>
    </w:rPr>
  </w:style>
  <w:style w:type="paragraph" w:customStyle="1" w:styleId="130">
    <w:name w:val="缺省文本"/>
    <w:basedOn w:val="1"/>
    <w:link w:val="129"/>
    <w:qFormat/>
    <w:uiPriority w:val="0"/>
    <w:pPr>
      <w:autoSpaceDE w:val="0"/>
      <w:autoSpaceDN w:val="0"/>
      <w:adjustRightInd w:val="0"/>
      <w:ind w:firstLine="454"/>
    </w:pPr>
    <w:rPr>
      <w:kern w:val="0"/>
      <w:sz w:val="24"/>
    </w:rPr>
  </w:style>
  <w:style w:type="character" w:customStyle="1" w:styleId="131">
    <w:name w:val="●一级符号home Char Char"/>
    <w:link w:val="132"/>
    <w:qFormat/>
    <w:uiPriority w:val="0"/>
    <w:rPr>
      <w:rFonts w:ascii="Verdana" w:hAnsi="Verdana"/>
      <w:sz w:val="24"/>
      <w:szCs w:val="21"/>
      <w:lang w:val="zh-CN"/>
    </w:rPr>
  </w:style>
  <w:style w:type="paragraph" w:customStyle="1" w:styleId="132">
    <w:name w:val="●一级符号home"/>
    <w:basedOn w:val="133"/>
    <w:link w:val="131"/>
    <w:qFormat/>
    <w:uiPriority w:val="0"/>
    <w:pPr>
      <w:tabs>
        <w:tab w:val="left" w:pos="901"/>
        <w:tab w:val="left" w:pos="964"/>
      </w:tabs>
      <w:adjustRightInd w:val="0"/>
      <w:ind w:left="964" w:hanging="482" w:firstLineChars="0"/>
    </w:pPr>
    <w:rPr>
      <w:kern w:val="0"/>
      <w:szCs w:val="21"/>
      <w:lang w:val="zh-CN"/>
    </w:rPr>
  </w:style>
  <w:style w:type="paragraph" w:customStyle="1" w:styleId="133">
    <w:name w:val="正文首缩两字"/>
    <w:basedOn w:val="1"/>
    <w:link w:val="134"/>
    <w:qFormat/>
    <w:uiPriority w:val="0"/>
    <w:pPr>
      <w:spacing w:line="360" w:lineRule="auto"/>
      <w:ind w:firstLine="200" w:firstLineChars="200"/>
    </w:pPr>
    <w:rPr>
      <w:rFonts w:ascii="Verdana" w:hAnsi="Verdana"/>
      <w:sz w:val="24"/>
      <w:szCs w:val="24"/>
    </w:rPr>
  </w:style>
  <w:style w:type="character" w:customStyle="1" w:styleId="134">
    <w:name w:val="正文首缩两字 Char Char"/>
    <w:link w:val="133"/>
    <w:qFormat/>
    <w:uiPriority w:val="0"/>
    <w:rPr>
      <w:rFonts w:ascii="Verdana" w:hAnsi="Verdana" w:eastAsia="宋体"/>
      <w:kern w:val="2"/>
      <w:sz w:val="24"/>
      <w:szCs w:val="24"/>
      <w:lang w:val="en-US" w:eastAsia="zh-CN" w:bidi="ar-SA"/>
    </w:rPr>
  </w:style>
  <w:style w:type="character" w:customStyle="1" w:styleId="135">
    <w:name w:val="常规 Char Char"/>
    <w:link w:val="136"/>
    <w:qFormat/>
    <w:uiPriority w:val="0"/>
    <w:rPr>
      <w:kern w:val="2"/>
      <w:sz w:val="21"/>
      <w:szCs w:val="21"/>
    </w:rPr>
  </w:style>
  <w:style w:type="paragraph" w:customStyle="1" w:styleId="136">
    <w:name w:val="常规"/>
    <w:basedOn w:val="1"/>
    <w:link w:val="135"/>
    <w:qFormat/>
    <w:uiPriority w:val="0"/>
    <w:pPr>
      <w:numPr>
        <w:ilvl w:val="0"/>
        <w:numId w:val="5"/>
      </w:numPr>
      <w:tabs>
        <w:tab w:val="clear" w:pos="420"/>
      </w:tabs>
      <w:spacing w:before="312" w:beforeLines="100" w:after="312" w:afterLines="100"/>
      <w:ind w:left="1134" w:firstLine="0"/>
    </w:pPr>
    <w:rPr>
      <w:szCs w:val="21"/>
    </w:rPr>
  </w:style>
  <w:style w:type="character" w:customStyle="1" w:styleId="137">
    <w:name w:val="style51"/>
    <w:qFormat/>
    <w:uiPriority w:val="0"/>
    <w:rPr>
      <w:sz w:val="12"/>
    </w:rPr>
  </w:style>
  <w:style w:type="character" w:customStyle="1" w:styleId="138">
    <w:name w:val="style811"/>
    <w:qFormat/>
    <w:uiPriority w:val="0"/>
    <w:rPr>
      <w:sz w:val="20"/>
      <w:szCs w:val="20"/>
    </w:rPr>
  </w:style>
  <w:style w:type="character" w:customStyle="1" w:styleId="139">
    <w:name w:val="style501"/>
    <w:qFormat/>
    <w:uiPriority w:val="0"/>
  </w:style>
  <w:style w:type="character" w:customStyle="1" w:styleId="140">
    <w:name w:val="blanktext"/>
    <w:qFormat/>
    <w:uiPriority w:val="0"/>
  </w:style>
  <w:style w:type="character" w:customStyle="1" w:styleId="141">
    <w:name w:val="style5"/>
    <w:qFormat/>
    <w:uiPriority w:val="0"/>
  </w:style>
  <w:style w:type="character" w:customStyle="1" w:styleId="142">
    <w:name w:val="font01"/>
    <w:qFormat/>
    <w:uiPriority w:val="0"/>
    <w:rPr>
      <w:rFonts w:hint="eastAsia" w:ascii="宋体" w:hAnsi="宋体" w:eastAsia="宋体" w:cs="宋体"/>
      <w:color w:val="FF0000"/>
      <w:sz w:val="20"/>
      <w:szCs w:val="20"/>
      <w:u w:val="none"/>
    </w:rPr>
  </w:style>
  <w:style w:type="character" w:customStyle="1" w:styleId="143">
    <w:name w:val="PIM 1 Char"/>
    <w:qFormat/>
    <w:uiPriority w:val="0"/>
    <w:rPr>
      <w:rFonts w:eastAsia="宋体"/>
      <w:b/>
      <w:bCs/>
      <w:kern w:val="44"/>
      <w:sz w:val="44"/>
      <w:szCs w:val="44"/>
      <w:lang w:val="en-US" w:eastAsia="zh-CN" w:bidi="ar-SA"/>
    </w:rPr>
  </w:style>
  <w:style w:type="character" w:customStyle="1" w:styleId="144">
    <w:name w:val="highlight1"/>
    <w:qFormat/>
    <w:uiPriority w:val="0"/>
    <w:rPr>
      <w:sz w:val="21"/>
    </w:rPr>
  </w:style>
  <w:style w:type="character" w:customStyle="1" w:styleId="145">
    <w:name w:val=" Char Char33"/>
    <w:qFormat/>
    <w:uiPriority w:val="0"/>
    <w:rPr>
      <w:rFonts w:eastAsia="宋体"/>
      <w:b/>
      <w:bCs/>
      <w:kern w:val="44"/>
      <w:sz w:val="44"/>
      <w:szCs w:val="44"/>
      <w:lang w:val="en-US" w:eastAsia="zh-CN" w:bidi="ar-SA"/>
    </w:rPr>
  </w:style>
  <w:style w:type="character" w:customStyle="1" w:styleId="146">
    <w:name w:val="Body Char Char"/>
    <w:link w:val="147"/>
    <w:qFormat/>
    <w:uiPriority w:val="0"/>
    <w:rPr>
      <w:rFonts w:eastAsia="宋体"/>
      <w:sz w:val="24"/>
      <w:szCs w:val="24"/>
      <w:lang w:val="pt-BR" w:eastAsia="zh-CN" w:bidi="ar-SA"/>
    </w:rPr>
  </w:style>
  <w:style w:type="paragraph" w:customStyle="1" w:styleId="147">
    <w:name w:val="Body"/>
    <w:basedOn w:val="1"/>
    <w:link w:val="146"/>
    <w:qFormat/>
    <w:uiPriority w:val="0"/>
    <w:pPr>
      <w:widowControl/>
      <w:tabs>
        <w:tab w:val="left" w:pos="9356"/>
      </w:tabs>
      <w:spacing w:before="80" w:beforeLines="0" w:after="80" w:afterLines="0" w:line="360" w:lineRule="auto"/>
      <w:ind w:firstLine="480" w:firstLineChars="200"/>
    </w:pPr>
    <w:rPr>
      <w:kern w:val="0"/>
      <w:sz w:val="24"/>
      <w:szCs w:val="24"/>
      <w:lang w:val="pt-BR"/>
    </w:rPr>
  </w:style>
  <w:style w:type="character" w:customStyle="1" w:styleId="148">
    <w:name w:val="hfont1"/>
    <w:qFormat/>
    <w:uiPriority w:val="0"/>
    <w:rPr>
      <w:spacing w:val="31680"/>
      <w:sz w:val="24"/>
    </w:rPr>
  </w:style>
  <w:style w:type="character" w:customStyle="1" w:styleId="149">
    <w:name w:val="ft91"/>
    <w:qFormat/>
    <w:uiPriority w:val="0"/>
    <w:rPr>
      <w:sz w:val="18"/>
    </w:rPr>
  </w:style>
  <w:style w:type="character" w:customStyle="1" w:styleId="150">
    <w:name w:val="子系统 Char"/>
    <w:qFormat/>
    <w:uiPriority w:val="0"/>
    <w:rPr>
      <w:rFonts w:eastAsia="宋体"/>
      <w:b/>
      <w:bCs/>
      <w:kern w:val="2"/>
      <w:sz w:val="32"/>
      <w:szCs w:val="32"/>
      <w:lang w:val="en-US" w:eastAsia="zh-CN" w:bidi="ar-SA"/>
    </w:rPr>
  </w:style>
  <w:style w:type="character" w:customStyle="1" w:styleId="151">
    <w:name w:val="R定义正文 Char Char"/>
    <w:link w:val="152"/>
    <w:qFormat/>
    <w:uiPriority w:val="0"/>
    <w:rPr>
      <w:rFonts w:eastAsia="宋体"/>
      <w:sz w:val="24"/>
      <w:lang w:val="en-US" w:eastAsia="zh-CN" w:bidi="ar-SA"/>
    </w:rPr>
  </w:style>
  <w:style w:type="paragraph" w:customStyle="1" w:styleId="152">
    <w:name w:val="R定义正文"/>
    <w:basedOn w:val="1"/>
    <w:link w:val="151"/>
    <w:qFormat/>
    <w:uiPriority w:val="0"/>
    <w:pPr>
      <w:widowControl/>
      <w:spacing w:before="120" w:beforeLines="0" w:after="120" w:afterLines="0"/>
      <w:ind w:left="893" w:hanging="691"/>
    </w:pPr>
    <w:rPr>
      <w:kern w:val="0"/>
      <w:sz w:val="24"/>
    </w:rPr>
  </w:style>
  <w:style w:type="character" w:customStyle="1" w:styleId="153">
    <w:name w:val="首行缩进2字符 Char Char"/>
    <w:link w:val="154"/>
    <w:qFormat/>
    <w:uiPriority w:val="0"/>
    <w:rPr>
      <w:snapToGrid/>
      <w:sz w:val="21"/>
    </w:rPr>
  </w:style>
  <w:style w:type="paragraph" w:customStyle="1" w:styleId="154">
    <w:name w:val="首行缩进2字符"/>
    <w:basedOn w:val="1"/>
    <w:link w:val="153"/>
    <w:qFormat/>
    <w:uiPriority w:val="0"/>
    <w:pPr>
      <w:autoSpaceDE w:val="0"/>
      <w:autoSpaceDN w:val="0"/>
      <w:adjustRightInd w:val="0"/>
      <w:spacing w:line="360" w:lineRule="auto"/>
      <w:ind w:firstLine="420" w:firstLineChars="200"/>
      <w:jc w:val="left"/>
    </w:pPr>
    <w:rPr>
      <w:kern w:val="0"/>
    </w:rPr>
  </w:style>
  <w:style w:type="character" w:customStyle="1" w:styleId="155">
    <w:name w:val="标题 4 Char Char Char"/>
    <w:qFormat/>
    <w:uiPriority w:val="0"/>
    <w:rPr>
      <w:rFonts w:ascii="Arial" w:hAnsi="Arial" w:eastAsia="黑体"/>
      <w:b/>
      <w:kern w:val="2"/>
      <w:sz w:val="28"/>
      <w:lang w:val="en-US" w:eastAsia="zh-CN"/>
    </w:rPr>
  </w:style>
  <w:style w:type="character" w:customStyle="1" w:styleId="156">
    <w:name w:val="huei12b1"/>
    <w:qFormat/>
    <w:uiPriority w:val="0"/>
    <w:rPr>
      <w:b/>
      <w:color w:val="333333"/>
      <w:sz w:val="18"/>
    </w:rPr>
  </w:style>
  <w:style w:type="character" w:customStyle="1" w:styleId="157">
    <w:name w:val="content2"/>
    <w:qFormat/>
    <w:uiPriority w:val="0"/>
    <w:rPr>
      <w:rFonts w:hint="eastAsia" w:ascii="宋体" w:hAnsi="宋体" w:eastAsia="宋体"/>
      <w:sz w:val="22"/>
    </w:rPr>
  </w:style>
  <w:style w:type="character" w:customStyle="1" w:styleId="158">
    <w:name w:val="contentheaderrev"/>
    <w:qFormat/>
    <w:uiPriority w:val="0"/>
  </w:style>
  <w:style w:type="character" w:customStyle="1" w:styleId="159">
    <w:name w:val="文字 Char Char Char Char Char"/>
    <w:link w:val="160"/>
    <w:qFormat/>
    <w:uiPriority w:val="0"/>
    <w:rPr>
      <w:rFonts w:ascii="宋体" w:eastAsia="宋体"/>
      <w:kern w:val="2"/>
      <w:sz w:val="28"/>
      <w:lang w:val="en-US" w:eastAsia="zh-CN" w:bidi="ar-SA"/>
    </w:rPr>
  </w:style>
  <w:style w:type="paragraph" w:customStyle="1" w:styleId="160">
    <w:name w:val="文字 Char Char Char"/>
    <w:basedOn w:val="1"/>
    <w:link w:val="159"/>
    <w:qFormat/>
    <w:uiPriority w:val="0"/>
    <w:pPr>
      <w:tabs>
        <w:tab w:val="left" w:pos="8520"/>
      </w:tabs>
      <w:spacing w:line="312" w:lineRule="auto"/>
      <w:ind w:right="-210" w:firstLine="556"/>
    </w:pPr>
    <w:rPr>
      <w:rFonts w:ascii="宋体"/>
      <w:sz w:val="28"/>
    </w:rPr>
  </w:style>
  <w:style w:type="character" w:customStyle="1" w:styleId="161">
    <w:name w:val="样式 宋体 小四"/>
    <w:qFormat/>
    <w:uiPriority w:val="0"/>
    <w:rPr>
      <w:rFonts w:ascii="宋体" w:hAnsi="宋体"/>
      <w:sz w:val="24"/>
    </w:rPr>
  </w:style>
  <w:style w:type="character" w:customStyle="1" w:styleId="162">
    <w:name w:val="普通文字1 Char4"/>
    <w:qFormat/>
    <w:uiPriority w:val="0"/>
    <w:rPr>
      <w:rFonts w:ascii="宋体" w:hAnsi="Courier New" w:eastAsia="宋体"/>
      <w:kern w:val="2"/>
      <w:sz w:val="24"/>
      <w:lang w:val="en-US" w:eastAsia="zh-CN" w:bidi="ar-SA"/>
    </w:rPr>
  </w:style>
  <w:style w:type="character" w:customStyle="1" w:styleId="163">
    <w:name w:val="11-正文 Char Char"/>
    <w:link w:val="164"/>
    <w:qFormat/>
    <w:uiPriority w:val="0"/>
    <w:rPr>
      <w:rFonts w:eastAsia="宋体" w:cs="宋体"/>
      <w:kern w:val="2"/>
      <w:sz w:val="21"/>
      <w:lang w:val="en-US" w:eastAsia="zh-CN" w:bidi="ar-SA"/>
    </w:rPr>
  </w:style>
  <w:style w:type="paragraph" w:customStyle="1" w:styleId="164">
    <w:name w:val="11-正文"/>
    <w:basedOn w:val="1"/>
    <w:link w:val="163"/>
    <w:qFormat/>
    <w:uiPriority w:val="0"/>
    <w:pPr>
      <w:spacing w:before="156" w:beforeLines="50" w:line="360" w:lineRule="auto"/>
      <w:ind w:firstLine="420" w:firstLineChars="200"/>
    </w:pPr>
    <w:rPr>
      <w:rFonts w:cs="宋体"/>
    </w:rPr>
  </w:style>
  <w:style w:type="character" w:customStyle="1" w:styleId="165">
    <w:name w:val="方案正文 Char Char"/>
    <w:link w:val="166"/>
    <w:qFormat/>
    <w:uiPriority w:val="0"/>
    <w:rPr>
      <w:rFonts w:eastAsia="宋体"/>
      <w:kern w:val="2"/>
      <w:sz w:val="24"/>
      <w:szCs w:val="24"/>
      <w:lang w:val="en-US" w:eastAsia="zh-CN" w:bidi="ar-SA"/>
    </w:rPr>
  </w:style>
  <w:style w:type="paragraph" w:customStyle="1" w:styleId="166">
    <w:name w:val="方案正文"/>
    <w:basedOn w:val="1"/>
    <w:link w:val="165"/>
    <w:qFormat/>
    <w:uiPriority w:val="0"/>
    <w:pPr>
      <w:spacing w:line="360" w:lineRule="auto"/>
    </w:pPr>
    <w:rPr>
      <w:sz w:val="24"/>
      <w:szCs w:val="24"/>
    </w:rPr>
  </w:style>
  <w:style w:type="character" w:customStyle="1" w:styleId="167">
    <w:name w:val="文档正文 Char1"/>
    <w:qFormat/>
    <w:uiPriority w:val="0"/>
    <w:rPr>
      <w:rFonts w:ascii="长城仿宋" w:eastAsia="宋体"/>
      <w:sz w:val="28"/>
      <w:lang w:val="en-US" w:eastAsia="zh-CN"/>
    </w:rPr>
  </w:style>
  <w:style w:type="character" w:customStyle="1" w:styleId="168">
    <w:name w:val="表格文字 Char Char"/>
    <w:link w:val="169"/>
    <w:qFormat/>
    <w:uiPriority w:val="0"/>
    <w:rPr>
      <w:rFonts w:eastAsia="宋体"/>
      <w:kern w:val="2"/>
      <w:sz w:val="18"/>
      <w:szCs w:val="24"/>
      <w:lang w:val="en-US" w:eastAsia="zh-CN" w:bidi="ar-SA"/>
    </w:rPr>
  </w:style>
  <w:style w:type="paragraph" w:customStyle="1" w:styleId="169">
    <w:name w:val="表格文字"/>
    <w:basedOn w:val="1"/>
    <w:link w:val="168"/>
    <w:qFormat/>
    <w:uiPriority w:val="0"/>
    <w:pPr>
      <w:jc w:val="left"/>
    </w:pPr>
    <w:rPr>
      <w:sz w:val="18"/>
      <w:szCs w:val="24"/>
    </w:rPr>
  </w:style>
  <w:style w:type="character" w:customStyle="1" w:styleId="170">
    <w:name w:val="dt"/>
    <w:qFormat/>
    <w:uiPriority w:val="0"/>
  </w:style>
  <w:style w:type="character" w:customStyle="1" w:styleId="171">
    <w:name w:val="textcontents"/>
    <w:qFormat/>
    <w:uiPriority w:val="0"/>
    <w:rPr>
      <w:rFonts w:ascii="宋体" w:hAnsi="宋体" w:eastAsia="宋体"/>
      <w:b/>
      <w:kern w:val="2"/>
      <w:sz w:val="24"/>
      <w:lang w:val="en-US" w:eastAsia="zh-CN"/>
    </w:rPr>
  </w:style>
  <w:style w:type="character" w:customStyle="1" w:styleId="172">
    <w:name w:val="style821"/>
    <w:qFormat/>
    <w:uiPriority w:val="0"/>
  </w:style>
  <w:style w:type="character" w:customStyle="1" w:styleId="173">
    <w:name w:val="font31"/>
    <w:qFormat/>
    <w:uiPriority w:val="0"/>
    <w:rPr>
      <w:rFonts w:hint="eastAsia" w:ascii="宋体" w:hAnsi="宋体" w:eastAsia="宋体" w:cs="宋体"/>
      <w:b/>
      <w:color w:val="000000"/>
      <w:sz w:val="20"/>
      <w:szCs w:val="20"/>
      <w:u w:val="none"/>
    </w:rPr>
  </w:style>
  <w:style w:type="character" w:customStyle="1" w:styleId="174">
    <w:name w:val="body1"/>
    <w:qFormat/>
    <w:uiPriority w:val="0"/>
  </w:style>
  <w:style w:type="character" w:customStyle="1" w:styleId="175">
    <w:name w:val="fontfzd1"/>
    <w:qFormat/>
    <w:uiPriority w:val="0"/>
    <w:rPr>
      <w:color w:val="000000"/>
      <w:sz w:val="21"/>
      <w:szCs w:val="21"/>
      <w:u w:val="none"/>
    </w:rPr>
  </w:style>
  <w:style w:type="character" w:customStyle="1" w:styleId="176">
    <w:name w:val="contentlabel1"/>
    <w:qFormat/>
    <w:uiPriority w:val="0"/>
    <w:rPr>
      <w:color w:val="336666"/>
      <w:sz w:val="18"/>
      <w:u w:val="none"/>
    </w:rPr>
  </w:style>
  <w:style w:type="character" w:customStyle="1" w:styleId="177">
    <w:name w:val="point_normal1"/>
    <w:qFormat/>
    <w:uiPriority w:val="0"/>
    <w:rPr>
      <w:rFonts w:hint="default" w:ascii="Arial" w:hAnsi="Arial"/>
      <w:sz w:val="18"/>
    </w:rPr>
  </w:style>
  <w:style w:type="character" w:customStyle="1" w:styleId="178">
    <w:name w:val="fo Char"/>
    <w:qFormat/>
    <w:uiPriority w:val="0"/>
    <w:rPr>
      <w:rFonts w:eastAsia="宋体"/>
      <w:kern w:val="2"/>
      <w:sz w:val="18"/>
      <w:szCs w:val="18"/>
      <w:lang w:val="en-US" w:eastAsia="zh-CN" w:bidi="ar-SA"/>
    </w:rPr>
  </w:style>
  <w:style w:type="character" w:customStyle="1" w:styleId="179">
    <w:name w:val="Table Text Char Char Char Char"/>
    <w:link w:val="180"/>
    <w:qFormat/>
    <w:uiPriority w:val="0"/>
    <w:rPr>
      <w:rFonts w:ascii="Arial" w:hAnsi="Arial"/>
      <w:sz w:val="18"/>
      <w:lang w:val="en-US" w:eastAsia="zh-CN" w:bidi="ar-SA"/>
    </w:rPr>
  </w:style>
  <w:style w:type="paragraph" w:customStyle="1" w:styleId="180">
    <w:name w:val="Table Text Char"/>
    <w:link w:val="179"/>
    <w:qFormat/>
    <w:uiPriority w:val="0"/>
    <w:pPr>
      <w:snapToGrid w:val="0"/>
      <w:spacing w:before="80" w:after="80"/>
    </w:pPr>
    <w:rPr>
      <w:rFonts w:ascii="Arial" w:hAnsi="Arial" w:eastAsia="宋体" w:cs="Times New Roman"/>
      <w:sz w:val="18"/>
      <w:lang w:val="en-US" w:eastAsia="zh-CN" w:bidi="ar-SA"/>
    </w:rPr>
  </w:style>
  <w:style w:type="character" w:customStyle="1" w:styleId="181">
    <w:name w:val="普通文字1 Char2"/>
    <w:qFormat/>
    <w:locked/>
    <w:uiPriority w:val="0"/>
    <w:rPr>
      <w:rFonts w:ascii="宋体" w:hAnsi="Courier New" w:eastAsia="宋体" w:cs="宋体"/>
      <w:kern w:val="2"/>
      <w:sz w:val="24"/>
      <w:szCs w:val="24"/>
      <w:lang w:val="en-US" w:eastAsia="zh-CN"/>
    </w:rPr>
  </w:style>
  <w:style w:type="character" w:customStyle="1" w:styleId="182">
    <w:name w:val="HTML Markup"/>
    <w:qFormat/>
    <w:uiPriority w:val="0"/>
    <w:rPr>
      <w:vanish/>
      <w:color w:val="FF0000"/>
    </w:rPr>
  </w:style>
  <w:style w:type="character" w:customStyle="1" w:styleId="183">
    <w:name w:val="图片格式 Char Char"/>
    <w:link w:val="184"/>
    <w:qFormat/>
    <w:uiPriority w:val="0"/>
    <w:rPr>
      <w:rFonts w:ascii="宋体" w:hAnsi="宋体"/>
      <w:sz w:val="24"/>
      <w:szCs w:val="24"/>
      <w:lang w:bidi="en-US"/>
    </w:rPr>
  </w:style>
  <w:style w:type="paragraph" w:customStyle="1" w:styleId="184">
    <w:name w:val="图片格式"/>
    <w:basedOn w:val="1"/>
    <w:link w:val="183"/>
    <w:qFormat/>
    <w:uiPriority w:val="0"/>
    <w:pPr>
      <w:spacing w:line="360" w:lineRule="auto"/>
      <w:contextualSpacing/>
      <w:jc w:val="center"/>
    </w:pPr>
    <w:rPr>
      <w:rFonts w:ascii="宋体" w:hAnsi="宋体"/>
      <w:kern w:val="0"/>
      <w:sz w:val="24"/>
      <w:szCs w:val="24"/>
      <w:lang w:bidi="en-US"/>
    </w:rPr>
  </w:style>
  <w:style w:type="character" w:customStyle="1" w:styleId="185">
    <w:name w:val="text9_hi1"/>
    <w:qFormat/>
    <w:uiPriority w:val="0"/>
    <w:rPr>
      <w:sz w:val="18"/>
    </w:rPr>
  </w:style>
  <w:style w:type="character" w:customStyle="1" w:styleId="186">
    <w:name w:val="sun icon texticon"/>
    <w:qFormat/>
    <w:uiPriority w:val="0"/>
  </w:style>
  <w:style w:type="character" w:customStyle="1" w:styleId="187">
    <w:name w:val="tytytyty Char1"/>
    <w:link w:val="188"/>
    <w:qFormat/>
    <w:uiPriority w:val="0"/>
    <w:rPr>
      <w:kern w:val="1"/>
      <w:sz w:val="24"/>
      <w:szCs w:val="24"/>
      <w:lang w:eastAsia="ar-SA"/>
    </w:rPr>
  </w:style>
  <w:style w:type="paragraph" w:customStyle="1" w:styleId="188">
    <w:name w:val="tytytyty"/>
    <w:basedOn w:val="1"/>
    <w:link w:val="187"/>
    <w:qFormat/>
    <w:uiPriority w:val="0"/>
    <w:pPr>
      <w:suppressAutoHyphens/>
      <w:spacing w:line="360" w:lineRule="auto"/>
      <w:ind w:left="359" w:leftChars="171" w:firstLine="480" w:firstLineChars="200"/>
    </w:pPr>
    <w:rPr>
      <w:kern w:val="1"/>
      <w:sz w:val="24"/>
      <w:szCs w:val="24"/>
      <w:lang w:eastAsia="ar-SA"/>
    </w:rPr>
  </w:style>
  <w:style w:type="character" w:customStyle="1" w:styleId="189">
    <w:name w:val="投标文件 表格正文 Char Char"/>
    <w:link w:val="190"/>
    <w:qFormat/>
    <w:uiPriority w:val="0"/>
    <w:rPr>
      <w:rFonts w:ascii="Arial" w:hAnsi="Arial" w:eastAsia="宋体"/>
      <w:kern w:val="2"/>
      <w:sz w:val="21"/>
      <w:szCs w:val="24"/>
      <w:lang w:val="en-US" w:eastAsia="zh-CN" w:bidi="ar-SA"/>
    </w:rPr>
  </w:style>
  <w:style w:type="paragraph" w:customStyle="1" w:styleId="190">
    <w:name w:val="投标文件 表格正文"/>
    <w:basedOn w:val="1"/>
    <w:link w:val="189"/>
    <w:qFormat/>
    <w:uiPriority w:val="0"/>
    <w:pPr>
      <w:spacing w:line="360" w:lineRule="auto"/>
      <w:jc w:val="left"/>
    </w:pPr>
    <w:rPr>
      <w:rFonts w:ascii="Arial" w:hAnsi="Arial"/>
      <w:szCs w:val="24"/>
    </w:rPr>
  </w:style>
  <w:style w:type="character" w:customStyle="1" w:styleId="191">
    <w:name w:val="投标文件 正文首行缩进 Char Char"/>
    <w:link w:val="192"/>
    <w:qFormat/>
    <w:uiPriority w:val="0"/>
    <w:rPr>
      <w:rFonts w:ascii="Arial" w:hAnsi="Arial" w:eastAsia="宋体"/>
      <w:kern w:val="2"/>
      <w:sz w:val="21"/>
      <w:szCs w:val="24"/>
      <w:lang w:val="en-US" w:eastAsia="zh-CN" w:bidi="ar-SA"/>
    </w:rPr>
  </w:style>
  <w:style w:type="paragraph" w:customStyle="1" w:styleId="192">
    <w:name w:val="投标文件 正文首行缩进"/>
    <w:basedOn w:val="2"/>
    <w:link w:val="191"/>
    <w:qFormat/>
    <w:uiPriority w:val="0"/>
    <w:pPr>
      <w:spacing w:after="220" w:afterLines="0" w:line="360" w:lineRule="auto"/>
      <w:ind w:left="0" w:leftChars="0" w:firstLine="200"/>
    </w:pPr>
    <w:rPr>
      <w:rFonts w:ascii="Arial" w:hAnsi="Arial"/>
      <w:lang w:val="en-US" w:eastAsia="zh-CN"/>
    </w:rPr>
  </w:style>
  <w:style w:type="character" w:customStyle="1" w:styleId="193">
    <w:name w:val="title1"/>
    <w:qFormat/>
    <w:uiPriority w:val="0"/>
    <w:rPr>
      <w:b/>
      <w:color w:val="FF6600"/>
      <w:spacing w:val="60"/>
      <w:sz w:val="21"/>
      <w:u w:val="none"/>
    </w:rPr>
  </w:style>
  <w:style w:type="character" w:customStyle="1" w:styleId="194">
    <w:name w:val="t41"/>
    <w:qFormat/>
    <w:uiPriority w:val="0"/>
    <w:rPr>
      <w:sz w:val="21"/>
    </w:rPr>
  </w:style>
  <w:style w:type="character" w:customStyle="1" w:styleId="195">
    <w:name w:val="样式 样式 黑体 二号 + 小三 加粗"/>
    <w:qFormat/>
    <w:uiPriority w:val="0"/>
    <w:rPr>
      <w:rFonts w:ascii="Arial" w:hAnsi="Arial" w:eastAsia="黑体"/>
      <w:sz w:val="30"/>
    </w:rPr>
  </w:style>
  <w:style w:type="character" w:customStyle="1" w:styleId="196">
    <w:name w:val="列表段落 字符"/>
    <w:link w:val="197"/>
    <w:qFormat/>
    <w:uiPriority w:val="0"/>
    <w:rPr>
      <w:kern w:val="2"/>
      <w:sz w:val="21"/>
      <w:szCs w:val="24"/>
    </w:rPr>
  </w:style>
  <w:style w:type="paragraph" w:styleId="197">
    <w:name w:val="List Paragraph"/>
    <w:basedOn w:val="1"/>
    <w:link w:val="196"/>
    <w:qFormat/>
    <w:uiPriority w:val="0"/>
    <w:pPr>
      <w:ind w:firstLine="420" w:firstLineChars="200"/>
    </w:pPr>
    <w:rPr>
      <w:szCs w:val="24"/>
    </w:rPr>
  </w:style>
  <w:style w:type="character" w:customStyle="1" w:styleId="198">
    <w:name w:val="1.1 Char Char"/>
    <w:link w:val="199"/>
    <w:qFormat/>
    <w:uiPriority w:val="0"/>
    <w:rPr>
      <w:b/>
      <w:kern w:val="2"/>
      <w:sz w:val="28"/>
      <w:lang w:eastAsia="en-US"/>
    </w:rPr>
  </w:style>
  <w:style w:type="paragraph" w:customStyle="1" w:styleId="199">
    <w:name w:val="1.1"/>
    <w:basedOn w:val="6"/>
    <w:link w:val="198"/>
    <w:qFormat/>
    <w:uiPriority w:val="0"/>
    <w:pPr>
      <w:widowControl/>
      <w:spacing w:line="240" w:lineRule="atLeast"/>
      <w:jc w:val="left"/>
    </w:pPr>
    <w:rPr>
      <w:rFonts w:ascii="Times New Roman" w:hAnsi="Times New Roman" w:eastAsia="宋体"/>
      <w:bCs w:val="0"/>
      <w:sz w:val="28"/>
      <w:szCs w:val="20"/>
      <w:lang w:eastAsia="en-US"/>
    </w:rPr>
  </w:style>
  <w:style w:type="character" w:customStyle="1" w:styleId="200">
    <w:name w:val="中文正文 Char Char Char Char Char Char Char Char"/>
    <w:link w:val="201"/>
    <w:qFormat/>
    <w:uiPriority w:val="0"/>
    <w:rPr>
      <w:rFonts w:ascii="仿宋_GB2312" w:eastAsia="仿宋_GB2312"/>
      <w:kern w:val="2"/>
      <w:sz w:val="26"/>
      <w:szCs w:val="24"/>
      <w:lang w:val="en-US" w:eastAsia="zh-CN" w:bidi="ar-SA"/>
    </w:rPr>
  </w:style>
  <w:style w:type="paragraph" w:customStyle="1" w:styleId="201">
    <w:name w:val="中文正文 Char Char Char Char Char Char"/>
    <w:link w:val="200"/>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szCs w:val="24"/>
      <w:lang w:val="en-US" w:eastAsia="zh-CN" w:bidi="ar-SA"/>
    </w:rPr>
  </w:style>
  <w:style w:type="character" w:customStyle="1" w:styleId="202">
    <w:name w:val="apple-style-span"/>
    <w:qFormat/>
    <w:uiPriority w:val="0"/>
  </w:style>
  <w:style w:type="character" w:customStyle="1" w:styleId="203">
    <w:name w:val="内容文本 Char Char"/>
    <w:link w:val="204"/>
    <w:qFormat/>
    <w:uiPriority w:val="0"/>
    <w:rPr>
      <w:rFonts w:ascii="宋体" w:hAnsi="宋体"/>
      <w:sz w:val="24"/>
      <w:szCs w:val="24"/>
      <w:lang w:eastAsia="en-US" w:bidi="en-US"/>
    </w:rPr>
  </w:style>
  <w:style w:type="paragraph" w:customStyle="1" w:styleId="204">
    <w:name w:val="内容文本"/>
    <w:basedOn w:val="197"/>
    <w:link w:val="203"/>
    <w:qFormat/>
    <w:uiPriority w:val="0"/>
    <w:pPr>
      <w:spacing w:line="360" w:lineRule="auto"/>
      <w:ind w:firstLine="200"/>
      <w:contextualSpacing/>
      <w:jc w:val="left"/>
    </w:pPr>
    <w:rPr>
      <w:rFonts w:ascii="宋体" w:hAnsi="宋体"/>
      <w:kern w:val="0"/>
      <w:sz w:val="24"/>
      <w:lang w:eastAsia="en-US" w:bidi="en-US"/>
    </w:rPr>
  </w:style>
  <w:style w:type="character" w:customStyle="1" w:styleId="205">
    <w:name w:val="cntext1"/>
    <w:qFormat/>
    <w:uiPriority w:val="0"/>
    <w:rPr>
      <w:sz w:val="18"/>
    </w:rPr>
  </w:style>
  <w:style w:type="character" w:customStyle="1" w:styleId="206">
    <w:name w:val="style81"/>
    <w:qFormat/>
    <w:uiPriority w:val="0"/>
    <w:rPr>
      <w:rFonts w:hint="default" w:ascii="Arial" w:hAnsi="Arial"/>
      <w:b/>
      <w:color w:val="336699"/>
      <w:sz w:val="18"/>
    </w:rPr>
  </w:style>
  <w:style w:type="character" w:customStyle="1" w:styleId="207">
    <w:name w:val="普通文字1 Char"/>
    <w:qFormat/>
    <w:uiPriority w:val="0"/>
    <w:rPr>
      <w:rFonts w:ascii="宋体" w:hAnsi="Courier New" w:eastAsia="宋体"/>
      <w:kern w:val="2"/>
      <w:sz w:val="24"/>
      <w:lang w:val="en-US" w:eastAsia="zh-CN" w:bidi="ar-SA"/>
    </w:rPr>
  </w:style>
  <w:style w:type="character" w:customStyle="1" w:styleId="208">
    <w:name w:val="BIT正文 Char Char"/>
    <w:link w:val="209"/>
    <w:qFormat/>
    <w:uiPriority w:val="0"/>
    <w:rPr>
      <w:rFonts w:ascii="楷体_GB2312" w:hAnsi="宋体"/>
      <w:kern w:val="2"/>
      <w:sz w:val="24"/>
    </w:rPr>
  </w:style>
  <w:style w:type="paragraph" w:customStyle="1" w:styleId="209">
    <w:name w:val="BIT正文"/>
    <w:basedOn w:val="1"/>
    <w:link w:val="208"/>
    <w:qFormat/>
    <w:uiPriority w:val="0"/>
    <w:pPr>
      <w:spacing w:before="120" w:beforeLines="0" w:after="120" w:afterLines="0" w:line="400" w:lineRule="exact"/>
      <w:ind w:firstLine="200" w:firstLineChars="200"/>
      <w:jc w:val="left"/>
    </w:pPr>
    <w:rPr>
      <w:rFonts w:ascii="楷体_GB2312" w:hAnsi="宋体"/>
      <w:sz w:val="24"/>
    </w:rPr>
  </w:style>
  <w:style w:type="character" w:customStyle="1" w:styleId="210">
    <w:name w:val="postbody1"/>
    <w:qFormat/>
    <w:uiPriority w:val="0"/>
    <w:rPr>
      <w:spacing w:val="300"/>
      <w:sz w:val="21"/>
    </w:rPr>
  </w:style>
  <w:style w:type="character" w:customStyle="1" w:styleId="211">
    <w:name w:val="方案正文 Char1"/>
    <w:qFormat/>
    <w:uiPriority w:val="0"/>
    <w:rPr>
      <w:kern w:val="2"/>
      <w:sz w:val="24"/>
    </w:rPr>
  </w:style>
  <w:style w:type="character" w:customStyle="1" w:styleId="212">
    <w:name w:val="正文1 Char Char"/>
    <w:qFormat/>
    <w:uiPriority w:val="0"/>
    <w:rPr>
      <w:rFonts w:ascii="宋体" w:hAnsi="宋体" w:eastAsia="宋体"/>
      <w:kern w:val="2"/>
      <w:sz w:val="24"/>
      <w:lang w:val="en-US" w:eastAsia="zh-CN" w:bidi="ar-SA"/>
    </w:rPr>
  </w:style>
  <w:style w:type="character" w:customStyle="1" w:styleId="213">
    <w:name w:val="◆ 二级符号end Char Char"/>
    <w:link w:val="214"/>
    <w:qFormat/>
    <w:uiPriority w:val="0"/>
    <w:rPr>
      <w:rFonts w:ascii="Verdana" w:hAnsi="Verdana"/>
      <w:color w:val="FF0000"/>
      <w:kern w:val="2"/>
      <w:sz w:val="24"/>
      <w:szCs w:val="24"/>
    </w:rPr>
  </w:style>
  <w:style w:type="paragraph" w:customStyle="1" w:styleId="214">
    <w:name w:val="◆ 二级符号end"/>
    <w:basedOn w:val="1"/>
    <w:link w:val="213"/>
    <w:qFormat/>
    <w:uiPriority w:val="0"/>
    <w:pPr>
      <w:spacing w:line="360" w:lineRule="auto"/>
    </w:pPr>
    <w:rPr>
      <w:rFonts w:ascii="Verdana" w:hAnsi="Verdana"/>
      <w:color w:val="FF0000"/>
      <w:sz w:val="24"/>
      <w:szCs w:val="24"/>
    </w:rPr>
  </w:style>
  <w:style w:type="character" w:customStyle="1" w:styleId="215">
    <w:name w:val="中铁-正文 Char Char"/>
    <w:link w:val="216"/>
    <w:qFormat/>
    <w:uiPriority w:val="0"/>
    <w:rPr>
      <w:rFonts w:ascii="Calibri" w:hAnsi="Calibri" w:eastAsia="华文中宋"/>
      <w:kern w:val="2"/>
      <w:sz w:val="24"/>
      <w:szCs w:val="21"/>
    </w:rPr>
  </w:style>
  <w:style w:type="paragraph" w:customStyle="1" w:styleId="216">
    <w:name w:val="中铁-正文"/>
    <w:basedOn w:val="1"/>
    <w:link w:val="215"/>
    <w:qFormat/>
    <w:uiPriority w:val="0"/>
    <w:pPr>
      <w:ind w:firstLine="200" w:firstLineChars="200"/>
    </w:pPr>
    <w:rPr>
      <w:rFonts w:ascii="Calibri" w:hAnsi="Calibri" w:eastAsia="华文中宋"/>
      <w:sz w:val="24"/>
      <w:szCs w:val="21"/>
    </w:rPr>
  </w:style>
  <w:style w:type="character" w:customStyle="1" w:styleId="217">
    <w:name w:val="Table Text Char1"/>
    <w:link w:val="218"/>
    <w:qFormat/>
    <w:uiPriority w:val="0"/>
    <w:rPr>
      <w:rFonts w:ascii="Arial" w:hAnsi="Arial"/>
      <w:sz w:val="18"/>
      <w:lang w:val="en-US" w:eastAsia="zh-CN" w:bidi="ar-SA"/>
    </w:rPr>
  </w:style>
  <w:style w:type="paragraph" w:customStyle="1" w:styleId="218">
    <w:name w:val="Table Text"/>
    <w:link w:val="217"/>
    <w:qFormat/>
    <w:uiPriority w:val="0"/>
    <w:pPr>
      <w:snapToGrid w:val="0"/>
      <w:spacing w:before="80" w:after="80"/>
    </w:pPr>
    <w:rPr>
      <w:rFonts w:ascii="Arial" w:hAnsi="Arial" w:eastAsia="宋体" w:cs="Times New Roman"/>
      <w:sz w:val="18"/>
      <w:lang w:val="en-US" w:eastAsia="zh-CN" w:bidi="ar-SA"/>
    </w:rPr>
  </w:style>
  <w:style w:type="character" w:customStyle="1" w:styleId="219">
    <w:name w:val=" Char Char1"/>
    <w:qFormat/>
    <w:uiPriority w:val="0"/>
    <w:rPr>
      <w:rFonts w:ascii="Arial" w:hAnsi="Arial" w:eastAsia="黑体"/>
      <w:b/>
      <w:kern w:val="2"/>
      <w:sz w:val="28"/>
      <w:lang w:val="en-US" w:eastAsia="zh-CN"/>
    </w:rPr>
  </w:style>
  <w:style w:type="character" w:customStyle="1" w:styleId="220">
    <w:name w:val="gray2"/>
    <w:qFormat/>
    <w:uiPriority w:val="0"/>
  </w:style>
  <w:style w:type="character" w:customStyle="1" w:styleId="221">
    <w:name w:val="文档正文 Char Char"/>
    <w:link w:val="222"/>
    <w:qFormat/>
    <w:uiPriority w:val="0"/>
    <w:rPr>
      <w:rFonts w:eastAsia="楷体_GB2312"/>
      <w:sz w:val="28"/>
    </w:rPr>
  </w:style>
  <w:style w:type="paragraph" w:customStyle="1" w:styleId="222">
    <w:name w:val="文档正文"/>
    <w:basedOn w:val="1"/>
    <w:link w:val="221"/>
    <w:qFormat/>
    <w:uiPriority w:val="0"/>
    <w:pPr>
      <w:adjustRightInd w:val="0"/>
      <w:spacing w:line="480" w:lineRule="atLeast"/>
      <w:ind w:firstLine="567"/>
      <w:textAlignment w:val="baseline"/>
    </w:pPr>
    <w:rPr>
      <w:rFonts w:eastAsia="楷体_GB2312"/>
      <w:kern w:val="0"/>
      <w:sz w:val="28"/>
    </w:rPr>
  </w:style>
  <w:style w:type="character" w:customStyle="1" w:styleId="223">
    <w:name w:val="large"/>
    <w:qFormat/>
    <w:uiPriority w:val="0"/>
  </w:style>
  <w:style w:type="character" w:customStyle="1" w:styleId="224">
    <w:name w:val="中文正文 Char Char Char Char Char Char Char Char Char"/>
    <w:link w:val="225"/>
    <w:qFormat/>
    <w:uiPriority w:val="0"/>
    <w:rPr>
      <w:rFonts w:ascii="仿宋_GB2312" w:eastAsia="仿宋_GB2312"/>
      <w:kern w:val="2"/>
      <w:sz w:val="26"/>
      <w:szCs w:val="24"/>
      <w:lang w:val="en-US" w:eastAsia="zh-CN" w:bidi="ar-SA"/>
    </w:rPr>
  </w:style>
  <w:style w:type="paragraph" w:customStyle="1" w:styleId="225">
    <w:name w:val="中文正文 Char Char Char Char"/>
    <w:link w:val="224"/>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szCs w:val="24"/>
      <w:lang w:val="en-US" w:eastAsia="zh-CN" w:bidi="ar-SA"/>
    </w:rPr>
  </w:style>
  <w:style w:type="character" w:customStyle="1" w:styleId="226">
    <w:name w:val="font-121"/>
    <w:qFormat/>
    <w:uiPriority w:val="0"/>
    <w:rPr>
      <w:color w:val="666666"/>
      <w:sz w:val="24"/>
      <w:u w:val="none"/>
    </w:rPr>
  </w:style>
  <w:style w:type="character" w:customStyle="1" w:styleId="227">
    <w:name w:val="南通方案正文 Char Char"/>
    <w:link w:val="228"/>
    <w:qFormat/>
    <w:uiPriority w:val="0"/>
    <w:rPr>
      <w:kern w:val="2"/>
      <w:sz w:val="24"/>
    </w:rPr>
  </w:style>
  <w:style w:type="paragraph" w:customStyle="1" w:styleId="228">
    <w:name w:val="南通方案正文"/>
    <w:basedOn w:val="1"/>
    <w:link w:val="227"/>
    <w:qFormat/>
    <w:uiPriority w:val="0"/>
    <w:pPr>
      <w:spacing w:line="360" w:lineRule="auto"/>
      <w:ind w:firstLine="480" w:firstLineChars="200"/>
    </w:pPr>
    <w:rPr>
      <w:sz w:val="24"/>
    </w:rPr>
  </w:style>
  <w:style w:type="character" w:customStyle="1" w:styleId="229">
    <w:name w:val="正文标准样式ty Char2"/>
    <w:link w:val="230"/>
    <w:qFormat/>
    <w:uiPriority w:val="0"/>
    <w:rPr>
      <w:rFonts w:cs="宋体"/>
      <w:kern w:val="2"/>
      <w:sz w:val="24"/>
    </w:rPr>
  </w:style>
  <w:style w:type="paragraph" w:customStyle="1" w:styleId="230">
    <w:name w:val="正文标准样式ty"/>
    <w:basedOn w:val="1"/>
    <w:link w:val="229"/>
    <w:qFormat/>
    <w:uiPriority w:val="0"/>
    <w:pPr>
      <w:spacing w:line="360" w:lineRule="auto"/>
      <w:ind w:firstLine="480" w:firstLineChars="200"/>
    </w:pPr>
    <w:rPr>
      <w:sz w:val="24"/>
    </w:rPr>
  </w:style>
  <w:style w:type="character" w:customStyle="1" w:styleId="231">
    <w:name w:val="style11"/>
    <w:qFormat/>
    <w:uiPriority w:val="0"/>
    <w:rPr>
      <w:rFonts w:hint="default" w:ascii="Arial" w:hAnsi="Arial"/>
    </w:rPr>
  </w:style>
  <w:style w:type="character" w:customStyle="1" w:styleId="232">
    <w:name w:val="缩进 Char Char Char Char Char Char"/>
    <w:qFormat/>
    <w:uiPriority w:val="0"/>
    <w:rPr>
      <w:rFonts w:eastAsia="宋体"/>
      <w:kern w:val="2"/>
      <w:sz w:val="21"/>
      <w:lang w:val="en-US" w:eastAsia="zh-CN" w:bidi="ar-SA"/>
    </w:rPr>
  </w:style>
  <w:style w:type="character" w:customStyle="1" w:styleId="233">
    <w:name w:val="样式 正文缩进 + 首行缩进:  2 字符 Char Char"/>
    <w:link w:val="234"/>
    <w:qFormat/>
    <w:uiPriority w:val="0"/>
    <w:rPr>
      <w:rFonts w:eastAsia="宋体"/>
      <w:kern w:val="2"/>
      <w:sz w:val="24"/>
      <w:lang w:val="en-US" w:eastAsia="zh-CN" w:bidi="ar-SA"/>
    </w:rPr>
  </w:style>
  <w:style w:type="paragraph" w:customStyle="1" w:styleId="234">
    <w:name w:val="样式 正文缩进 + 首行缩进:  2 字符"/>
    <w:basedOn w:val="12"/>
    <w:link w:val="233"/>
    <w:qFormat/>
    <w:uiPriority w:val="0"/>
    <w:pPr>
      <w:spacing w:after="80" w:afterLines="0"/>
      <w:ind w:firstLine="480"/>
    </w:pPr>
  </w:style>
  <w:style w:type="character" w:customStyle="1" w:styleId="235">
    <w:name w:val="li"/>
    <w:qFormat/>
    <w:uiPriority w:val="0"/>
  </w:style>
  <w:style w:type="character" w:customStyle="1" w:styleId="236">
    <w:name w:val="无间隔 字符"/>
    <w:link w:val="237"/>
    <w:qFormat/>
    <w:locked/>
    <w:uiPriority w:val="0"/>
    <w:rPr>
      <w:rFonts w:ascii="Perpetua" w:hAnsi="Perpetua" w:cs="Tahoma"/>
      <w:color w:val="000000"/>
      <w:kern w:val="2"/>
      <w:sz w:val="22"/>
      <w:szCs w:val="22"/>
    </w:rPr>
  </w:style>
  <w:style w:type="paragraph" w:styleId="237">
    <w:name w:val="No Spacing"/>
    <w:basedOn w:val="1"/>
    <w:link w:val="236"/>
    <w:qFormat/>
    <w:uiPriority w:val="0"/>
    <w:pPr>
      <w:widowControl/>
      <w:jc w:val="left"/>
    </w:pPr>
    <w:rPr>
      <w:rFonts w:ascii="Perpetua" w:hAnsi="Perpetua"/>
      <w:color w:val="000000"/>
      <w:sz w:val="22"/>
      <w:szCs w:val="22"/>
    </w:rPr>
  </w:style>
  <w:style w:type="character" w:customStyle="1" w:styleId="238">
    <w:name w:val="font21"/>
    <w:qFormat/>
    <w:uiPriority w:val="0"/>
    <w:rPr>
      <w:rFonts w:hint="eastAsia" w:ascii="宋体" w:hAnsi="宋体" w:eastAsia="宋体" w:cs="宋体"/>
      <w:b/>
      <w:color w:val="000000"/>
      <w:sz w:val="20"/>
      <w:szCs w:val="20"/>
      <w:u w:val="none"/>
    </w:rPr>
  </w:style>
  <w:style w:type="character" w:customStyle="1" w:styleId="239">
    <w:name w:val="表格 Char Char"/>
    <w:link w:val="240"/>
    <w:qFormat/>
    <w:uiPriority w:val="0"/>
    <w:rPr>
      <w:rFonts w:ascii="宋体" w:hAnsi="宋体"/>
    </w:rPr>
  </w:style>
  <w:style w:type="paragraph" w:customStyle="1" w:styleId="240">
    <w:name w:val="表格"/>
    <w:basedOn w:val="1"/>
    <w:link w:val="239"/>
    <w:qFormat/>
    <w:uiPriority w:val="0"/>
    <w:pPr>
      <w:snapToGrid w:val="0"/>
      <w:ind w:firstLine="42" w:firstLineChars="21"/>
    </w:pPr>
    <w:rPr>
      <w:rFonts w:ascii="宋体" w:hAnsi="宋体"/>
      <w:kern w:val="0"/>
      <w:sz w:val="20"/>
    </w:rPr>
  </w:style>
  <w:style w:type="character" w:customStyle="1" w:styleId="241">
    <w:name w:val="param_td12"/>
    <w:qFormat/>
    <w:uiPriority w:val="0"/>
  </w:style>
  <w:style w:type="character" w:customStyle="1" w:styleId="242">
    <w:name w:val="BIT表格 Char Char"/>
    <w:link w:val="243"/>
    <w:qFormat/>
    <w:uiPriority w:val="0"/>
    <w:rPr>
      <w:rFonts w:ascii="楷体_GB2312" w:hAnsi="宋体"/>
      <w:kern w:val="2"/>
      <w:sz w:val="21"/>
    </w:rPr>
  </w:style>
  <w:style w:type="paragraph" w:customStyle="1" w:styleId="243">
    <w:name w:val="BIT表格"/>
    <w:basedOn w:val="209"/>
    <w:link w:val="242"/>
    <w:qFormat/>
    <w:uiPriority w:val="0"/>
    <w:pPr>
      <w:ind w:firstLine="560"/>
    </w:pPr>
    <w:rPr>
      <w:sz w:val="21"/>
    </w:rPr>
  </w:style>
  <w:style w:type="character" w:customStyle="1" w:styleId="244">
    <w:name w:val="myp111"/>
    <w:qFormat/>
    <w:uiPriority w:val="0"/>
  </w:style>
  <w:style w:type="character" w:customStyle="1" w:styleId="245">
    <w:name w:val="正文1 Char"/>
    <w:link w:val="246"/>
    <w:qFormat/>
    <w:uiPriority w:val="0"/>
    <w:rPr>
      <w:rFonts w:ascii="宋体" w:hAnsi="宋体"/>
      <w:kern w:val="2"/>
      <w:sz w:val="24"/>
    </w:rPr>
  </w:style>
  <w:style w:type="paragraph" w:customStyle="1" w:styleId="246">
    <w:name w:val="正文1"/>
    <w:basedOn w:val="1"/>
    <w:link w:val="245"/>
    <w:qFormat/>
    <w:uiPriority w:val="0"/>
    <w:pPr>
      <w:tabs>
        <w:tab w:val="left" w:pos="3055"/>
      </w:tabs>
      <w:spacing w:line="360" w:lineRule="auto"/>
      <w:ind w:firstLine="480"/>
    </w:pPr>
    <w:rPr>
      <w:rFonts w:ascii="宋体" w:hAnsi="宋体"/>
      <w:sz w:val="24"/>
    </w:rPr>
  </w:style>
  <w:style w:type="character" w:customStyle="1" w:styleId="247">
    <w:name w:val="style31"/>
    <w:qFormat/>
    <w:uiPriority w:val="0"/>
    <w:rPr>
      <w:rFonts w:hint="eastAsia" w:ascii="宋体" w:hAnsi="宋体" w:eastAsia="宋体"/>
      <w:sz w:val="18"/>
    </w:rPr>
  </w:style>
  <w:style w:type="character" w:customStyle="1" w:styleId="248">
    <w:name w:val="font101"/>
    <w:qFormat/>
    <w:uiPriority w:val="0"/>
    <w:rPr>
      <w:sz w:val="21"/>
    </w:rPr>
  </w:style>
  <w:style w:type="character" w:customStyle="1" w:styleId="249">
    <w:name w:val="标书正文格式 Char1"/>
    <w:link w:val="250"/>
    <w:qFormat/>
    <w:uiPriority w:val="0"/>
    <w:rPr>
      <w:kern w:val="2"/>
      <w:sz w:val="24"/>
      <w:szCs w:val="24"/>
      <w:lang w:val="en-US" w:eastAsia="zh-CN" w:bidi="ar-SA"/>
    </w:rPr>
  </w:style>
  <w:style w:type="paragraph" w:customStyle="1" w:styleId="250">
    <w:name w:val="标书正文格式"/>
    <w:link w:val="249"/>
    <w:qFormat/>
    <w:uiPriority w:val="0"/>
    <w:pPr>
      <w:ind w:firstLine="200" w:firstLineChars="200"/>
    </w:pPr>
    <w:rPr>
      <w:rFonts w:ascii="Times New Roman" w:hAnsi="Times New Roman" w:eastAsia="宋体" w:cs="Times New Roman"/>
      <w:kern w:val="2"/>
      <w:sz w:val="24"/>
      <w:szCs w:val="24"/>
      <w:lang w:val="en-US" w:eastAsia="zh-CN" w:bidi="ar-SA"/>
    </w:rPr>
  </w:style>
  <w:style w:type="character" w:customStyle="1" w:styleId="251">
    <w:name w:val="正文文本缩进 2 Char"/>
    <w:qFormat/>
    <w:uiPriority w:val="0"/>
    <w:rPr>
      <w:rFonts w:ascii="宋体" w:hAnsi="宋体" w:eastAsia="宋体"/>
      <w:kern w:val="2"/>
      <w:sz w:val="21"/>
      <w:szCs w:val="32"/>
      <w:lang w:val="en-US" w:eastAsia="zh-CN" w:bidi="ar-SA"/>
    </w:rPr>
  </w:style>
  <w:style w:type="character" w:customStyle="1" w:styleId="252">
    <w:name w:val=" Char Char4"/>
    <w:qFormat/>
    <w:uiPriority w:val="0"/>
    <w:rPr>
      <w:rFonts w:ascii="Arial" w:hAnsi="Arial" w:eastAsia="黑体"/>
      <w:b/>
      <w:kern w:val="2"/>
      <w:sz w:val="32"/>
      <w:lang w:val="en-US" w:eastAsia="zh-CN"/>
    </w:rPr>
  </w:style>
  <w:style w:type="character" w:customStyle="1" w:styleId="253">
    <w:name w:val="font51"/>
    <w:qFormat/>
    <w:uiPriority w:val="0"/>
    <w:rPr>
      <w:rFonts w:hint="eastAsia" w:ascii="宋体" w:hAnsi="宋体" w:eastAsia="宋体" w:cs="宋体"/>
      <w:color w:val="000000"/>
      <w:sz w:val="20"/>
      <w:szCs w:val="20"/>
      <w:u w:val="none"/>
    </w:rPr>
  </w:style>
  <w:style w:type="character" w:customStyle="1" w:styleId="254">
    <w:name w:val="red1"/>
    <w:qFormat/>
    <w:uiPriority w:val="0"/>
    <w:rPr>
      <w:rFonts w:hint="default" w:ascii="ˎ̥" w:hAnsi="ˎ̥"/>
      <w:color w:val="CC3300"/>
      <w:sz w:val="18"/>
      <w:u w:val="none"/>
    </w:rPr>
  </w:style>
  <w:style w:type="character" w:customStyle="1" w:styleId="255">
    <w:name w:val="文字 Char Char"/>
    <w:link w:val="256"/>
    <w:qFormat/>
    <w:uiPriority w:val="0"/>
    <w:rPr>
      <w:rFonts w:ascii="宋体" w:eastAsia="宋体"/>
      <w:kern w:val="2"/>
      <w:sz w:val="28"/>
      <w:lang w:val="en-US" w:eastAsia="zh-CN" w:bidi="ar-SA"/>
    </w:rPr>
  </w:style>
  <w:style w:type="paragraph" w:customStyle="1" w:styleId="256">
    <w:name w:val="文字"/>
    <w:basedOn w:val="1"/>
    <w:link w:val="255"/>
    <w:qFormat/>
    <w:uiPriority w:val="0"/>
    <w:pPr>
      <w:tabs>
        <w:tab w:val="left" w:pos="8520"/>
      </w:tabs>
      <w:spacing w:line="312" w:lineRule="auto"/>
      <w:ind w:right="-210" w:firstLine="556"/>
    </w:pPr>
    <w:rPr>
      <w:rFonts w:ascii="宋体"/>
      <w:sz w:val="28"/>
    </w:rPr>
  </w:style>
  <w:style w:type="paragraph" w:customStyle="1" w:styleId="257">
    <w:name w:val="样式1"/>
    <w:basedOn w:val="49"/>
    <w:qFormat/>
    <w:uiPriority w:val="0"/>
    <w:rPr>
      <w:rFonts w:ascii="Calibri" w:hAnsi="Calibri"/>
    </w:rPr>
  </w:style>
  <w:style w:type="paragraph" w:customStyle="1" w:styleId="258">
    <w:name w:val=" Char Char Char Char Char Char Char1 Char"/>
    <w:basedOn w:val="1"/>
    <w:qFormat/>
    <w:uiPriority w:val="0"/>
    <w:rPr>
      <w:rFonts w:ascii="Tahoma" w:hAnsi="Tahoma"/>
      <w:sz w:val="24"/>
    </w:rPr>
  </w:style>
  <w:style w:type="paragraph" w:customStyle="1" w:styleId="259">
    <w:name w:val="xl96"/>
    <w:basedOn w:val="1"/>
    <w:qFormat/>
    <w:uiPriority w:val="0"/>
    <w:pPr>
      <w:widowControl/>
      <w:pBdr>
        <w:top w:val="single" w:color="auto" w:sz="4" w:space="0"/>
        <w:left w:val="single" w:color="auto" w:sz="4" w:space="0"/>
        <w:bottom w:val="single" w:color="auto" w:sz="4" w:space="0"/>
      </w:pBdr>
      <w:spacing w:before="100" w:beforeLines="0" w:beforeAutospacing="1" w:after="100" w:afterLines="0" w:afterAutospacing="1"/>
      <w:jc w:val="center"/>
      <w:textAlignment w:val="center"/>
    </w:pPr>
    <w:rPr>
      <w:rFonts w:ascii="宋体" w:hAnsi="宋体" w:cs="宋体"/>
      <w:color w:val="000000"/>
      <w:kern w:val="0"/>
      <w:sz w:val="20"/>
    </w:rPr>
  </w:style>
  <w:style w:type="paragraph" w:customStyle="1" w:styleId="260">
    <w:name w:val="批注框文本1"/>
    <w:basedOn w:val="1"/>
    <w:qFormat/>
    <w:uiPriority w:val="0"/>
    <w:rPr>
      <w:sz w:val="18"/>
      <w:szCs w:val="18"/>
    </w:rPr>
  </w:style>
  <w:style w:type="paragraph" w:customStyle="1" w:styleId="261">
    <w:name w:val="font12"/>
    <w:basedOn w:val="1"/>
    <w:qFormat/>
    <w:uiPriority w:val="0"/>
    <w:pPr>
      <w:widowControl/>
      <w:spacing w:before="100" w:beforeLines="0" w:beforeAutospacing="1" w:after="100" w:afterLines="0" w:afterAutospacing="1"/>
      <w:jc w:val="left"/>
    </w:pPr>
    <w:rPr>
      <w:b/>
      <w:kern w:val="0"/>
      <w:sz w:val="24"/>
    </w:rPr>
  </w:style>
  <w:style w:type="paragraph" w:customStyle="1" w:styleId="262">
    <w:name w:val="font9"/>
    <w:basedOn w:val="1"/>
    <w:qFormat/>
    <w:uiPriority w:val="0"/>
    <w:pPr>
      <w:widowControl/>
      <w:spacing w:before="100" w:beforeLines="0" w:beforeAutospacing="1" w:after="100" w:afterLines="0" w:afterAutospacing="1"/>
      <w:jc w:val="left"/>
    </w:pPr>
    <w:rPr>
      <w:rFonts w:hint="eastAsia" w:ascii="宋体" w:hAnsi="宋体"/>
      <w:b/>
      <w:i/>
      <w:kern w:val="0"/>
      <w:sz w:val="20"/>
    </w:rPr>
  </w:style>
  <w:style w:type="paragraph" w:customStyle="1" w:styleId="263">
    <w:name w:val="ad"/>
    <w:basedOn w:val="1"/>
    <w:qFormat/>
    <w:uiPriority w:val="0"/>
    <w:pPr>
      <w:widowControl/>
      <w:spacing w:before="156" w:beforeLines="0" w:after="156" w:afterLines="0" w:line="300" w:lineRule="atLeast"/>
      <w:ind w:left="839" w:hanging="419"/>
      <w:jc w:val="left"/>
    </w:pPr>
    <w:rPr>
      <w:rFonts w:ascii="宋体" w:hAnsi="宋体" w:cs="宋体"/>
      <w:kern w:val="0"/>
      <w:sz w:val="20"/>
    </w:rPr>
  </w:style>
  <w:style w:type="paragraph" w:customStyle="1" w:styleId="264">
    <w:name w:val="a2"/>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265">
    <w:name w:val="答复"/>
    <w:basedOn w:val="12"/>
    <w:next w:val="1"/>
    <w:qFormat/>
    <w:uiPriority w:val="0"/>
    <w:pPr>
      <w:ind w:firstLine="0" w:firstLineChars="0"/>
    </w:pPr>
    <w:rPr>
      <w:b/>
      <w:spacing w:val="20"/>
    </w:rPr>
  </w:style>
  <w:style w:type="paragraph" w:customStyle="1" w:styleId="266">
    <w:name w:val="font7"/>
    <w:basedOn w:val="1"/>
    <w:qFormat/>
    <w:uiPriority w:val="0"/>
    <w:pPr>
      <w:widowControl/>
      <w:spacing w:before="100" w:beforeLines="0" w:beforeAutospacing="1" w:after="100" w:afterLines="0" w:afterAutospacing="1"/>
      <w:jc w:val="left"/>
    </w:pPr>
    <w:rPr>
      <w:kern w:val="0"/>
      <w:sz w:val="20"/>
    </w:rPr>
  </w:style>
  <w:style w:type="paragraph" w:customStyle="1" w:styleId="267">
    <w:name w:val="xl90"/>
    <w:basedOn w:val="1"/>
    <w:qFormat/>
    <w:uiPriority w:val="0"/>
    <w:pPr>
      <w:widowControl/>
      <w:pBdr>
        <w:right w:val="single" w:color="auto" w:sz="4" w:space="0"/>
      </w:pBdr>
      <w:shd w:val="clear" w:color="000000" w:fill="FFFF00"/>
      <w:spacing w:before="100" w:beforeLines="0" w:beforeAutospacing="1" w:after="100" w:afterLines="0" w:afterAutospacing="1"/>
      <w:jc w:val="center"/>
      <w:textAlignment w:val="center"/>
    </w:pPr>
    <w:rPr>
      <w:rFonts w:ascii="宋体" w:hAnsi="宋体" w:cs="宋体"/>
      <w:color w:val="000000"/>
      <w:kern w:val="0"/>
      <w:sz w:val="20"/>
    </w:rPr>
  </w:style>
  <w:style w:type="paragraph" w:customStyle="1" w:styleId="268">
    <w:name w:val="样式"/>
    <w:basedOn w:val="1"/>
    <w:qFormat/>
    <w:uiPriority w:val="0"/>
    <w:pPr>
      <w:tabs>
        <w:tab w:val="left" w:pos="567"/>
        <w:tab w:val="left" w:pos="720"/>
        <w:tab w:val="left" w:pos="980"/>
      </w:tabs>
      <w:snapToGrid w:val="0"/>
      <w:spacing w:line="460" w:lineRule="atLeast"/>
      <w:ind w:left="980" w:hanging="420"/>
    </w:pPr>
    <w:rPr>
      <w:rFonts w:ascii="Arial" w:hAnsi="Arial"/>
      <w:spacing w:val="6"/>
      <w:sz w:val="24"/>
    </w:rPr>
  </w:style>
  <w:style w:type="paragraph" w:customStyle="1" w:styleId="269">
    <w:name w:val=" Char Char Char Char Char Char Char Char Char Char Char Char Char Char Char Char"/>
    <w:basedOn w:val="1"/>
    <w:qFormat/>
    <w:uiPriority w:val="0"/>
    <w:pPr>
      <w:numPr>
        <w:ilvl w:val="0"/>
        <w:numId w:val="6"/>
      </w:numPr>
      <w:tabs>
        <w:tab w:val="left" w:pos="420"/>
        <w:tab w:val="clear" w:pos="720"/>
      </w:tabs>
    </w:pPr>
    <w:rPr>
      <w:sz w:val="24"/>
    </w:rPr>
  </w:style>
  <w:style w:type="paragraph" w:customStyle="1" w:styleId="270">
    <w:name w:val="contr_bull_list"/>
    <w:basedOn w:val="1"/>
    <w:qFormat/>
    <w:uiPriority w:val="0"/>
    <w:pPr>
      <w:widowControl/>
      <w:numPr>
        <w:ilvl w:val="0"/>
        <w:numId w:val="4"/>
      </w:numPr>
      <w:tabs>
        <w:tab w:val="left" w:pos="1080"/>
        <w:tab w:val="clear" w:pos="1701"/>
      </w:tabs>
      <w:ind w:left="1080"/>
      <w:jc w:val="left"/>
    </w:pPr>
    <w:rPr>
      <w:rFonts w:ascii="Arial" w:hAnsi="Arial"/>
      <w:kern w:val="0"/>
      <w:sz w:val="24"/>
      <w:lang w:val="en-GB" w:eastAsia="en-US"/>
    </w:rPr>
  </w:style>
  <w:style w:type="paragraph" w:customStyle="1" w:styleId="271">
    <w:name w:val="xl68"/>
    <w:basedOn w:val="1"/>
    <w:qFormat/>
    <w:uiPriority w:val="0"/>
    <w:pPr>
      <w:widowControl/>
      <w:pBdr>
        <w:top w:val="single" w:color="auto" w:sz="4" w:space="0"/>
        <w:left w:val="single" w:color="auto" w:sz="8" w:space="0"/>
        <w:bottom w:val="single" w:color="auto" w:sz="8" w:space="0"/>
      </w:pBdr>
      <w:shd w:val="clear" w:color="auto" w:fill="FFFF00"/>
      <w:spacing w:before="100" w:beforeLines="0" w:beforeAutospacing="1" w:after="100" w:afterLines="0" w:afterAutospacing="1"/>
      <w:jc w:val="left"/>
    </w:pPr>
    <w:rPr>
      <w:rFonts w:ascii="宋体" w:hAnsi="宋体"/>
      <w:kern w:val="0"/>
      <w:sz w:val="20"/>
    </w:rPr>
  </w:style>
  <w:style w:type="paragraph" w:customStyle="1" w:styleId="272">
    <w:name w:val="块引用"/>
    <w:basedOn w:val="32"/>
    <w:qFormat/>
    <w:uiPriority w:val="0"/>
    <w:pPr>
      <w:keepLines/>
      <w:widowControl/>
      <w:pBdr>
        <w:left w:val="single" w:color="808080" w:sz="36" w:space="3"/>
        <w:bottom w:val="single" w:color="FFFFFF" w:sz="48" w:space="3"/>
      </w:pBdr>
      <w:tabs>
        <w:tab w:val="left" w:pos="0"/>
      </w:tabs>
      <w:spacing w:before="120" w:beforeLines="0" w:line="360" w:lineRule="auto"/>
      <w:ind w:left="990" w:right="720"/>
      <w:jc w:val="left"/>
    </w:pPr>
    <w:rPr>
      <w:rFonts w:ascii="仿宋体" w:eastAsia="仿宋体"/>
      <w:i/>
      <w:kern w:val="0"/>
      <w:sz w:val="24"/>
    </w:rPr>
  </w:style>
  <w:style w:type="paragraph" w:customStyle="1" w:styleId="273">
    <w:name w:val="xl48"/>
    <w:basedOn w:val="1"/>
    <w:qFormat/>
    <w:uiPriority w:val="0"/>
    <w:pPr>
      <w:widowControl/>
      <w:pBdr>
        <w:top w:val="single" w:color="auto" w:sz="4" w:space="0"/>
        <w:left w:val="single" w:color="auto" w:sz="8" w:space="0"/>
        <w:bottom w:val="single" w:color="auto" w:sz="4" w:space="0"/>
        <w:right w:val="single" w:color="auto" w:sz="4" w:space="0"/>
      </w:pBdr>
      <w:spacing w:before="100" w:beforeLines="0" w:beforeAutospacing="1" w:after="100" w:afterLines="0" w:afterAutospacing="1"/>
      <w:jc w:val="center"/>
    </w:pPr>
    <w:rPr>
      <w:rFonts w:ascii="宋体" w:hAnsi="宋体"/>
      <w:kern w:val="0"/>
      <w:sz w:val="20"/>
    </w:rPr>
  </w:style>
  <w:style w:type="paragraph" w:customStyle="1" w:styleId="274">
    <w:name w:val="AfterBullet"/>
    <w:basedOn w:val="5"/>
    <w:next w:val="275"/>
    <w:qFormat/>
    <w:uiPriority w:val="0"/>
    <w:pPr>
      <w:keepNext w:val="0"/>
      <w:keepLines w:val="0"/>
      <w:autoSpaceDE w:val="0"/>
      <w:autoSpaceDN w:val="0"/>
      <w:adjustRightInd w:val="0"/>
      <w:spacing w:before="0" w:beforeLines="0" w:after="0" w:afterLines="0" w:line="360" w:lineRule="auto"/>
      <w:ind w:left="1310" w:right="567" w:firstLine="391"/>
      <w:jc w:val="left"/>
      <w:textAlignment w:val="baseline"/>
      <w:outlineLvl w:val="9"/>
    </w:pPr>
    <w:rPr>
      <w:rFonts w:ascii="宋体" w:hAnsi="Tms Rmn"/>
      <w:b w:val="0"/>
      <w:bCs w:val="0"/>
      <w:color w:val="000000"/>
      <w:kern w:val="0"/>
      <w:sz w:val="21"/>
      <w:szCs w:val="20"/>
    </w:rPr>
  </w:style>
  <w:style w:type="paragraph" w:customStyle="1" w:styleId="275">
    <w:name w:val="BoldBullet"/>
    <w:basedOn w:val="274"/>
    <w:next w:val="274"/>
    <w:qFormat/>
    <w:uiPriority w:val="0"/>
    <w:pPr>
      <w:keepNext/>
      <w:ind w:left="568" w:right="74" w:hanging="284"/>
      <w:jc w:val="both"/>
    </w:pPr>
    <w:rPr>
      <w:rFonts w:ascii="黑体" w:eastAsia="黑体"/>
      <w:b/>
    </w:rPr>
  </w:style>
  <w:style w:type="paragraph" w:customStyle="1" w:styleId="276">
    <w:name w:val="Char Char Char1 Char Char Char Char Char Char Char Char Char Char Char Char Char"/>
    <w:basedOn w:val="25"/>
    <w:qFormat/>
    <w:uiPriority w:val="0"/>
    <w:rPr>
      <w:rFonts w:ascii="宋体" w:hAnsi="宋体"/>
      <w:b/>
      <w:sz w:val="24"/>
    </w:rPr>
  </w:style>
  <w:style w:type="paragraph" w:customStyle="1" w:styleId="277">
    <w:name w:val="xl102"/>
    <w:basedOn w:val="1"/>
    <w:qFormat/>
    <w:uiPriority w:val="0"/>
    <w:pPr>
      <w:widowControl/>
      <w:spacing w:before="100" w:beforeLines="0" w:beforeAutospacing="1" w:after="100" w:afterLines="0" w:afterAutospacing="1"/>
      <w:jc w:val="center"/>
    </w:pPr>
    <w:rPr>
      <w:rFonts w:ascii="宋体" w:hAnsi="宋体" w:cs="宋体"/>
      <w:kern w:val="0"/>
      <w:sz w:val="20"/>
    </w:rPr>
  </w:style>
  <w:style w:type="paragraph" w:customStyle="1" w:styleId="278">
    <w:name w:val="编号6"/>
    <w:basedOn w:val="1"/>
    <w:qFormat/>
    <w:uiPriority w:val="0"/>
    <w:pPr>
      <w:tabs>
        <w:tab w:val="left" w:pos="1050"/>
      </w:tabs>
      <w:spacing w:line="500" w:lineRule="exact"/>
      <w:ind w:left="1050" w:right="-155" w:rightChars="-74" w:hanging="1050"/>
    </w:pPr>
    <w:rPr>
      <w:rFonts w:ascii="仿宋_GB2312" w:hAnsi="ˎ̥" w:eastAsia="仿宋_GB2312"/>
      <w:sz w:val="30"/>
      <w:szCs w:val="30"/>
    </w:rPr>
  </w:style>
  <w:style w:type="paragraph" w:customStyle="1" w:styleId="279">
    <w:name w:val="图片"/>
    <w:basedOn w:val="280"/>
    <w:next w:val="280"/>
    <w:qFormat/>
    <w:uiPriority w:val="0"/>
    <w:pPr>
      <w:keepNext/>
    </w:pPr>
  </w:style>
  <w:style w:type="paragraph" w:customStyle="1" w:styleId="280">
    <w:name w:val="图题"/>
    <w:basedOn w:val="281"/>
    <w:qFormat/>
    <w:uiPriority w:val="0"/>
    <w:pPr>
      <w:jc w:val="center"/>
    </w:pPr>
    <w:rPr>
      <w:rFonts w:eastAsia="黑体"/>
      <w:sz w:val="18"/>
    </w:rPr>
  </w:style>
  <w:style w:type="paragraph" w:customStyle="1" w:styleId="281">
    <w:name w:val="正文 1"/>
    <w:basedOn w:val="1"/>
    <w:qFormat/>
    <w:uiPriority w:val="0"/>
    <w:pPr>
      <w:widowControl/>
      <w:snapToGrid w:val="0"/>
      <w:spacing w:before="80" w:beforeLines="0" w:after="80" w:afterLines="0" w:line="360" w:lineRule="auto"/>
      <w:ind w:left="1134"/>
    </w:pPr>
  </w:style>
  <w:style w:type="paragraph" w:customStyle="1" w:styleId="282">
    <w:name w:val="xl89"/>
    <w:basedOn w:val="1"/>
    <w:qFormat/>
    <w:uiPriority w:val="0"/>
    <w:pPr>
      <w:widowControl/>
      <w:shd w:val="clear" w:color="000000" w:fill="FFFF00"/>
      <w:spacing w:before="100" w:beforeLines="0" w:beforeAutospacing="1" w:after="100" w:afterLines="0" w:afterAutospacing="1"/>
      <w:jc w:val="center"/>
      <w:textAlignment w:val="center"/>
    </w:pPr>
    <w:rPr>
      <w:rFonts w:ascii="宋体" w:hAnsi="宋体" w:cs="宋体"/>
      <w:color w:val="000000"/>
      <w:kern w:val="0"/>
      <w:sz w:val="20"/>
    </w:rPr>
  </w:style>
  <w:style w:type="paragraph" w:customStyle="1" w:styleId="283">
    <w:name w:val="1st Layer"/>
    <w:basedOn w:val="1"/>
    <w:qFormat/>
    <w:uiPriority w:val="0"/>
    <w:pPr>
      <w:tabs>
        <w:tab w:val="left" w:pos="780"/>
      </w:tabs>
      <w:autoSpaceDE w:val="0"/>
      <w:autoSpaceDN w:val="0"/>
      <w:adjustRightInd w:val="0"/>
      <w:spacing w:line="312" w:lineRule="exact"/>
      <w:ind w:left="629" w:hanging="209"/>
      <w:textAlignment w:val="baseline"/>
    </w:pPr>
    <w:rPr>
      <w:kern w:val="24"/>
    </w:rPr>
  </w:style>
  <w:style w:type="paragraph" w:customStyle="1" w:styleId="284">
    <w:name w:val="xl70"/>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Lines="0" w:beforeAutospacing="1" w:after="100" w:afterLines="0" w:afterAutospacing="1"/>
      <w:jc w:val="left"/>
    </w:pPr>
    <w:rPr>
      <w:rFonts w:ascii="宋体" w:hAnsi="宋体"/>
      <w:kern w:val="0"/>
      <w:sz w:val="20"/>
    </w:rPr>
  </w:style>
  <w:style w:type="paragraph" w:customStyle="1" w:styleId="285">
    <w:name w:val="CY1"/>
    <w:basedOn w:val="1"/>
    <w:qFormat/>
    <w:uiPriority w:val="0"/>
    <w:pPr>
      <w:widowControl/>
      <w:numPr>
        <w:ilvl w:val="0"/>
        <w:numId w:val="7"/>
      </w:numPr>
      <w:tabs>
        <w:tab w:val="clear" w:pos="1080"/>
      </w:tabs>
      <w:spacing w:before="120" w:after="120" w:line="360" w:lineRule="auto"/>
      <w:ind w:left="907" w:firstLine="0"/>
      <w:jc w:val="left"/>
    </w:pPr>
    <w:rPr>
      <w:rFonts w:ascii="仿宋体" w:eastAsia="仿宋体"/>
      <w:b/>
      <w:kern w:val="0"/>
      <w:sz w:val="24"/>
    </w:rPr>
  </w:style>
  <w:style w:type="paragraph" w:customStyle="1" w:styleId="286">
    <w:name w:val="xl73"/>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Lines="0" w:beforeAutospacing="1" w:after="100" w:afterLines="0" w:afterAutospacing="1"/>
      <w:jc w:val="center"/>
    </w:pPr>
    <w:rPr>
      <w:rFonts w:ascii="宋体" w:hAnsi="宋体"/>
      <w:kern w:val="0"/>
      <w:sz w:val="20"/>
    </w:rPr>
  </w:style>
  <w:style w:type="paragraph" w:customStyle="1" w:styleId="287">
    <w:name w:val="scfbrieftext"/>
    <w:basedOn w:val="1"/>
    <w:qFormat/>
    <w:uiPriority w:val="0"/>
    <w:pPr>
      <w:widowControl/>
      <w:jc w:val="left"/>
    </w:pPr>
    <w:rPr>
      <w:rFonts w:ascii="Arial" w:hAnsi="Arial"/>
      <w:kern w:val="0"/>
      <w:sz w:val="22"/>
      <w:lang w:eastAsia="en-US"/>
    </w:rPr>
  </w:style>
  <w:style w:type="paragraph" w:customStyle="1" w:styleId="288">
    <w:name w:val="正文段"/>
    <w:basedOn w:val="1"/>
    <w:qFormat/>
    <w:uiPriority w:val="0"/>
    <w:pPr>
      <w:widowControl/>
      <w:adjustRightInd w:val="0"/>
      <w:spacing w:after="240" w:afterLines="0" w:line="360" w:lineRule="atLeast"/>
      <w:ind w:firstLine="454"/>
      <w:textAlignment w:val="bottom"/>
    </w:pPr>
    <w:rPr>
      <w:rFonts w:ascii="宋体"/>
      <w:kern w:val="0"/>
      <w:sz w:val="24"/>
    </w:rPr>
  </w:style>
  <w:style w:type="paragraph" w:customStyle="1" w:styleId="289">
    <w:name w:val="CM21"/>
    <w:basedOn w:val="290"/>
    <w:next w:val="290"/>
    <w:qFormat/>
    <w:uiPriority w:val="0"/>
    <w:pPr>
      <w:autoSpaceDE w:val="0"/>
      <w:autoSpaceDN w:val="0"/>
      <w:adjustRightInd w:val="0"/>
    </w:pPr>
    <w:rPr>
      <w:rFonts w:ascii="HYDaHeiJ" w:eastAsia="HYDaHeiJ"/>
      <w:color w:val="auto"/>
      <w:lang w:eastAsia="zh-CN"/>
    </w:rPr>
  </w:style>
  <w:style w:type="paragraph" w:customStyle="1" w:styleId="290">
    <w:name w:val="Default"/>
    <w:qFormat/>
    <w:uiPriority w:val="0"/>
    <w:pPr>
      <w:widowControl w:val="0"/>
    </w:pPr>
    <w:rPr>
      <w:rFonts w:ascii="Times New Roman" w:hAnsi="Times New Roman" w:eastAsia="Times New Roman" w:cs="Times New Roman"/>
      <w:color w:val="000000"/>
      <w:sz w:val="24"/>
      <w:lang w:val="en-US" w:eastAsia="en-US" w:bidi="ar-SA"/>
    </w:rPr>
  </w:style>
  <w:style w:type="paragraph" w:customStyle="1" w:styleId="291">
    <w:name w:val="正文文字缩进"/>
    <w:basedOn w:val="1"/>
    <w:qFormat/>
    <w:uiPriority w:val="0"/>
    <w:pPr>
      <w:widowControl/>
      <w:spacing w:line="351" w:lineRule="atLeast"/>
      <w:ind w:firstLine="357"/>
      <w:textAlignment w:val="baseline"/>
    </w:pPr>
    <w:rPr>
      <w:color w:val="000000"/>
      <w:kern w:val="0"/>
      <w:u w:val="none" w:color="000000"/>
    </w:rPr>
  </w:style>
  <w:style w:type="paragraph" w:customStyle="1" w:styleId="292">
    <w:name w:val="xl46"/>
    <w:basedOn w:val="1"/>
    <w:qFormat/>
    <w:uiPriority w:val="0"/>
    <w:pPr>
      <w:widowControl/>
      <w:pBdr>
        <w:top w:val="single" w:color="auto" w:sz="4" w:space="0"/>
        <w:bottom w:val="single" w:color="auto" w:sz="4" w:space="0"/>
        <w:right w:val="single" w:color="auto" w:sz="4" w:space="0"/>
      </w:pBdr>
      <w:spacing w:before="100" w:beforeLines="0" w:beforeAutospacing="1" w:after="100" w:afterLines="0" w:afterAutospacing="1"/>
      <w:jc w:val="left"/>
      <w:textAlignment w:val="center"/>
    </w:pPr>
    <w:rPr>
      <w:kern w:val="0"/>
      <w:sz w:val="20"/>
    </w:rPr>
  </w:style>
  <w:style w:type="paragraph" w:customStyle="1" w:styleId="293">
    <w:name w:val="正文1.2"/>
    <w:basedOn w:val="1"/>
    <w:qFormat/>
    <w:uiPriority w:val="0"/>
    <w:pPr>
      <w:spacing w:line="288" w:lineRule="auto"/>
      <w:jc w:val="left"/>
    </w:pPr>
    <w:rPr>
      <w:rFonts w:ascii="宋体"/>
      <w:kern w:val="0"/>
      <w:sz w:val="28"/>
      <w:lang w:eastAsia="en-US"/>
    </w:rPr>
  </w:style>
  <w:style w:type="paragraph" w:customStyle="1" w:styleId="294">
    <w:name w:val="xl112"/>
    <w:basedOn w:val="1"/>
    <w:qFormat/>
    <w:uiPriority w:val="0"/>
    <w:pPr>
      <w:widowControl/>
      <w:pBdr>
        <w:bottom w:val="single" w:color="auto" w:sz="4" w:space="0"/>
      </w:pBdr>
      <w:spacing w:before="100" w:beforeLines="0" w:beforeAutospacing="1" w:after="100" w:afterLines="0" w:afterAutospacing="1"/>
      <w:jc w:val="left"/>
    </w:pPr>
    <w:rPr>
      <w:rFonts w:ascii="宋体" w:hAnsi="宋体" w:cs="宋体"/>
      <w:kern w:val="0"/>
      <w:sz w:val="24"/>
      <w:szCs w:val="24"/>
    </w:rPr>
  </w:style>
  <w:style w:type="paragraph" w:customStyle="1" w:styleId="295">
    <w:name w:val="CM33"/>
    <w:basedOn w:val="290"/>
    <w:next w:val="290"/>
    <w:qFormat/>
    <w:uiPriority w:val="0"/>
    <w:pPr>
      <w:autoSpaceDE w:val="0"/>
      <w:autoSpaceDN w:val="0"/>
      <w:adjustRightInd w:val="0"/>
      <w:spacing w:after="635" w:afterLines="0"/>
    </w:pPr>
    <w:rPr>
      <w:rFonts w:ascii="HYDaHeiJ" w:eastAsia="HYDaHeiJ"/>
      <w:color w:val="auto"/>
      <w:lang w:eastAsia="zh-CN"/>
    </w:rPr>
  </w:style>
  <w:style w:type="paragraph" w:customStyle="1" w:styleId="296">
    <w:name w:val="符号悬挂缩进"/>
    <w:basedOn w:val="1"/>
    <w:qFormat/>
    <w:uiPriority w:val="0"/>
    <w:pPr>
      <w:tabs>
        <w:tab w:val="left" w:pos="0"/>
      </w:tabs>
      <w:spacing w:line="360" w:lineRule="auto"/>
    </w:pPr>
    <w:rPr>
      <w:rFonts w:ascii="宋体"/>
      <w:snapToGrid w:val="0"/>
      <w:kern w:val="0"/>
      <w:sz w:val="24"/>
    </w:rPr>
  </w:style>
  <w:style w:type="paragraph" w:customStyle="1" w:styleId="297">
    <w:name w:val="paragraph1"/>
    <w:basedOn w:val="1"/>
    <w:qFormat/>
    <w:uiPriority w:val="0"/>
    <w:pPr>
      <w:spacing w:after="93" w:afterLines="30" w:line="360" w:lineRule="auto"/>
      <w:ind w:firstLine="480" w:firstLineChars="200"/>
    </w:pPr>
    <w:rPr>
      <w:sz w:val="24"/>
      <w:szCs w:val="24"/>
    </w:rPr>
  </w:style>
  <w:style w:type="paragraph" w:customStyle="1" w:styleId="298">
    <w:name w:val="样式 标题 2H2H3 + 四号"/>
    <w:basedOn w:val="6"/>
    <w:qFormat/>
    <w:uiPriority w:val="0"/>
    <w:pPr>
      <w:adjustRightInd w:val="0"/>
      <w:spacing w:before="120" w:beforeLines="0" w:after="120" w:afterLines="0" w:line="540" w:lineRule="auto"/>
      <w:textAlignment w:val="baseline"/>
    </w:pPr>
    <w:rPr>
      <w:rFonts w:ascii="宋体" w:hAnsi="宋体" w:eastAsia="宋体"/>
      <w:iCs/>
      <w:sz w:val="72"/>
      <w:szCs w:val="72"/>
      <w:u w:val="single"/>
    </w:rPr>
  </w:style>
  <w:style w:type="paragraph" w:customStyle="1" w:styleId="299">
    <w:name w:val="xl94"/>
    <w:basedOn w:val="1"/>
    <w:qFormat/>
    <w:uiPriority w:val="0"/>
    <w:pPr>
      <w:widowControl/>
      <w:pBdr>
        <w:bottom w:val="single" w:color="auto" w:sz="4" w:space="0"/>
        <w:right w:val="single" w:color="auto" w:sz="4" w:space="0"/>
      </w:pBdr>
      <w:shd w:val="clear" w:color="000000" w:fill="FFFF00"/>
      <w:spacing w:before="100" w:beforeLines="0" w:beforeAutospacing="1" w:after="100" w:afterLines="0" w:afterAutospacing="1"/>
      <w:jc w:val="center"/>
      <w:textAlignment w:val="center"/>
    </w:pPr>
    <w:rPr>
      <w:rFonts w:ascii="宋体" w:hAnsi="宋体" w:cs="宋体"/>
      <w:color w:val="000000"/>
      <w:kern w:val="0"/>
      <w:sz w:val="20"/>
    </w:rPr>
  </w:style>
  <w:style w:type="paragraph" w:customStyle="1" w:styleId="300">
    <w:name w:val="加点"/>
    <w:basedOn w:val="1"/>
    <w:qFormat/>
    <w:uiPriority w:val="0"/>
    <w:pPr>
      <w:spacing w:line="360" w:lineRule="auto"/>
    </w:pPr>
    <w:rPr>
      <w:rFonts w:eastAsia="楷体_GB2312"/>
      <w:sz w:val="24"/>
    </w:rPr>
  </w:style>
  <w:style w:type="paragraph" w:customStyle="1" w:styleId="301">
    <w:name w:val="xl105"/>
    <w:basedOn w:val="1"/>
    <w:qFormat/>
    <w:uiPriority w:val="0"/>
    <w:pPr>
      <w:widowControl/>
      <w:pBdr>
        <w:top w:val="single" w:color="auto" w:sz="4" w:space="0"/>
        <w:left w:val="single" w:color="auto" w:sz="4" w:space="0"/>
        <w:right w:val="single" w:color="auto" w:sz="4" w:space="0"/>
      </w:pBdr>
      <w:shd w:val="clear" w:color="000000" w:fill="FFFF00"/>
      <w:spacing w:before="100" w:beforeLines="0" w:beforeAutospacing="1" w:after="100" w:afterLines="0" w:afterAutospacing="1"/>
      <w:jc w:val="left"/>
      <w:textAlignment w:val="center"/>
    </w:pPr>
    <w:rPr>
      <w:rFonts w:ascii="宋体" w:hAnsi="宋体" w:cs="宋体"/>
      <w:color w:val="000000"/>
      <w:kern w:val="0"/>
      <w:sz w:val="20"/>
    </w:rPr>
  </w:style>
  <w:style w:type="paragraph" w:customStyle="1" w:styleId="302">
    <w:name w:val="123"/>
    <w:basedOn w:val="1"/>
    <w:qFormat/>
    <w:uiPriority w:val="0"/>
    <w:pPr>
      <w:spacing w:before="120" w:beforeLines="0"/>
      <w:ind w:firstLine="425"/>
    </w:pPr>
  </w:style>
  <w:style w:type="paragraph" w:customStyle="1" w:styleId="303">
    <w:name w:val="subtitle 2"/>
    <w:basedOn w:val="1"/>
    <w:qFormat/>
    <w:uiPriority w:val="0"/>
    <w:pPr>
      <w:spacing w:before="240" w:beforeLines="0" w:after="240" w:afterLines="0" w:line="312" w:lineRule="atLeast"/>
    </w:pPr>
    <w:rPr>
      <w:rFonts w:eastAsia="黑体"/>
      <w:snapToGrid w:val="0"/>
      <w:kern w:val="0"/>
      <w:sz w:val="24"/>
    </w:rPr>
  </w:style>
  <w:style w:type="paragraph" w:customStyle="1" w:styleId="304">
    <w:name w:val="正文2"/>
    <w:basedOn w:val="1"/>
    <w:qFormat/>
    <w:uiPriority w:val="0"/>
    <w:pPr>
      <w:widowControl/>
      <w:numPr>
        <w:ilvl w:val="1"/>
        <w:numId w:val="8"/>
      </w:numPr>
      <w:spacing w:line="360" w:lineRule="auto"/>
    </w:pPr>
    <w:rPr>
      <w:rFonts w:ascii="宋体"/>
      <w:kern w:val="16"/>
      <w:sz w:val="24"/>
    </w:rPr>
  </w:style>
  <w:style w:type="paragraph" w:customStyle="1" w:styleId="305">
    <w:name w:val="xl7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0"/>
    </w:rPr>
  </w:style>
  <w:style w:type="paragraph" w:customStyle="1" w:styleId="306">
    <w:name w:val="标书正文1"/>
    <w:basedOn w:val="1"/>
    <w:qFormat/>
    <w:uiPriority w:val="0"/>
    <w:pPr>
      <w:tabs>
        <w:tab w:val="left" w:pos="5730"/>
        <w:tab w:val="left" w:pos="8280"/>
      </w:tabs>
      <w:adjustRightInd w:val="0"/>
      <w:snapToGrid w:val="0"/>
      <w:spacing w:line="360" w:lineRule="auto"/>
    </w:pPr>
    <w:rPr>
      <w:rFonts w:ascii="黑体" w:hAnsi="宋体" w:eastAsia="黑体"/>
      <w:b/>
      <w:sz w:val="24"/>
      <w:szCs w:val="24"/>
    </w:rPr>
  </w:style>
  <w:style w:type="paragraph" w:customStyle="1" w:styleId="307">
    <w:name w:val="Style1"/>
    <w:basedOn w:val="39"/>
    <w:qFormat/>
    <w:uiPriority w:val="0"/>
    <w:pPr>
      <w:jc w:val="left"/>
    </w:pPr>
    <w:rPr>
      <w:rFonts w:ascii="Arial" w:hAnsi="Arial" w:eastAsia="Arial"/>
      <w:sz w:val="18"/>
    </w:rPr>
  </w:style>
  <w:style w:type="paragraph" w:customStyle="1" w:styleId="308">
    <w:name w:val="样式 标题 3 + Arial 段前: 7.75 磅 段后: 7.75 磅 行距: 固定值 22 磅"/>
    <w:basedOn w:val="7"/>
    <w:qFormat/>
    <w:uiPriority w:val="0"/>
    <w:pPr>
      <w:tabs>
        <w:tab w:val="left" w:pos="2711"/>
      </w:tabs>
      <w:spacing w:before="155" w:beforeLines="0" w:after="155" w:afterLines="0" w:line="440" w:lineRule="exact"/>
      <w:ind w:left="1838" w:hanging="567"/>
    </w:pPr>
    <w:rPr>
      <w:rFonts w:ascii="Arial" w:hAnsi="Arial"/>
      <w:bCs w:val="0"/>
      <w:sz w:val="28"/>
      <w:szCs w:val="20"/>
    </w:rPr>
  </w:style>
  <w:style w:type="paragraph" w:customStyle="1" w:styleId="309">
    <w:name w:val="a1"/>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310">
    <w:name w:val="tableheading"/>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311">
    <w:name w:val="marcus"/>
    <w:basedOn w:val="1"/>
    <w:qFormat/>
    <w:uiPriority w:val="0"/>
    <w:pPr>
      <w:widowControl/>
      <w:ind w:left="1134"/>
      <w:jc w:val="left"/>
    </w:pPr>
    <w:rPr>
      <w:rFonts w:ascii="Arial" w:hAnsi="Arial"/>
      <w:kern w:val="0"/>
      <w:sz w:val="20"/>
      <w:lang w:val="en-GB" w:eastAsia="en-US"/>
    </w:rPr>
  </w:style>
  <w:style w:type="paragraph" w:customStyle="1" w:styleId="312">
    <w:name w:val="样式 表格正文"/>
    <w:basedOn w:val="1"/>
    <w:qFormat/>
    <w:uiPriority w:val="0"/>
    <w:pPr>
      <w:spacing w:before="31" w:beforeLines="10" w:after="31" w:afterLines="10" w:line="200" w:lineRule="exact"/>
      <w:jc w:val="left"/>
    </w:pPr>
    <w:rPr>
      <w:rFonts w:ascii="Arial" w:hAnsi="Arial" w:cs="宋体"/>
      <w:sz w:val="15"/>
      <w:szCs w:val="15"/>
    </w:rPr>
  </w:style>
  <w:style w:type="paragraph" w:customStyle="1" w:styleId="313">
    <w:name w:val=" Char Char2 Char Char"/>
    <w:basedOn w:val="1"/>
    <w:qFormat/>
    <w:uiPriority w:val="0"/>
    <w:pPr>
      <w:widowControl/>
      <w:spacing w:after="160" w:line="240" w:lineRule="exact"/>
      <w:jc w:val="left"/>
    </w:pPr>
    <w:rPr>
      <w:rFonts w:ascii="宋体" w:hAnsi="宋体"/>
      <w:b/>
      <w:sz w:val="24"/>
    </w:rPr>
  </w:style>
  <w:style w:type="paragraph" w:customStyle="1" w:styleId="314">
    <w:name w:val="xl97"/>
    <w:basedOn w:val="1"/>
    <w:qFormat/>
    <w:uiPriority w:val="0"/>
    <w:pPr>
      <w:widowControl/>
      <w:pBdr>
        <w:top w:val="single" w:color="auto" w:sz="4" w:space="0"/>
        <w:left w:val="single" w:color="auto" w:sz="4" w:space="0"/>
        <w:bottom w:val="single" w:color="auto" w:sz="4" w:space="0"/>
      </w:pBdr>
      <w:shd w:val="clear" w:color="000000" w:fill="CCFFFF"/>
      <w:spacing w:before="100" w:beforeLines="0" w:beforeAutospacing="1" w:after="100" w:afterLines="0" w:afterAutospacing="1"/>
      <w:jc w:val="center"/>
      <w:textAlignment w:val="center"/>
    </w:pPr>
    <w:rPr>
      <w:rFonts w:ascii="宋体" w:hAnsi="宋体" w:cs="宋体"/>
      <w:b/>
      <w:bCs/>
      <w:kern w:val="0"/>
      <w:sz w:val="20"/>
    </w:rPr>
  </w:style>
  <w:style w:type="paragraph" w:customStyle="1" w:styleId="315">
    <w:name w:val="默认段落字体 Para Char Char Char Char Char Char Char Char Char Char"/>
    <w:basedOn w:val="1"/>
    <w:qFormat/>
    <w:uiPriority w:val="0"/>
    <w:rPr>
      <w:rFonts w:ascii="Tahoma" w:hAnsi="Tahoma"/>
      <w:sz w:val="24"/>
    </w:rPr>
  </w:style>
  <w:style w:type="paragraph" w:customStyle="1" w:styleId="316">
    <w:name w:val=" Char Char Char Char1"/>
    <w:basedOn w:val="1"/>
    <w:qFormat/>
    <w:uiPriority w:val="0"/>
    <w:pPr>
      <w:adjustRightInd w:val="0"/>
      <w:spacing w:line="360" w:lineRule="auto"/>
      <w:textAlignment w:val="center"/>
    </w:pPr>
    <w:rPr>
      <w:kern w:val="0"/>
      <w:sz w:val="24"/>
    </w:rPr>
  </w:style>
  <w:style w:type="paragraph" w:customStyle="1" w:styleId="317">
    <w:name w:val="xl50"/>
    <w:basedOn w:val="1"/>
    <w:qFormat/>
    <w:uiPriority w:val="0"/>
    <w:pPr>
      <w:widowControl/>
      <w:pBdr>
        <w:top w:val="single" w:color="auto" w:sz="4" w:space="0"/>
        <w:left w:val="single" w:color="auto" w:sz="4" w:space="0"/>
        <w:bottom w:val="single" w:color="auto" w:sz="4" w:space="0"/>
      </w:pBdr>
      <w:spacing w:before="100" w:beforeLines="0" w:beforeAutospacing="1" w:after="100" w:afterLines="0" w:afterAutospacing="1"/>
      <w:jc w:val="right"/>
      <w:textAlignment w:val="center"/>
    </w:pPr>
    <w:rPr>
      <w:rFonts w:ascii="宋体" w:hAnsi="宋体"/>
      <w:kern w:val="0"/>
      <w:sz w:val="20"/>
    </w:rPr>
  </w:style>
  <w:style w:type="paragraph" w:customStyle="1" w:styleId="318">
    <w:name w:val="xl109"/>
    <w:basedOn w:val="1"/>
    <w:qFormat/>
    <w:uiPriority w:val="0"/>
    <w:pPr>
      <w:widowControl/>
      <w:pBdr>
        <w:top w:val="single" w:color="auto" w:sz="4" w:space="0"/>
      </w:pBdr>
      <w:spacing w:before="100" w:beforeLines="0" w:beforeAutospacing="1" w:after="100" w:afterLines="0" w:afterAutospacing="1"/>
      <w:jc w:val="left"/>
    </w:pPr>
    <w:rPr>
      <w:rFonts w:ascii="宋体" w:hAnsi="宋体" w:cs="宋体"/>
      <w:kern w:val="0"/>
      <w:sz w:val="24"/>
      <w:szCs w:val="24"/>
    </w:rPr>
  </w:style>
  <w:style w:type="paragraph" w:customStyle="1" w:styleId="319">
    <w:name w:val="List Paragraph1"/>
    <w:basedOn w:val="1"/>
    <w:qFormat/>
    <w:uiPriority w:val="0"/>
    <w:pPr>
      <w:ind w:firstLine="420" w:firstLineChars="200"/>
    </w:pPr>
    <w:rPr>
      <w:szCs w:val="24"/>
    </w:rPr>
  </w:style>
  <w:style w:type="paragraph" w:customStyle="1" w:styleId="320">
    <w:name w:val="temp"/>
    <w:basedOn w:val="1"/>
    <w:qFormat/>
    <w:uiPriority w:val="0"/>
    <w:pPr>
      <w:spacing w:line="0" w:lineRule="atLeast"/>
      <w:jc w:val="center"/>
    </w:pPr>
    <w:rPr>
      <w:rFonts w:ascii="Arial" w:hAnsi="Arial" w:eastAsia="楷体_GB2312"/>
      <w:sz w:val="14"/>
    </w:rPr>
  </w:style>
  <w:style w:type="paragraph" w:customStyle="1" w:styleId="321">
    <w:name w:val="标题  4"/>
    <w:basedOn w:val="1"/>
    <w:qFormat/>
    <w:uiPriority w:val="0"/>
    <w:pPr>
      <w:adjustRightInd w:val="0"/>
      <w:snapToGrid w:val="0"/>
      <w:spacing w:line="360" w:lineRule="auto"/>
      <w:ind w:firstLine="420"/>
    </w:pPr>
    <w:rPr>
      <w:kern w:val="0"/>
      <w:sz w:val="24"/>
      <w:szCs w:val="24"/>
    </w:rPr>
  </w:style>
  <w:style w:type="paragraph" w:customStyle="1" w:styleId="322">
    <w:name w:val="xl100"/>
    <w:basedOn w:val="1"/>
    <w:qFormat/>
    <w:uiPriority w:val="0"/>
    <w:pPr>
      <w:widowControl/>
      <w:spacing w:before="100" w:beforeLines="0" w:beforeAutospacing="1" w:after="100" w:afterLines="0" w:afterAutospacing="1"/>
      <w:jc w:val="left"/>
    </w:pPr>
    <w:rPr>
      <w:rFonts w:ascii="宋体" w:hAnsi="宋体" w:cs="宋体"/>
      <w:kern w:val="0"/>
      <w:sz w:val="20"/>
    </w:rPr>
  </w:style>
  <w:style w:type="paragraph" w:customStyle="1" w:styleId="323">
    <w:name w:val="样式 宋体 小四 段前: 6 磅 段后: 6 磅 行距: 1.5 倍行距"/>
    <w:basedOn w:val="1"/>
    <w:qFormat/>
    <w:uiPriority w:val="0"/>
    <w:pPr>
      <w:spacing w:line="360" w:lineRule="auto"/>
    </w:pPr>
    <w:rPr>
      <w:rFonts w:ascii="宋体" w:hAnsi="宋体"/>
      <w:sz w:val="24"/>
    </w:rPr>
  </w:style>
  <w:style w:type="paragraph" w:customStyle="1" w:styleId="324">
    <w:name w:val="_Style 64"/>
    <w:basedOn w:val="25"/>
    <w:qFormat/>
    <w:uiPriority w:val="0"/>
    <w:rPr>
      <w:rFonts w:ascii="宋体" w:hAnsi="宋体"/>
      <w:b/>
      <w:sz w:val="24"/>
      <w:shd w:val="clear" w:color="auto" w:fill="auto"/>
      <w:lang w:val="en-US" w:eastAsia="zh-CN"/>
    </w:rPr>
  </w:style>
  <w:style w:type="paragraph" w:customStyle="1" w:styleId="325">
    <w:name w:val="Char"/>
    <w:basedOn w:val="1"/>
    <w:qFormat/>
    <w:uiPriority w:val="0"/>
    <w:pPr>
      <w:tabs>
        <w:tab w:val="left" w:pos="360"/>
      </w:tabs>
    </w:pPr>
    <w:rPr>
      <w:sz w:val="24"/>
      <w:szCs w:val="24"/>
    </w:rPr>
  </w:style>
  <w:style w:type="paragraph" w:customStyle="1" w:styleId="326">
    <w:name w:val="zhengwen"/>
    <w:basedOn w:val="1"/>
    <w:qFormat/>
    <w:uiPriority w:val="0"/>
    <w:pPr>
      <w:widowControl/>
      <w:spacing w:before="100" w:beforeLines="0" w:beforeAutospacing="1" w:after="100" w:afterLines="0" w:afterAutospacing="1" w:line="270" w:lineRule="atLeast"/>
      <w:jc w:val="left"/>
    </w:pPr>
    <w:rPr>
      <w:color w:val="6B6B6B"/>
      <w:kern w:val="0"/>
      <w:sz w:val="23"/>
      <w:szCs w:val="23"/>
    </w:rPr>
  </w:style>
  <w:style w:type="paragraph" w:customStyle="1" w:styleId="327">
    <w:name w:val="正文（首行缩进两字）"/>
    <w:basedOn w:val="1"/>
    <w:next w:val="1"/>
    <w:qFormat/>
    <w:uiPriority w:val="0"/>
    <w:pPr>
      <w:widowControl/>
      <w:ind w:firstLine="420"/>
    </w:pPr>
    <w:rPr>
      <w:color w:val="000000"/>
      <w:sz w:val="24"/>
    </w:rPr>
  </w:style>
  <w:style w:type="paragraph" w:customStyle="1" w:styleId="328">
    <w:name w:val="contentnoteheader"/>
    <w:basedOn w:val="1"/>
    <w:qFormat/>
    <w:uiPriority w:val="0"/>
    <w:pPr>
      <w:widowControl/>
      <w:spacing w:before="30" w:beforeLines="0" w:after="100" w:afterLines="0" w:afterAutospacing="1"/>
      <w:ind w:left="90"/>
      <w:jc w:val="left"/>
    </w:pPr>
    <w:rPr>
      <w:rFonts w:ascii="Arial Unicode MS" w:hAnsi="Arial Unicode MS"/>
      <w:b/>
      <w:color w:val="990000"/>
      <w:kern w:val="0"/>
      <w:sz w:val="18"/>
    </w:rPr>
  </w:style>
  <w:style w:type="paragraph" w:customStyle="1" w:styleId="329">
    <w:name w:val=" Char Char Char Char Char Char"/>
    <w:basedOn w:val="1"/>
    <w:qFormat/>
    <w:uiPriority w:val="0"/>
    <w:rPr>
      <w:rFonts w:ascii="Tahoma" w:hAnsi="Tahoma"/>
      <w:sz w:val="24"/>
    </w:rPr>
  </w:style>
  <w:style w:type="paragraph" w:customStyle="1" w:styleId="330">
    <w:name w:val="CM24"/>
    <w:basedOn w:val="290"/>
    <w:next w:val="290"/>
    <w:qFormat/>
    <w:uiPriority w:val="0"/>
    <w:pPr>
      <w:autoSpaceDE w:val="0"/>
      <w:autoSpaceDN w:val="0"/>
      <w:adjustRightInd w:val="0"/>
      <w:spacing w:after="335" w:afterLines="0"/>
    </w:pPr>
    <w:rPr>
      <w:rFonts w:ascii="HYDaHeiJ" w:eastAsia="HYDaHeiJ"/>
      <w:color w:val="auto"/>
      <w:lang w:eastAsia="zh-CN"/>
    </w:rPr>
  </w:style>
  <w:style w:type="paragraph" w:customStyle="1" w:styleId="331">
    <w:name w:val="newtext"/>
    <w:basedOn w:val="1"/>
    <w:qFormat/>
    <w:uiPriority w:val="0"/>
    <w:pPr>
      <w:widowControl/>
      <w:spacing w:before="100" w:beforeLines="0" w:beforeAutospacing="1" w:after="100" w:afterLines="0" w:afterAutospacing="1" w:line="480" w:lineRule="atLeast"/>
      <w:jc w:val="left"/>
    </w:pPr>
    <w:rPr>
      <w:rFonts w:ascii="Arial Unicode MS" w:hAnsi="Arial Unicode MS"/>
      <w:kern w:val="0"/>
      <w:sz w:val="28"/>
    </w:rPr>
  </w:style>
  <w:style w:type="paragraph" w:customStyle="1" w:styleId="332">
    <w:name w:val="正"/>
    <w:basedOn w:val="1"/>
    <w:qFormat/>
    <w:uiPriority w:val="0"/>
    <w:pPr>
      <w:numPr>
        <w:ilvl w:val="0"/>
        <w:numId w:val="0"/>
      </w:numPr>
      <w:tabs>
        <w:tab w:val="left" w:pos="-120"/>
      </w:tabs>
      <w:adjustRightInd w:val="0"/>
      <w:spacing w:line="560" w:lineRule="exact"/>
      <w:ind w:firstLine="600"/>
      <w:textAlignment w:val="baseline"/>
    </w:pPr>
    <w:rPr>
      <w:rFonts w:ascii="仿宋_GB2312" w:eastAsia="仿宋_GB2312"/>
      <w:color w:val="000000"/>
      <w:spacing w:val="20"/>
      <w:kern w:val="0"/>
      <w:sz w:val="28"/>
    </w:rPr>
  </w:style>
  <w:style w:type="paragraph" w:customStyle="1" w:styleId="333">
    <w:name w:val=" Char1 Char Char Char Char Char Char Char Char Char Char Char Char"/>
    <w:basedOn w:val="1"/>
    <w:qFormat/>
    <w:uiPriority w:val="0"/>
    <w:pPr>
      <w:widowControl/>
      <w:spacing w:after="160" w:afterLines="0" w:line="240" w:lineRule="exact"/>
      <w:jc w:val="left"/>
    </w:pPr>
    <w:rPr>
      <w:rFonts w:ascii="Verdana" w:hAnsi="Verdana"/>
      <w:kern w:val="0"/>
      <w:sz w:val="20"/>
      <w:lang w:eastAsia="en-US"/>
    </w:rPr>
  </w:style>
  <w:style w:type="paragraph" w:customStyle="1" w:styleId="334">
    <w:name w:val="标头1"/>
    <w:basedOn w:val="7"/>
    <w:qFormat/>
    <w:uiPriority w:val="0"/>
    <w:pPr>
      <w:spacing w:before="120" w:beforeLines="0" w:after="120" w:afterLines="0" w:line="240" w:lineRule="auto"/>
    </w:pPr>
    <w:rPr>
      <w:bCs w:val="0"/>
      <w:sz w:val="28"/>
      <w:szCs w:val="20"/>
    </w:rPr>
  </w:style>
  <w:style w:type="paragraph" w:customStyle="1" w:styleId="335">
    <w:name w:val="正文-电视"/>
    <w:basedOn w:val="1"/>
    <w:qFormat/>
    <w:uiPriority w:val="0"/>
    <w:pPr>
      <w:spacing w:line="360" w:lineRule="auto"/>
      <w:ind w:firstLine="540" w:firstLineChars="225"/>
    </w:pPr>
    <w:rPr>
      <w:rFonts w:ascii="宋体" w:hAnsi="宋体"/>
      <w:sz w:val="24"/>
    </w:rPr>
  </w:style>
  <w:style w:type="paragraph" w:customStyle="1" w:styleId="336">
    <w:name w:val="xl69"/>
    <w:basedOn w:val="1"/>
    <w:qFormat/>
    <w:uiPriority w:val="0"/>
    <w:pPr>
      <w:widowControl/>
      <w:pBdr>
        <w:top w:val="single" w:color="auto" w:sz="4" w:space="0"/>
        <w:bottom w:val="single" w:color="auto" w:sz="8" w:space="0"/>
        <w:right w:val="single" w:color="auto" w:sz="4" w:space="0"/>
      </w:pBdr>
      <w:shd w:val="clear" w:color="auto" w:fill="FFFF00"/>
      <w:spacing w:before="100" w:beforeLines="0" w:beforeAutospacing="1" w:after="100" w:afterLines="0" w:afterAutospacing="1"/>
      <w:jc w:val="left"/>
    </w:pPr>
    <w:rPr>
      <w:rFonts w:ascii="宋体" w:hAnsi="宋体"/>
      <w:kern w:val="0"/>
      <w:sz w:val="20"/>
    </w:rPr>
  </w:style>
  <w:style w:type="paragraph" w:customStyle="1" w:styleId="337">
    <w:name w:val="默认段落字体 Para Char Char Char Char Char Char Char Char Char1 Char"/>
    <w:basedOn w:val="1"/>
    <w:qFormat/>
    <w:uiPriority w:val="0"/>
    <w:rPr>
      <w:rFonts w:ascii="Tahoma" w:hAnsi="Tahoma"/>
      <w:sz w:val="24"/>
    </w:rPr>
  </w:style>
  <w:style w:type="paragraph" w:customStyle="1" w:styleId="338">
    <w:name w:val="xl36"/>
    <w:basedOn w:val="1"/>
    <w:qFormat/>
    <w:uiPriority w:val="0"/>
    <w:pPr>
      <w:widowControl/>
      <w:pBdr>
        <w:right w:val="single" w:color="auto" w:sz="4" w:space="0"/>
      </w:pBdr>
      <w:spacing w:before="100" w:beforeLines="0" w:beforeAutospacing="1" w:after="100" w:afterLines="0" w:afterAutospacing="1"/>
      <w:jc w:val="center"/>
    </w:pPr>
    <w:rPr>
      <w:rFonts w:ascii="宋体" w:hAnsi="宋体" w:cs="宋体"/>
      <w:kern w:val="0"/>
      <w:sz w:val="24"/>
      <w:szCs w:val="24"/>
    </w:rPr>
  </w:style>
  <w:style w:type="paragraph" w:customStyle="1" w:styleId="339">
    <w:name w:val="Style3"/>
    <w:basedOn w:val="39"/>
    <w:qFormat/>
    <w:uiPriority w:val="0"/>
    <w:pPr>
      <w:spacing w:line="480" w:lineRule="auto"/>
      <w:jc w:val="left"/>
    </w:pPr>
    <w:rPr>
      <w:rFonts w:eastAsia="Arial"/>
      <w:b/>
    </w:rPr>
  </w:style>
  <w:style w:type="paragraph" w:customStyle="1" w:styleId="340">
    <w:name w:val="表格题注"/>
    <w:next w:val="1"/>
    <w:qFormat/>
    <w:uiPriority w:val="0"/>
    <w:pPr>
      <w:keepLines/>
      <w:numPr>
        <w:ilvl w:val="8"/>
        <w:numId w:val="9"/>
      </w:numPr>
      <w:spacing w:before="312" w:beforeLines="100"/>
      <w:ind w:left="1089" w:hanging="369"/>
      <w:jc w:val="center"/>
    </w:pPr>
    <w:rPr>
      <w:rFonts w:ascii="Arial" w:hAnsi="Arial" w:eastAsia="宋体" w:cs="Times New Roman"/>
      <w:sz w:val="18"/>
      <w:lang w:val="en-US" w:eastAsia="zh-CN" w:bidi="ar-SA"/>
    </w:rPr>
  </w:style>
  <w:style w:type="paragraph" w:customStyle="1" w:styleId="341">
    <w:name w:val="样式 标题 3Level 3 HeadH3level_3PIM 3h33l3CTBOD 0sect1.2.3...1"/>
    <w:basedOn w:val="7"/>
    <w:qFormat/>
    <w:uiPriority w:val="0"/>
    <w:pPr>
      <w:numPr>
        <w:ilvl w:val="3"/>
        <w:numId w:val="10"/>
      </w:numPr>
      <w:tabs>
        <w:tab w:val="left" w:pos="851"/>
        <w:tab w:val="clear" w:pos="2100"/>
      </w:tabs>
      <w:spacing w:before="0" w:after="0" w:line="360" w:lineRule="auto"/>
      <w:outlineLvl w:val="3"/>
    </w:pPr>
    <w:rPr>
      <w:rFonts w:ascii="宋体" w:hAnsi="宋体"/>
      <w:bCs w:val="0"/>
      <w:sz w:val="24"/>
      <w:szCs w:val="20"/>
    </w:rPr>
  </w:style>
  <w:style w:type="paragraph" w:customStyle="1" w:styleId="342">
    <w:name w:val="xl32"/>
    <w:basedOn w:val="1"/>
    <w:qFormat/>
    <w:uiPriority w:val="0"/>
    <w:pPr>
      <w:widowControl/>
      <w:pBdr>
        <w:top w:val="single" w:color="auto" w:sz="4" w:space="0"/>
      </w:pBdr>
      <w:spacing w:before="100" w:beforeLines="0" w:beforeAutospacing="1" w:after="100" w:afterLines="0" w:afterAutospacing="1"/>
      <w:jc w:val="center"/>
    </w:pPr>
    <w:rPr>
      <w:rFonts w:ascii="宋体" w:hAnsi="宋体" w:cs="宋体"/>
      <w:kern w:val="0"/>
      <w:sz w:val="24"/>
      <w:szCs w:val="24"/>
    </w:rPr>
  </w:style>
  <w:style w:type="paragraph" w:customStyle="1" w:styleId="343">
    <w:name w:val="xl101"/>
    <w:basedOn w:val="1"/>
    <w:qFormat/>
    <w:uiPriority w:val="0"/>
    <w:pPr>
      <w:widowControl/>
      <w:pBdr>
        <w:right w:val="single" w:color="auto" w:sz="4" w:space="0"/>
      </w:pBdr>
      <w:spacing w:before="100" w:beforeLines="0" w:beforeAutospacing="1" w:after="100" w:afterLines="0" w:afterAutospacing="1"/>
      <w:jc w:val="center"/>
    </w:pPr>
    <w:rPr>
      <w:rFonts w:ascii="宋体" w:hAnsi="宋体" w:cs="宋体"/>
      <w:kern w:val="0"/>
      <w:sz w:val="20"/>
    </w:rPr>
  </w:style>
  <w:style w:type="paragraph" w:customStyle="1" w:styleId="344">
    <w:name w:val="00"/>
    <w:basedOn w:val="1"/>
    <w:qFormat/>
    <w:uiPriority w:val="0"/>
    <w:pPr>
      <w:autoSpaceDE w:val="0"/>
      <w:autoSpaceDN w:val="0"/>
      <w:adjustRightInd w:val="0"/>
      <w:jc w:val="left"/>
    </w:pPr>
    <w:rPr>
      <w:rFonts w:ascii="黑体" w:eastAsia="黑体"/>
      <w:b/>
      <w:kern w:val="0"/>
      <w:sz w:val="20"/>
    </w:rPr>
  </w:style>
  <w:style w:type="paragraph" w:customStyle="1" w:styleId="345">
    <w:name w:val="xl71"/>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Lines="0" w:beforeAutospacing="1" w:after="100" w:afterLines="0" w:afterAutospacing="1"/>
      <w:jc w:val="center"/>
    </w:pPr>
    <w:rPr>
      <w:rFonts w:ascii="宋体" w:hAnsi="宋体"/>
      <w:kern w:val="0"/>
      <w:sz w:val="20"/>
    </w:rPr>
  </w:style>
  <w:style w:type="paragraph" w:customStyle="1" w:styleId="346">
    <w:name w:val="自定义正文 Char Char"/>
    <w:basedOn w:val="1"/>
    <w:next w:val="1"/>
    <w:qFormat/>
    <w:uiPriority w:val="0"/>
    <w:pPr>
      <w:widowControl/>
      <w:spacing w:line="560" w:lineRule="exact"/>
      <w:ind w:firstLine="560" w:firstLineChars="200"/>
    </w:pPr>
    <w:rPr>
      <w:rFonts w:ascii="宋体" w:hAnsi="宋体"/>
      <w:b/>
      <w:sz w:val="24"/>
    </w:rPr>
  </w:style>
  <w:style w:type="paragraph" w:customStyle="1" w:styleId="347">
    <w:name w:val="次小点说明"/>
    <w:basedOn w:val="12"/>
    <w:qFormat/>
    <w:uiPriority w:val="0"/>
    <w:pPr>
      <w:numPr>
        <w:ilvl w:val="0"/>
        <w:numId w:val="10"/>
      </w:numPr>
      <w:spacing w:after="80"/>
      <w:ind w:firstLineChars="0"/>
    </w:pPr>
    <w:rPr>
      <w:szCs w:val="24"/>
    </w:rPr>
  </w:style>
  <w:style w:type="paragraph" w:customStyle="1" w:styleId="348">
    <w:name w:val="l18"/>
    <w:basedOn w:val="1"/>
    <w:qFormat/>
    <w:uiPriority w:val="0"/>
    <w:pPr>
      <w:widowControl/>
      <w:spacing w:before="30" w:beforeLines="0" w:after="100" w:afterLines="0" w:line="270" w:lineRule="atLeast"/>
      <w:ind w:left="90"/>
      <w:jc w:val="left"/>
    </w:pPr>
    <w:rPr>
      <w:rFonts w:ascii="Arial" w:hAnsi="Arial"/>
      <w:color w:val="000000"/>
      <w:kern w:val="0"/>
      <w:sz w:val="18"/>
    </w:rPr>
  </w:style>
  <w:style w:type="paragraph" w:customStyle="1" w:styleId="349">
    <w:name w:val="numbers"/>
    <w:basedOn w:val="1"/>
    <w:qFormat/>
    <w:uiPriority w:val="0"/>
    <w:pPr>
      <w:tabs>
        <w:tab w:val="left" w:pos="792"/>
      </w:tabs>
      <w:adjustRightInd w:val="0"/>
      <w:spacing w:before="120" w:beforeLines="0" w:after="120" w:afterLines="0" w:line="360" w:lineRule="auto"/>
      <w:ind w:left="792" w:hanging="432"/>
      <w:jc w:val="left"/>
      <w:textAlignment w:val="baseline"/>
    </w:pPr>
    <w:rPr>
      <w:rFonts w:ascii="宋体"/>
      <w:kern w:val="0"/>
      <w:sz w:val="24"/>
    </w:rPr>
  </w:style>
  <w:style w:type="paragraph" w:customStyle="1" w:styleId="350">
    <w:name w:val="样式 标题 2H2部分标题Heading 2 HiddenHeading 2 CCBSheading 2Titre3..."/>
    <w:basedOn w:val="6"/>
    <w:qFormat/>
    <w:uiPriority w:val="0"/>
    <w:pPr>
      <w:numPr>
        <w:ilvl w:val="0"/>
        <w:numId w:val="11"/>
      </w:numPr>
      <w:spacing w:line="360" w:lineRule="auto"/>
    </w:pPr>
    <w:rPr>
      <w:rFonts w:ascii="宋体" w:hAnsi="宋体" w:eastAsia="宋体"/>
      <w:bCs w:val="0"/>
      <w:sz w:val="24"/>
      <w:szCs w:val="20"/>
    </w:rPr>
  </w:style>
  <w:style w:type="paragraph" w:customStyle="1" w:styleId="351">
    <w:name w:val=" Char1 Char Char Char Char Char Char Char Char Char Char Char Char Char Char Char Char Char Char"/>
    <w:basedOn w:val="1"/>
    <w:qFormat/>
    <w:uiPriority w:val="0"/>
    <w:pPr>
      <w:widowControl/>
      <w:spacing w:after="160" w:afterLines="0" w:line="240" w:lineRule="exact"/>
      <w:jc w:val="left"/>
    </w:pPr>
    <w:rPr>
      <w:rFonts w:ascii="Verdana" w:hAnsi="Verdana"/>
      <w:kern w:val="0"/>
      <w:sz w:val="20"/>
      <w:lang w:eastAsia="en-US"/>
    </w:rPr>
  </w:style>
  <w:style w:type="paragraph" w:customStyle="1" w:styleId="352">
    <w:name w:val="李2"/>
    <w:basedOn w:val="1"/>
    <w:qFormat/>
    <w:uiPriority w:val="0"/>
    <w:pPr>
      <w:jc w:val="left"/>
    </w:pPr>
    <w:rPr>
      <w:b/>
      <w:sz w:val="28"/>
    </w:rPr>
  </w:style>
  <w:style w:type="paragraph" w:customStyle="1" w:styleId="353">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354">
    <w:name w:val="p"/>
    <w:basedOn w:val="1"/>
    <w:qFormat/>
    <w:uiPriority w:val="0"/>
    <w:pPr>
      <w:widowControl/>
      <w:spacing w:before="60" w:beforeLines="0" w:after="60" w:afterLines="0" w:line="420" w:lineRule="atLeast"/>
      <w:ind w:firstLine="480"/>
      <w:jc w:val="left"/>
    </w:pPr>
    <w:rPr>
      <w:rFonts w:ascii="宋体" w:hAnsi="宋体"/>
      <w:color w:val="000000"/>
      <w:kern w:val="0"/>
      <w:sz w:val="24"/>
    </w:rPr>
  </w:style>
  <w:style w:type="paragraph" w:customStyle="1" w:styleId="355">
    <w:name w:val="xl60"/>
    <w:basedOn w:val="1"/>
    <w:qFormat/>
    <w:uiPriority w:val="0"/>
    <w:pPr>
      <w:widowControl/>
      <w:pBdr>
        <w:right w:val="single" w:color="auto" w:sz="8" w:space="0"/>
      </w:pBdr>
      <w:shd w:val="clear" w:color="auto" w:fill="FFFF00"/>
      <w:spacing w:before="100" w:beforeLines="0" w:beforeAutospacing="1" w:after="100" w:afterLines="0" w:afterAutospacing="1"/>
      <w:jc w:val="right"/>
    </w:pPr>
    <w:rPr>
      <w:rFonts w:ascii="宋体" w:hAnsi="宋体"/>
      <w:kern w:val="0"/>
      <w:sz w:val="20"/>
    </w:rPr>
  </w:style>
  <w:style w:type="paragraph" w:customStyle="1" w:styleId="356">
    <w:name w:val=" Char Char1 Char Char Char Char Char Char"/>
    <w:basedOn w:val="1"/>
    <w:qFormat/>
    <w:uiPriority w:val="0"/>
    <w:rPr>
      <w:szCs w:val="24"/>
    </w:rPr>
  </w:style>
  <w:style w:type="paragraph" w:customStyle="1" w:styleId="357">
    <w:name w:val="标题二ZDY"/>
    <w:basedOn w:val="6"/>
    <w:qFormat/>
    <w:uiPriority w:val="0"/>
    <w:pPr>
      <w:tabs>
        <w:tab w:val="left" w:pos="1476"/>
      </w:tabs>
      <w:spacing w:before="156" w:beforeLines="50" w:after="0" w:afterLines="0" w:line="360" w:lineRule="auto"/>
    </w:pPr>
    <w:rPr>
      <w:rFonts w:ascii="宋体" w:hAnsi="宋体" w:eastAsia="宋体"/>
      <w:bCs w:val="0"/>
      <w:szCs w:val="20"/>
    </w:rPr>
  </w:style>
  <w:style w:type="paragraph" w:customStyle="1" w:styleId="358">
    <w:name w:val="font6"/>
    <w:basedOn w:val="1"/>
    <w:qFormat/>
    <w:uiPriority w:val="0"/>
    <w:pPr>
      <w:widowControl/>
      <w:spacing w:before="100" w:beforeLines="0" w:beforeAutospacing="1" w:after="100" w:afterLines="0" w:afterAutospacing="1"/>
      <w:jc w:val="left"/>
    </w:pPr>
    <w:rPr>
      <w:rFonts w:hint="eastAsia" w:ascii="宋体" w:hAnsi="宋体"/>
      <w:kern w:val="0"/>
      <w:sz w:val="20"/>
    </w:rPr>
  </w:style>
  <w:style w:type="paragraph" w:customStyle="1" w:styleId="359">
    <w:name w:val="Char Char26 Char Char Char Char"/>
    <w:basedOn w:val="1"/>
    <w:qFormat/>
    <w:uiPriority w:val="0"/>
  </w:style>
  <w:style w:type="paragraph" w:customStyle="1" w:styleId="360">
    <w:name w:val=" Char Char1 Char Char Char Char"/>
    <w:basedOn w:val="1"/>
    <w:qFormat/>
    <w:uiPriority w:val="0"/>
    <w:pPr>
      <w:keepNext/>
      <w:keepLines/>
      <w:adjustRightInd w:val="0"/>
      <w:spacing w:before="312" w:beforeLines="100" w:after="312" w:afterLines="100" w:line="300" w:lineRule="auto"/>
      <w:ind w:firstLine="200" w:firstLineChars="200"/>
      <w:textAlignment w:val="center"/>
    </w:pPr>
    <w:rPr>
      <w:rFonts w:ascii="仿宋_GB2312" w:hAnsi="宋体" w:eastAsia="仿宋_GB2312"/>
      <w:kern w:val="0"/>
      <w:sz w:val="24"/>
    </w:rPr>
  </w:style>
  <w:style w:type="paragraph" w:customStyle="1" w:styleId="361">
    <w:name w:val="普通 (Web)"/>
    <w:basedOn w:val="1"/>
    <w:qFormat/>
    <w:uiPriority w:val="0"/>
    <w:pPr>
      <w:widowControl/>
      <w:numPr>
        <w:ilvl w:val="0"/>
        <w:numId w:val="12"/>
      </w:numPr>
      <w:tabs>
        <w:tab w:val="clear" w:pos="620"/>
      </w:tabs>
      <w:spacing w:after="156" w:afterLines="50" w:line="384" w:lineRule="auto"/>
      <w:ind w:left="359" w:leftChars="171" w:right="34" w:firstLine="540" w:firstLineChars="225"/>
      <w:jc w:val="left"/>
    </w:pPr>
    <w:rPr>
      <w:rFonts w:ascii="Arial" w:hAnsi="Arial" w:cs="Arial"/>
      <w:kern w:val="0"/>
      <w:sz w:val="24"/>
      <w:szCs w:val="24"/>
    </w:rPr>
  </w:style>
  <w:style w:type="paragraph" w:customStyle="1" w:styleId="362">
    <w:name w:val="图样式"/>
    <w:next w:val="363"/>
    <w:qFormat/>
    <w:uiPriority w:val="0"/>
    <w:pPr>
      <w:spacing w:before="156" w:after="156"/>
      <w:jc w:val="center"/>
    </w:pPr>
    <w:rPr>
      <w:rFonts w:ascii="宋体" w:hAnsi="Times New Roman" w:eastAsia="宋体" w:cs="Times New Roman"/>
      <w:kern w:val="2"/>
      <w:lang w:val="en-US" w:eastAsia="zh-CN" w:bidi="ar-SA"/>
    </w:rPr>
  </w:style>
  <w:style w:type="paragraph" w:customStyle="1" w:styleId="363">
    <w:name w:val="图注"/>
    <w:next w:val="1"/>
    <w:qFormat/>
    <w:uiPriority w:val="0"/>
    <w:pPr>
      <w:spacing w:before="120" w:after="120"/>
      <w:jc w:val="center"/>
    </w:pPr>
    <w:rPr>
      <w:rFonts w:ascii="宋体" w:hAnsi="Times New Roman" w:eastAsia="宋体" w:cs="Times New Roman"/>
      <w:kern w:val="2"/>
      <w:sz w:val="18"/>
      <w:lang w:val="en-US" w:eastAsia="zh-CN" w:bidi="ar-SA"/>
    </w:rPr>
  </w:style>
  <w:style w:type="paragraph" w:customStyle="1" w:styleId="364">
    <w:name w:val="标题 四 ZDY"/>
    <w:basedOn w:val="6"/>
    <w:qFormat/>
    <w:uiPriority w:val="0"/>
    <w:pPr>
      <w:tabs>
        <w:tab w:val="left" w:pos="1476"/>
      </w:tabs>
      <w:spacing w:before="156" w:beforeLines="50" w:after="0" w:afterLines="0" w:line="360" w:lineRule="auto"/>
    </w:pPr>
    <w:rPr>
      <w:rFonts w:ascii="宋体" w:hAnsi="宋体" w:eastAsia="宋体"/>
      <w:bCs w:val="0"/>
      <w:spacing w:val="20"/>
      <w:sz w:val="28"/>
      <w:szCs w:val="20"/>
    </w:rPr>
  </w:style>
  <w:style w:type="paragraph" w:customStyle="1" w:styleId="365">
    <w:name w:val="Heading 8"/>
    <w:basedOn w:val="1"/>
    <w:qFormat/>
    <w:uiPriority w:val="0"/>
    <w:pPr>
      <w:widowControl/>
      <w:tabs>
        <w:tab w:val="left" w:pos="1440"/>
      </w:tabs>
      <w:autoSpaceDE w:val="0"/>
      <w:autoSpaceDN w:val="0"/>
      <w:ind w:left="1440" w:hanging="1440"/>
      <w:jc w:val="left"/>
    </w:pPr>
    <w:rPr>
      <w:kern w:val="24"/>
      <w:sz w:val="20"/>
    </w:rPr>
  </w:style>
  <w:style w:type="paragraph" w:customStyle="1" w:styleId="366">
    <w:name w:val="list"/>
    <w:basedOn w:val="1"/>
    <w:qFormat/>
    <w:uiPriority w:val="0"/>
    <w:pPr>
      <w:adjustRightInd w:val="0"/>
      <w:spacing w:line="360" w:lineRule="auto"/>
      <w:ind w:left="902" w:hanging="482"/>
      <w:textAlignment w:val="baseline"/>
    </w:pPr>
    <w:rPr>
      <w:rFonts w:ascii="昆仑仿宋" w:eastAsia="昆仑仿宋"/>
      <w:kern w:val="0"/>
    </w:rPr>
  </w:style>
  <w:style w:type="paragraph" w:customStyle="1" w:styleId="367">
    <w:name w:val="_Style 88"/>
    <w:basedOn w:val="1"/>
    <w:qFormat/>
    <w:uiPriority w:val="0"/>
  </w:style>
  <w:style w:type="paragraph" w:customStyle="1" w:styleId="368">
    <w:name w:val="模板正文"/>
    <w:qFormat/>
    <w:uiPriority w:val="0"/>
    <w:pPr>
      <w:spacing w:before="156" w:beforeLines="50" w:after="156" w:afterLines="50" w:line="360" w:lineRule="auto"/>
      <w:ind w:firstLine="200" w:firstLineChars="200"/>
    </w:pPr>
    <w:rPr>
      <w:rFonts w:ascii="宋体" w:hAnsi="宋体" w:eastAsia="宋体" w:cs="Times New Roman"/>
      <w:sz w:val="24"/>
      <w:lang w:val="en-US" w:eastAsia="zh-CN" w:bidi="ar-SA"/>
    </w:rPr>
  </w:style>
  <w:style w:type="paragraph" w:customStyle="1" w:styleId="369">
    <w:name w:val="GCEBStyles0"/>
    <w:basedOn w:val="1"/>
    <w:qFormat/>
    <w:uiPriority w:val="0"/>
    <w:pPr>
      <w:jc w:val="left"/>
      <w:outlineLvl w:val="0"/>
    </w:pPr>
    <w:rPr>
      <w:rFonts w:ascii="宋体" w:hAnsi="宋体"/>
      <w:b/>
      <w:bCs/>
      <w:kern w:val="0"/>
      <w:sz w:val="44"/>
      <w:szCs w:val="24"/>
    </w:rPr>
  </w:style>
  <w:style w:type="paragraph" w:customStyle="1" w:styleId="370">
    <w:name w:val="CM146"/>
    <w:basedOn w:val="1"/>
    <w:next w:val="1"/>
    <w:qFormat/>
    <w:uiPriority w:val="0"/>
    <w:pPr>
      <w:autoSpaceDE w:val="0"/>
      <w:autoSpaceDN w:val="0"/>
      <w:adjustRightInd w:val="0"/>
      <w:spacing w:after="90" w:afterLines="0"/>
      <w:jc w:val="left"/>
    </w:pPr>
    <w:rPr>
      <w:rFonts w:ascii="EPKJJF+DFPHeiW5" w:eastAsia="EPKJJF+DFPHeiW5"/>
      <w:kern w:val="0"/>
      <w:sz w:val="24"/>
    </w:rPr>
  </w:style>
  <w:style w:type="paragraph" w:customStyle="1" w:styleId="371">
    <w:name w:val=" Char Char6 Char Char Char Char"/>
    <w:basedOn w:val="25"/>
    <w:qFormat/>
    <w:uiPriority w:val="0"/>
    <w:rPr>
      <w:rFonts w:ascii="宋体" w:hAnsi="宋体"/>
      <w:b/>
      <w:sz w:val="24"/>
      <w:shd w:val="clear" w:color="auto" w:fill="auto"/>
    </w:rPr>
  </w:style>
  <w:style w:type="paragraph" w:customStyle="1" w:styleId="372">
    <w:name w:val="标题 4宋体"/>
    <w:basedOn w:val="8"/>
    <w:qFormat/>
    <w:uiPriority w:val="0"/>
    <w:pPr>
      <w:keepLines w:val="0"/>
      <w:numPr>
        <w:ilvl w:val="3"/>
        <w:numId w:val="13"/>
      </w:numPr>
      <w:tabs>
        <w:tab w:val="left" w:pos="864"/>
        <w:tab w:val="clear" w:pos="1680"/>
      </w:tabs>
      <w:autoSpaceDE w:val="0"/>
      <w:autoSpaceDN w:val="0"/>
      <w:adjustRightInd w:val="0"/>
      <w:snapToGrid/>
      <w:spacing w:before="0" w:after="0"/>
      <w:ind w:left="864" w:hanging="864"/>
    </w:pPr>
    <w:rPr>
      <w:rFonts w:ascii="宋体" w:hAnsi="宋体"/>
      <w:b w:val="0"/>
      <w:szCs w:val="20"/>
    </w:rPr>
  </w:style>
  <w:style w:type="paragraph" w:customStyle="1" w:styleId="373">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pPr>
    <w:rPr>
      <w:kern w:val="0"/>
      <w:sz w:val="20"/>
    </w:rPr>
  </w:style>
  <w:style w:type="paragraph" w:customStyle="1" w:styleId="374">
    <w:name w:val="正文缩进一"/>
    <w:basedOn w:val="1"/>
    <w:next w:val="1"/>
    <w:qFormat/>
    <w:uiPriority w:val="0"/>
    <w:pPr>
      <w:widowControl/>
      <w:adjustRightInd w:val="0"/>
      <w:snapToGrid w:val="0"/>
      <w:spacing w:line="360" w:lineRule="auto"/>
      <w:textAlignment w:val="bottom"/>
    </w:pPr>
    <w:rPr>
      <w:rFonts w:ascii="宋体" w:hAnsi="宋体"/>
      <w:spacing w:val="8"/>
      <w:kern w:val="0"/>
      <w:sz w:val="28"/>
    </w:rPr>
  </w:style>
  <w:style w:type="paragraph" w:customStyle="1" w:styleId="375">
    <w:name w:val="樣式1"/>
    <w:basedOn w:val="51"/>
    <w:qFormat/>
    <w:uiPriority w:val="0"/>
    <w:pPr>
      <w:tabs>
        <w:tab w:val="left" w:pos="1829"/>
        <w:tab w:val="left" w:pos="1990"/>
        <w:tab w:val="right" w:leader="dot" w:pos="8834"/>
      </w:tabs>
      <w:ind w:left="0"/>
    </w:pPr>
    <w:rPr>
      <w:rFonts w:cs="Arial"/>
    </w:rPr>
  </w:style>
  <w:style w:type="paragraph" w:customStyle="1" w:styleId="376">
    <w:name w:val="批注主题1"/>
    <w:basedOn w:val="27"/>
    <w:next w:val="27"/>
    <w:qFormat/>
    <w:uiPriority w:val="0"/>
    <w:rPr>
      <w:b/>
      <w:bCs/>
      <w:sz w:val="18"/>
      <w:szCs w:val="18"/>
    </w:rPr>
  </w:style>
  <w:style w:type="paragraph" w:customStyle="1" w:styleId="377">
    <w:name w:val="xl93"/>
    <w:basedOn w:val="1"/>
    <w:qFormat/>
    <w:uiPriority w:val="0"/>
    <w:pPr>
      <w:widowControl/>
      <w:pBdr>
        <w:bottom w:val="single" w:color="auto" w:sz="4" w:space="0"/>
      </w:pBdr>
      <w:shd w:val="clear" w:color="000000" w:fill="FFFF00"/>
      <w:spacing w:before="100" w:beforeLines="0" w:beforeAutospacing="1" w:after="100" w:afterLines="0" w:afterAutospacing="1"/>
      <w:jc w:val="center"/>
      <w:textAlignment w:val="center"/>
    </w:pPr>
    <w:rPr>
      <w:rFonts w:ascii="宋体" w:hAnsi="宋体" w:cs="宋体"/>
      <w:color w:val="000000"/>
      <w:kern w:val="0"/>
      <w:sz w:val="20"/>
    </w:rPr>
  </w:style>
  <w:style w:type="paragraph" w:customStyle="1" w:styleId="378">
    <w:name w:val="Body Text Keep"/>
    <w:basedOn w:val="32"/>
    <w:qFormat/>
    <w:uiPriority w:val="0"/>
    <w:pPr>
      <w:keepNext/>
      <w:widowControl/>
      <w:spacing w:after="240" w:afterLines="0" w:line="240" w:lineRule="atLeast"/>
      <w:ind w:left="1080"/>
    </w:pPr>
    <w:rPr>
      <w:rFonts w:ascii="Arial" w:hAnsi="Arial" w:eastAsia="仿宋体"/>
      <w:smallCaps/>
      <w:spacing w:val="-5"/>
      <w:kern w:val="0"/>
      <w:sz w:val="24"/>
    </w:rPr>
  </w:style>
  <w:style w:type="paragraph" w:customStyle="1" w:styleId="379">
    <w:name w:val="style22"/>
    <w:basedOn w:val="1"/>
    <w:qFormat/>
    <w:uiPriority w:val="0"/>
    <w:pPr>
      <w:widowControl/>
      <w:spacing w:before="100" w:beforeLines="0" w:beforeAutospacing="1" w:after="100" w:afterLines="0" w:afterAutospacing="1"/>
      <w:jc w:val="left"/>
    </w:pPr>
    <w:rPr>
      <w:rFonts w:ascii="Arial" w:hAnsi="Arial"/>
      <w:kern w:val="0"/>
      <w:sz w:val="24"/>
    </w:rPr>
  </w:style>
  <w:style w:type="paragraph" w:customStyle="1" w:styleId="380">
    <w:name w:val="xl85"/>
    <w:basedOn w:val="1"/>
    <w:qFormat/>
    <w:uiPriority w:val="0"/>
    <w:pPr>
      <w:widowControl/>
      <w:pBdr>
        <w:top w:val="single" w:color="auto" w:sz="4" w:space="0"/>
      </w:pBdr>
      <w:shd w:val="clear" w:color="000000" w:fill="FFFF00"/>
      <w:spacing w:before="100" w:beforeLines="0" w:beforeAutospacing="1" w:after="100" w:afterLines="0" w:afterAutospacing="1"/>
      <w:jc w:val="center"/>
      <w:textAlignment w:val="center"/>
    </w:pPr>
    <w:rPr>
      <w:rFonts w:ascii="宋体" w:hAnsi="宋体" w:cs="宋体"/>
      <w:color w:val="000000"/>
      <w:kern w:val="0"/>
      <w:sz w:val="20"/>
    </w:rPr>
  </w:style>
  <w:style w:type="paragraph" w:customStyle="1" w:styleId="381">
    <w:name w:val="普通正文"/>
    <w:basedOn w:val="1"/>
    <w:qFormat/>
    <w:uiPriority w:val="0"/>
    <w:pPr>
      <w:snapToGrid w:val="0"/>
      <w:spacing w:before="120" w:beforeLines="0" w:after="120" w:afterLines="0" w:line="360" w:lineRule="atLeast"/>
      <w:ind w:firstLine="425"/>
    </w:pPr>
    <w:rPr>
      <w:kern w:val="21"/>
    </w:rPr>
  </w:style>
  <w:style w:type="paragraph" w:customStyle="1" w:styleId="382">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lang w:val="en-US" w:eastAsia="zh-CN" w:bidi="ar-SA"/>
    </w:rPr>
  </w:style>
  <w:style w:type="paragraph" w:customStyle="1" w:styleId="383">
    <w:name w:val="点"/>
    <w:basedOn w:val="1"/>
    <w:qFormat/>
    <w:uiPriority w:val="0"/>
    <w:pPr>
      <w:tabs>
        <w:tab w:val="left" w:pos="540"/>
        <w:tab w:val="left" w:pos="1283"/>
      </w:tabs>
      <w:spacing w:line="312" w:lineRule="auto"/>
      <w:ind w:left="1283" w:hanging="245"/>
    </w:pPr>
    <w:rPr>
      <w:rFonts w:ascii="宋体"/>
      <w:sz w:val="24"/>
    </w:rPr>
  </w:style>
  <w:style w:type="paragraph" w:customStyle="1" w:styleId="384">
    <w:name w:val="xl35"/>
    <w:basedOn w:val="1"/>
    <w:qFormat/>
    <w:uiPriority w:val="0"/>
    <w:pPr>
      <w:widowControl/>
      <w:spacing w:before="100" w:beforeLines="0" w:beforeAutospacing="1" w:after="100" w:afterLines="0" w:afterAutospacing="1"/>
      <w:jc w:val="center"/>
      <w:textAlignment w:val="center"/>
    </w:pPr>
    <w:rPr>
      <w:rFonts w:ascii="Arial Unicode MS" w:hAnsi="Arial Unicode MS" w:eastAsia="Arial Unicode MS"/>
      <w:kern w:val="0"/>
      <w:sz w:val="24"/>
      <w:szCs w:val="18"/>
    </w:rPr>
  </w:style>
  <w:style w:type="paragraph" w:customStyle="1" w:styleId="385">
    <w:name w:val="温式正文"/>
    <w:basedOn w:val="1"/>
    <w:qFormat/>
    <w:uiPriority w:val="0"/>
    <w:rPr>
      <w:rFonts w:eastAsia="隶书"/>
      <w:sz w:val="30"/>
    </w:rPr>
  </w:style>
  <w:style w:type="paragraph" w:customStyle="1" w:styleId="386">
    <w:name w:val="P1"/>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387">
    <w:name w:val="xl84"/>
    <w:basedOn w:val="1"/>
    <w:qFormat/>
    <w:uiPriority w:val="0"/>
    <w:pPr>
      <w:widowControl/>
      <w:pBdr>
        <w:top w:val="single" w:color="auto" w:sz="4" w:space="0"/>
        <w:bottom w:val="single" w:color="auto" w:sz="4" w:space="0"/>
        <w:right w:val="single" w:color="auto" w:sz="4" w:space="0"/>
      </w:pBdr>
      <w:shd w:val="clear" w:color="auto" w:fill="CCFFFF"/>
      <w:spacing w:before="100" w:beforeLines="0" w:beforeAutospacing="1" w:after="100" w:afterLines="0" w:afterAutospacing="1"/>
      <w:jc w:val="center"/>
      <w:textAlignment w:val="center"/>
    </w:pPr>
    <w:rPr>
      <w:rFonts w:ascii="黑体" w:hAnsi="宋体" w:eastAsia="黑体" w:cs="宋体"/>
      <w:b/>
      <w:bCs/>
      <w:kern w:val="0"/>
      <w:sz w:val="22"/>
      <w:szCs w:val="22"/>
    </w:rPr>
  </w:style>
  <w:style w:type="paragraph" w:customStyle="1" w:styleId="388">
    <w:name w:val="style2"/>
    <w:basedOn w:val="1"/>
    <w:qFormat/>
    <w:uiPriority w:val="0"/>
    <w:pPr>
      <w:widowControl/>
      <w:numPr>
        <w:ilvl w:val="0"/>
        <w:numId w:val="14"/>
      </w:numPr>
      <w:tabs>
        <w:tab w:val="clear" w:pos="1140"/>
      </w:tabs>
      <w:spacing w:before="100" w:beforeAutospacing="1" w:after="100" w:afterAutospacing="1"/>
      <w:ind w:left="0" w:firstLine="0"/>
      <w:jc w:val="left"/>
    </w:pPr>
    <w:rPr>
      <w:rFonts w:ascii="宋体" w:hAnsi="宋体" w:cs="宋体"/>
      <w:color w:val="000099"/>
      <w:kern w:val="0"/>
      <w:sz w:val="24"/>
      <w:szCs w:val="24"/>
    </w:rPr>
  </w:style>
  <w:style w:type="paragraph" w:customStyle="1" w:styleId="389">
    <w:name w:val=" Char Char25 Char Char"/>
    <w:basedOn w:val="25"/>
    <w:qFormat/>
    <w:uiPriority w:val="0"/>
    <w:rPr>
      <w:rFonts w:ascii="宋体" w:hAnsi="宋体"/>
      <w:b/>
      <w:sz w:val="24"/>
      <w:shd w:val="clear" w:color="auto" w:fill="auto"/>
    </w:rPr>
  </w:style>
  <w:style w:type="paragraph" w:customStyle="1" w:styleId="390">
    <w:name w:val="样式 标题 2UNDERRUBRIK 1-2Underrubrik1prop2h2Level 2 Topic Head..."/>
    <w:basedOn w:val="6"/>
    <w:qFormat/>
    <w:uiPriority w:val="0"/>
    <w:pPr>
      <w:spacing w:line="360" w:lineRule="auto"/>
      <w:jc w:val="left"/>
    </w:pPr>
    <w:rPr>
      <w:rFonts w:ascii="宋体" w:hAnsi="宋体" w:eastAsia="宋体"/>
      <w:bCs w:val="0"/>
      <w:sz w:val="24"/>
      <w:szCs w:val="20"/>
    </w:rPr>
  </w:style>
  <w:style w:type="paragraph" w:customStyle="1" w:styleId="391">
    <w:name w:val="标记1"/>
    <w:basedOn w:val="1"/>
    <w:qFormat/>
    <w:uiPriority w:val="0"/>
    <w:pPr>
      <w:spacing w:before="156" w:beforeLines="50" w:after="156" w:afterLines="50" w:line="360" w:lineRule="auto"/>
    </w:pPr>
    <w:rPr>
      <w:b/>
      <w:bCs/>
      <w:sz w:val="24"/>
      <w:szCs w:val="24"/>
    </w:rPr>
  </w:style>
  <w:style w:type="paragraph" w:customStyle="1" w:styleId="392">
    <w:name w:val="表2"/>
    <w:basedOn w:val="1"/>
    <w:qFormat/>
    <w:uiPriority w:val="0"/>
    <w:pPr>
      <w:widowControl/>
      <w:tabs>
        <w:tab w:val="left" w:pos="6234"/>
      </w:tabs>
      <w:jc w:val="left"/>
    </w:pPr>
    <w:rPr>
      <w:rFonts w:ascii="宋体" w:hAnsi="宋体"/>
      <w:iCs/>
      <w:kern w:val="0"/>
    </w:rPr>
  </w:style>
  <w:style w:type="paragraph" w:customStyle="1" w:styleId="393">
    <w:name w:val="1 Char Char Char Char"/>
    <w:basedOn w:val="1"/>
    <w:qFormat/>
    <w:uiPriority w:val="0"/>
    <w:rPr>
      <w:rFonts w:ascii="Tahoma" w:hAnsi="Tahoma"/>
      <w:sz w:val="24"/>
    </w:rPr>
  </w:style>
  <w:style w:type="paragraph" w:customStyle="1" w:styleId="39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kern w:val="0"/>
      <w:sz w:val="20"/>
    </w:rPr>
  </w:style>
  <w:style w:type="paragraph" w:customStyle="1" w:styleId="395">
    <w:name w:val="xl80"/>
    <w:basedOn w:val="1"/>
    <w:qFormat/>
    <w:uiPriority w:val="0"/>
    <w:pPr>
      <w:widowControl/>
      <w:spacing w:before="100" w:beforeLines="0" w:beforeAutospacing="1" w:after="100" w:afterLines="0" w:afterAutospacing="1"/>
      <w:jc w:val="left"/>
    </w:pPr>
    <w:rPr>
      <w:rFonts w:ascii="宋体" w:hAnsi="宋体"/>
      <w:kern w:val="0"/>
      <w:sz w:val="20"/>
    </w:rPr>
  </w:style>
  <w:style w:type="paragraph" w:customStyle="1" w:styleId="396">
    <w:name w:val="项目符号A"/>
    <w:basedOn w:val="1"/>
    <w:qFormat/>
    <w:uiPriority w:val="0"/>
    <w:pPr>
      <w:numPr>
        <w:ilvl w:val="0"/>
        <w:numId w:val="15"/>
      </w:numPr>
      <w:tabs>
        <w:tab w:val="left" w:pos="1021"/>
        <w:tab w:val="clear" w:pos="874"/>
      </w:tabs>
      <w:spacing w:line="360" w:lineRule="auto"/>
    </w:pPr>
    <w:rPr>
      <w:rFonts w:ascii="Arial" w:hAnsi="Arial"/>
      <w:sz w:val="24"/>
    </w:rPr>
  </w:style>
  <w:style w:type="paragraph" w:customStyle="1" w:styleId="397">
    <w:name w:val="Char Char1 Char Char Char Char Char Char Char Char Char Char Char Char Char Char Char"/>
    <w:basedOn w:val="1"/>
    <w:qFormat/>
    <w:uiPriority w:val="0"/>
    <w:pPr>
      <w:widowControl/>
      <w:spacing w:after="160" w:afterLines="0" w:line="240" w:lineRule="exact"/>
      <w:jc w:val="left"/>
    </w:pPr>
    <w:rPr>
      <w:rFonts w:ascii="Verdana" w:hAnsi="Verdana"/>
      <w:kern w:val="0"/>
      <w:sz w:val="20"/>
      <w:lang w:eastAsia="en-US"/>
    </w:rPr>
  </w:style>
  <w:style w:type="paragraph" w:customStyle="1" w:styleId="398">
    <w:name w:val=" Char Char6 Char Char"/>
    <w:basedOn w:val="25"/>
    <w:qFormat/>
    <w:uiPriority w:val="0"/>
    <w:rPr>
      <w:rFonts w:ascii="宋体" w:hAnsi="宋体"/>
      <w:b/>
      <w:sz w:val="24"/>
      <w:shd w:val="clear" w:color="auto" w:fill="auto"/>
    </w:rPr>
  </w:style>
  <w:style w:type="paragraph" w:customStyle="1" w:styleId="399">
    <w:name w:val="勾"/>
    <w:basedOn w:val="1"/>
    <w:qFormat/>
    <w:uiPriority w:val="0"/>
    <w:pPr>
      <w:numPr>
        <w:ilvl w:val="0"/>
        <w:numId w:val="16"/>
      </w:numPr>
      <w:tabs>
        <w:tab w:val="left" w:pos="900"/>
        <w:tab w:val="clear" w:pos="420"/>
      </w:tabs>
      <w:spacing w:line="360" w:lineRule="auto"/>
      <w:ind w:left="900" w:hanging="360"/>
    </w:pPr>
    <w:rPr>
      <w:sz w:val="24"/>
    </w:rPr>
  </w:style>
  <w:style w:type="paragraph" w:customStyle="1" w:styleId="400">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401">
    <w:name w:val="xl72"/>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Lines="0" w:beforeAutospacing="1" w:after="100" w:afterLines="0" w:afterAutospacing="1"/>
      <w:jc w:val="center"/>
    </w:pPr>
    <w:rPr>
      <w:rFonts w:ascii="宋体" w:hAnsi="宋体"/>
      <w:kern w:val="0"/>
      <w:sz w:val="20"/>
    </w:rPr>
  </w:style>
  <w:style w:type="paragraph" w:customStyle="1" w:styleId="402">
    <w:name w:val="p0"/>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403">
    <w:name w:val="CM1"/>
    <w:basedOn w:val="290"/>
    <w:next w:val="290"/>
    <w:qFormat/>
    <w:uiPriority w:val="0"/>
    <w:pPr>
      <w:autoSpaceDE w:val="0"/>
      <w:autoSpaceDN w:val="0"/>
      <w:adjustRightInd w:val="0"/>
    </w:pPr>
    <w:rPr>
      <w:rFonts w:ascii="HYDaHeiJ" w:eastAsia="HYDaHeiJ"/>
      <w:color w:val="auto"/>
      <w:lang w:eastAsia="zh-CN"/>
    </w:rPr>
  </w:style>
  <w:style w:type="paragraph" w:customStyle="1" w:styleId="404">
    <w:name w:val="标书标题"/>
    <w:basedOn w:val="1"/>
    <w:next w:val="1"/>
    <w:qFormat/>
    <w:uiPriority w:val="0"/>
    <w:pPr>
      <w:spacing w:after="187" w:afterLines="60" w:line="360" w:lineRule="auto"/>
      <w:jc w:val="center"/>
    </w:pPr>
    <w:rPr>
      <w:b/>
      <w:sz w:val="72"/>
    </w:rPr>
  </w:style>
  <w:style w:type="paragraph" w:customStyle="1" w:styleId="405">
    <w:name w:val="标题一"/>
    <w:basedOn w:val="1"/>
    <w:next w:val="406"/>
    <w:qFormat/>
    <w:uiPriority w:val="0"/>
    <w:pPr>
      <w:keepLines/>
      <w:numPr>
        <w:ilvl w:val="0"/>
        <w:numId w:val="17"/>
      </w:numPr>
      <w:tabs>
        <w:tab w:val="left" w:pos="420"/>
        <w:tab w:val="clear" w:pos="1080"/>
      </w:tabs>
      <w:autoSpaceDE w:val="0"/>
      <w:autoSpaceDN w:val="0"/>
      <w:adjustRightInd w:val="0"/>
      <w:spacing w:before="120" w:after="120" w:line="480" w:lineRule="auto"/>
      <w:ind w:left="420" w:hanging="420"/>
      <w:jc w:val="center"/>
      <w:outlineLvl w:val="3"/>
    </w:pPr>
    <w:rPr>
      <w:rFonts w:ascii="幼圆" w:eastAsia="幼圆"/>
      <w:b/>
      <w:color w:val="000000"/>
      <w:spacing w:val="60"/>
      <w:kern w:val="10"/>
      <w:position w:val="8"/>
      <w:sz w:val="30"/>
    </w:rPr>
  </w:style>
  <w:style w:type="paragraph" w:customStyle="1" w:styleId="406">
    <w:name w:val="标题二"/>
    <w:basedOn w:val="1"/>
    <w:next w:val="407"/>
    <w:qFormat/>
    <w:uiPriority w:val="0"/>
    <w:pPr>
      <w:numPr>
        <w:ilvl w:val="0"/>
        <w:numId w:val="3"/>
      </w:numPr>
      <w:autoSpaceDE w:val="0"/>
      <w:autoSpaceDN w:val="0"/>
      <w:adjustRightInd w:val="0"/>
      <w:spacing w:line="360" w:lineRule="auto"/>
      <w:outlineLvl w:val="2"/>
    </w:pPr>
    <w:rPr>
      <w:rFonts w:ascii="幼圆" w:eastAsia="幼圆"/>
      <w:b/>
      <w:color w:val="000000"/>
      <w:spacing w:val="38"/>
      <w:kern w:val="10"/>
      <w:sz w:val="28"/>
    </w:rPr>
  </w:style>
  <w:style w:type="paragraph" w:customStyle="1" w:styleId="407">
    <w:name w:val="标题三"/>
    <w:basedOn w:val="1"/>
    <w:next w:val="408"/>
    <w:qFormat/>
    <w:uiPriority w:val="0"/>
    <w:pPr>
      <w:numPr>
        <w:ilvl w:val="0"/>
        <w:numId w:val="18"/>
      </w:numPr>
      <w:tabs>
        <w:tab w:val="left" w:pos="1080"/>
        <w:tab w:val="clear" w:pos="720"/>
      </w:tabs>
      <w:autoSpaceDE w:val="0"/>
      <w:autoSpaceDN w:val="0"/>
      <w:adjustRightInd w:val="0"/>
      <w:spacing w:line="360" w:lineRule="auto"/>
      <w:ind w:left="432" w:hanging="432"/>
    </w:pPr>
    <w:rPr>
      <w:rFonts w:ascii="幼圆" w:eastAsia="幼圆"/>
      <w:b/>
      <w:color w:val="000000"/>
      <w:spacing w:val="34"/>
      <w:kern w:val="10"/>
      <w:sz w:val="24"/>
    </w:rPr>
  </w:style>
  <w:style w:type="paragraph" w:customStyle="1" w:styleId="408">
    <w:name w:val="标题四"/>
    <w:basedOn w:val="1"/>
    <w:next w:val="1"/>
    <w:qFormat/>
    <w:uiPriority w:val="0"/>
    <w:pPr>
      <w:keepLines/>
      <w:numPr>
        <w:ilvl w:val="0"/>
        <w:numId w:val="19"/>
      </w:numPr>
      <w:tabs>
        <w:tab w:val="clear" w:pos="720"/>
      </w:tabs>
      <w:autoSpaceDE w:val="0"/>
      <w:autoSpaceDN w:val="0"/>
      <w:adjustRightInd w:val="0"/>
      <w:spacing w:line="360" w:lineRule="auto"/>
      <w:ind w:left="907" w:firstLine="0"/>
      <w:outlineLvl w:val="0"/>
    </w:pPr>
    <w:rPr>
      <w:rFonts w:ascii="Arial" w:hAnsi="Arial" w:eastAsia="幼圆"/>
      <w:color w:val="000000"/>
      <w:spacing w:val="30"/>
      <w:kern w:val="10"/>
      <w:sz w:val="28"/>
    </w:rPr>
  </w:style>
  <w:style w:type="paragraph" w:customStyle="1" w:styleId="409">
    <w:name w:val="样式 正文（首行缩进两字） + 左侧:  2.04 厘米"/>
    <w:basedOn w:val="12"/>
    <w:qFormat/>
    <w:uiPriority w:val="0"/>
    <w:pPr>
      <w:autoSpaceDE w:val="0"/>
      <w:autoSpaceDN w:val="0"/>
      <w:adjustRightInd w:val="0"/>
      <w:snapToGrid w:val="0"/>
      <w:ind w:left="567" w:firstLine="0" w:firstLineChars="0"/>
    </w:pPr>
    <w:rPr>
      <w:rFonts w:ascii="华文细黑" w:hAnsi="华文细黑" w:eastAsia="华文细黑"/>
      <w:kern w:val="0"/>
      <w:szCs w:val="24"/>
    </w:rPr>
  </w:style>
  <w:style w:type="paragraph" w:customStyle="1" w:styleId="410">
    <w:name w:val="样式 标题 3 + 左侧:  0 厘米 首行缩进:  0 厘米"/>
    <w:basedOn w:val="7"/>
    <w:qFormat/>
    <w:uiPriority w:val="0"/>
    <w:pPr>
      <w:spacing w:line="413" w:lineRule="auto"/>
    </w:pPr>
    <w:rPr>
      <w:bCs w:val="0"/>
      <w:sz w:val="28"/>
      <w:szCs w:val="20"/>
    </w:rPr>
  </w:style>
  <w:style w:type="paragraph" w:customStyle="1" w:styleId="411">
    <w:name w:val="公司地址"/>
    <w:basedOn w:val="1"/>
    <w:qFormat/>
    <w:uiPriority w:val="0"/>
    <w:pPr>
      <w:spacing w:after="80" w:afterLines="0"/>
      <w:jc w:val="center"/>
    </w:pPr>
    <w:rPr>
      <w:sz w:val="18"/>
    </w:rPr>
  </w:style>
  <w:style w:type="paragraph" w:customStyle="1" w:styleId="412">
    <w:name w:val="样式 正文文本btBody Text(ch) Char Char Char Char Char Char Char Cha..."/>
    <w:basedOn w:val="32"/>
    <w:qFormat/>
    <w:uiPriority w:val="0"/>
    <w:pPr>
      <w:numPr>
        <w:ilvl w:val="0"/>
        <w:numId w:val="13"/>
      </w:numPr>
      <w:tabs>
        <w:tab w:val="left" w:pos="420"/>
        <w:tab w:val="clear" w:pos="360"/>
      </w:tabs>
      <w:adjustRightInd w:val="0"/>
      <w:snapToGrid w:val="0"/>
      <w:spacing w:after="0" w:line="360" w:lineRule="auto"/>
    </w:pPr>
    <w:rPr>
      <w:rFonts w:ascii="宋体" w:hAnsi="宋体"/>
      <w:sz w:val="24"/>
    </w:rPr>
  </w:style>
  <w:style w:type="paragraph" w:customStyle="1" w:styleId="413">
    <w:name w:val="author"/>
    <w:basedOn w:val="8"/>
    <w:qFormat/>
    <w:uiPriority w:val="0"/>
    <w:pPr>
      <w:keepNext w:val="0"/>
      <w:keepLines w:val="0"/>
      <w:adjustRightInd w:val="0"/>
      <w:snapToGrid/>
      <w:spacing w:before="156" w:beforeLines="50" w:after="120" w:afterLines="0" w:line="240" w:lineRule="auto"/>
      <w:ind w:left="426" w:right="74" w:hanging="425"/>
      <w:jc w:val="center"/>
      <w:textAlignment w:val="baseline"/>
      <w:outlineLvl w:val="9"/>
    </w:pPr>
    <w:rPr>
      <w:rFonts w:ascii="Arial" w:hAnsi="Arial"/>
      <w:b w:val="0"/>
      <w:color w:val="auto"/>
      <w:szCs w:val="20"/>
    </w:rPr>
  </w:style>
  <w:style w:type="paragraph" w:customStyle="1" w:styleId="414">
    <w:name w:val=" Char Char5 Char Char Char Char Char Char Char Char"/>
    <w:basedOn w:val="1"/>
    <w:qFormat/>
    <w:uiPriority w:val="0"/>
  </w:style>
  <w:style w:type="paragraph" w:customStyle="1" w:styleId="415">
    <w:name w:val=" Char1 Char Char Char Char Char Char"/>
    <w:basedOn w:val="1"/>
    <w:qFormat/>
    <w:uiPriority w:val="0"/>
    <w:rPr>
      <w:rFonts w:ascii="Tahoma" w:hAnsi="Tahoma"/>
      <w:sz w:val="24"/>
    </w:rPr>
  </w:style>
  <w:style w:type="paragraph" w:customStyle="1" w:styleId="416">
    <w:name w:val="xl40"/>
    <w:basedOn w:val="1"/>
    <w:qFormat/>
    <w:uiPriority w:val="0"/>
    <w:pPr>
      <w:widowControl/>
      <w:pBdr>
        <w:left w:val="single" w:color="auto" w:sz="4" w:space="0"/>
      </w:pBdr>
      <w:spacing w:before="100" w:beforeLines="0" w:beforeAutospacing="1" w:after="100" w:afterLines="0" w:afterAutospacing="1"/>
      <w:jc w:val="center"/>
    </w:pPr>
    <w:rPr>
      <w:rFonts w:ascii="宋体" w:hAnsi="宋体" w:cs="宋体"/>
      <w:kern w:val="0"/>
      <w:sz w:val="24"/>
      <w:szCs w:val="24"/>
    </w:rPr>
  </w:style>
  <w:style w:type="paragraph" w:customStyle="1" w:styleId="417">
    <w:name w:val="xl56"/>
    <w:basedOn w:val="1"/>
    <w:qFormat/>
    <w:uiPriority w:val="0"/>
    <w:pPr>
      <w:widowControl/>
      <w:shd w:val="clear" w:color="auto" w:fill="FFFF00"/>
      <w:spacing w:before="100" w:beforeLines="0" w:beforeAutospacing="1" w:after="100" w:afterLines="0" w:afterAutospacing="1"/>
      <w:jc w:val="left"/>
    </w:pPr>
    <w:rPr>
      <w:rFonts w:ascii="宋体" w:hAnsi="宋体"/>
      <w:b/>
      <w:i/>
      <w:kern w:val="0"/>
      <w:sz w:val="20"/>
    </w:rPr>
  </w:style>
  <w:style w:type="paragraph" w:customStyle="1" w:styleId="418">
    <w:name w:val="样式4"/>
    <w:basedOn w:val="1"/>
    <w:qFormat/>
    <w:uiPriority w:val="0"/>
    <w:pPr>
      <w:numPr>
        <w:ilvl w:val="0"/>
        <w:numId w:val="13"/>
      </w:numPr>
      <w:spacing w:line="360" w:lineRule="auto"/>
    </w:pPr>
    <w:rPr>
      <w:sz w:val="24"/>
      <w:szCs w:val="24"/>
    </w:rPr>
  </w:style>
  <w:style w:type="paragraph" w:customStyle="1" w:styleId="419">
    <w:name w:val="CM22"/>
    <w:basedOn w:val="290"/>
    <w:next w:val="290"/>
    <w:qFormat/>
    <w:uiPriority w:val="0"/>
    <w:pPr>
      <w:autoSpaceDE w:val="0"/>
      <w:autoSpaceDN w:val="0"/>
      <w:adjustRightInd w:val="0"/>
      <w:spacing w:line="203" w:lineRule="atLeast"/>
    </w:pPr>
    <w:rPr>
      <w:rFonts w:ascii="HYDaHeiJ" w:eastAsia="HYDaHeiJ"/>
      <w:color w:val="auto"/>
      <w:lang w:eastAsia="zh-CN"/>
    </w:rPr>
  </w:style>
  <w:style w:type="paragraph" w:customStyle="1" w:styleId="420">
    <w:name w:val="二级标题"/>
    <w:basedOn w:val="5"/>
    <w:qFormat/>
    <w:uiPriority w:val="0"/>
    <w:pPr>
      <w:numPr>
        <w:ilvl w:val="0"/>
        <w:numId w:val="8"/>
      </w:numPr>
      <w:tabs>
        <w:tab w:val="left" w:pos="1369"/>
        <w:tab w:val="clear" w:pos="1140"/>
      </w:tabs>
      <w:spacing w:before="100" w:beforeAutospacing="1" w:after="0" w:line="400" w:lineRule="atLeast"/>
      <w:ind w:left="421" w:hanging="132"/>
      <w:jc w:val="left"/>
      <w:outlineLvl w:val="2"/>
    </w:pPr>
    <w:rPr>
      <w:rFonts w:eastAsia="黑体"/>
      <w:bCs w:val="0"/>
      <w:spacing w:val="10"/>
      <w:sz w:val="24"/>
      <w:szCs w:val="20"/>
    </w:rPr>
  </w:style>
  <w:style w:type="paragraph" w:customStyle="1" w:styleId="421">
    <w:name w:val="Char Char Char Char Char Char"/>
    <w:basedOn w:val="1"/>
    <w:qFormat/>
    <w:uiPriority w:val="0"/>
    <w:rPr>
      <w:rFonts w:ascii="Tahoma" w:hAnsi="Tahoma"/>
      <w:sz w:val="24"/>
    </w:rPr>
  </w:style>
  <w:style w:type="paragraph" w:customStyle="1" w:styleId="422">
    <w:name w:val="font8"/>
    <w:basedOn w:val="1"/>
    <w:qFormat/>
    <w:uiPriority w:val="0"/>
    <w:pPr>
      <w:widowControl/>
      <w:spacing w:before="100" w:beforeLines="0" w:beforeAutospacing="1" w:after="100" w:afterLines="0" w:afterAutospacing="1"/>
      <w:jc w:val="left"/>
    </w:pPr>
    <w:rPr>
      <w:rFonts w:hint="eastAsia" w:ascii="宋体" w:hAnsi="宋体"/>
      <w:color w:val="0000FF"/>
      <w:kern w:val="0"/>
      <w:sz w:val="24"/>
      <w:u w:val="single"/>
    </w:rPr>
  </w:style>
  <w:style w:type="paragraph" w:customStyle="1" w:styleId="423">
    <w:name w:val="正文 New New New New"/>
    <w:basedOn w:val="1"/>
    <w:qFormat/>
    <w:uiPriority w:val="0"/>
    <w:rPr>
      <w:kern w:val="0"/>
      <w:sz w:val="24"/>
    </w:rPr>
  </w:style>
  <w:style w:type="paragraph" w:customStyle="1" w:styleId="424">
    <w:name w:val=" Char Char1 Char Char Char Char Char Char Char Char Char Char Char Char Char Char Char Char Char Char Char Char Char Char Char Char Char Char Char Char Char Char Char Char Char Char Char"/>
    <w:basedOn w:val="1"/>
    <w:qFormat/>
    <w:uiPriority w:val="0"/>
    <w:pPr>
      <w:keepNext/>
      <w:keepLines/>
      <w:adjustRightInd w:val="0"/>
      <w:spacing w:before="312" w:beforeLines="100" w:after="312" w:afterLines="100" w:line="300" w:lineRule="auto"/>
      <w:ind w:firstLine="200" w:firstLineChars="200"/>
      <w:textAlignment w:val="center"/>
    </w:pPr>
    <w:rPr>
      <w:rFonts w:ascii="仿宋_GB2312" w:hAnsi="宋体" w:eastAsia="仿宋_GB2312"/>
      <w:kern w:val="0"/>
      <w:sz w:val="24"/>
    </w:rPr>
  </w:style>
  <w:style w:type="paragraph" w:customStyle="1" w:styleId="425">
    <w:name w:val="xl103"/>
    <w:basedOn w:val="1"/>
    <w:qFormat/>
    <w:uiPriority w:val="0"/>
    <w:pPr>
      <w:widowControl/>
      <w:pBdr>
        <w:top w:val="single" w:color="auto" w:sz="4" w:space="0"/>
        <w:left w:val="single" w:color="auto" w:sz="4" w:space="0"/>
        <w:bottom w:val="single" w:color="auto" w:sz="4" w:space="0"/>
      </w:pBdr>
      <w:shd w:val="clear" w:color="000000" w:fill="33CCCC"/>
      <w:spacing w:before="100" w:beforeLines="0" w:beforeAutospacing="1" w:after="100" w:afterLines="0" w:afterAutospacing="1"/>
      <w:jc w:val="left"/>
      <w:textAlignment w:val="center"/>
    </w:pPr>
    <w:rPr>
      <w:rFonts w:ascii="宋体" w:hAnsi="宋体" w:cs="宋体"/>
      <w:b/>
      <w:bCs/>
      <w:color w:val="000000"/>
      <w:kern w:val="0"/>
      <w:sz w:val="22"/>
      <w:szCs w:val="22"/>
    </w:rPr>
  </w:style>
  <w:style w:type="paragraph" w:customStyle="1" w:styleId="426">
    <w:name w:val="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427">
    <w:name w:val="列出段落11"/>
    <w:basedOn w:val="1"/>
    <w:qFormat/>
    <w:uiPriority w:val="0"/>
    <w:pPr>
      <w:ind w:firstLine="420" w:firstLineChars="200"/>
    </w:pPr>
    <w:rPr>
      <w:rFonts w:ascii="Calibri" w:hAnsi="Calibri"/>
      <w:kern w:val="0"/>
      <w:sz w:val="20"/>
      <w:szCs w:val="22"/>
    </w:rPr>
  </w:style>
  <w:style w:type="paragraph" w:customStyle="1" w:styleId="428">
    <w:name w:val="CM9"/>
    <w:basedOn w:val="290"/>
    <w:next w:val="290"/>
    <w:qFormat/>
    <w:uiPriority w:val="0"/>
    <w:pPr>
      <w:autoSpaceDE w:val="0"/>
      <w:autoSpaceDN w:val="0"/>
      <w:adjustRightInd w:val="0"/>
      <w:spacing w:line="300" w:lineRule="atLeast"/>
    </w:pPr>
    <w:rPr>
      <w:rFonts w:ascii="Arial Black" w:hAnsi="Arial Black" w:eastAsia="宋体"/>
      <w:color w:val="auto"/>
      <w:sz w:val="20"/>
      <w:lang w:eastAsia="zh-CN"/>
    </w:rPr>
  </w:style>
  <w:style w:type="paragraph" w:customStyle="1" w:styleId="429">
    <w:name w:val="样式42"/>
    <w:basedOn w:val="430"/>
    <w:qFormat/>
    <w:uiPriority w:val="0"/>
    <w:pPr>
      <w:numPr>
        <w:ilvl w:val="3"/>
        <w:numId w:val="0"/>
      </w:numPr>
      <w:tabs>
        <w:tab w:val="left" w:pos="907"/>
        <w:tab w:val="left" w:pos="1254"/>
      </w:tabs>
      <w:ind w:left="942" w:firstLine="3"/>
    </w:pPr>
  </w:style>
  <w:style w:type="paragraph" w:customStyle="1" w:styleId="430">
    <w:name w:val="样式2"/>
    <w:basedOn w:val="9"/>
    <w:qFormat/>
    <w:uiPriority w:val="0"/>
    <w:pPr>
      <w:numPr>
        <w:ilvl w:val="3"/>
        <w:numId w:val="3"/>
      </w:numPr>
      <w:adjustRightInd w:val="0"/>
      <w:snapToGrid w:val="0"/>
      <w:spacing w:before="240" w:after="120" w:line="300" w:lineRule="auto"/>
    </w:pPr>
    <w:rPr>
      <w:rFonts w:ascii="Arial" w:hAnsi="Arial" w:cs="Arial"/>
      <w:bCs w:val="0"/>
      <w:sz w:val="24"/>
    </w:rPr>
  </w:style>
  <w:style w:type="paragraph" w:customStyle="1" w:styleId="431">
    <w:name w:val="表题"/>
    <w:qFormat/>
    <w:uiPriority w:val="0"/>
    <w:pPr>
      <w:keepNext/>
      <w:keepLines/>
      <w:spacing w:line="360" w:lineRule="auto"/>
      <w:ind w:left="1134"/>
      <w:jc w:val="center"/>
    </w:pPr>
    <w:rPr>
      <w:rFonts w:ascii="Arial" w:hAnsi="Arial" w:eastAsia="黑体" w:cs="Times New Roman"/>
      <w:lang w:val="en-US" w:eastAsia="zh-CN" w:bidi="ar-SA"/>
    </w:rPr>
  </w:style>
  <w:style w:type="paragraph" w:customStyle="1" w:styleId="432">
    <w:name w:val=" Char Char1 Char Char Char Char Char Char Char Char Char Char Char Char Char Char Char"/>
    <w:basedOn w:val="1"/>
    <w:qFormat/>
    <w:uiPriority w:val="0"/>
    <w:pPr>
      <w:keepNext/>
      <w:keepLines/>
      <w:adjustRightInd w:val="0"/>
      <w:spacing w:before="312" w:beforeLines="100" w:after="312" w:afterLines="100" w:line="300" w:lineRule="auto"/>
      <w:ind w:firstLine="200" w:firstLineChars="200"/>
      <w:textAlignment w:val="center"/>
    </w:pPr>
    <w:rPr>
      <w:rFonts w:ascii="仿宋_GB2312" w:hAnsi="宋体" w:eastAsia="仿宋_GB2312"/>
      <w:kern w:val="0"/>
      <w:sz w:val="24"/>
    </w:rPr>
  </w:style>
  <w:style w:type="paragraph" w:customStyle="1" w:styleId="433">
    <w:name w:val=" Char Char26 Char Char Char Char"/>
    <w:basedOn w:val="1"/>
    <w:qFormat/>
    <w:uiPriority w:val="0"/>
  </w:style>
  <w:style w:type="paragraph" w:customStyle="1" w:styleId="434">
    <w:name w:val="xl43"/>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center"/>
    </w:pPr>
    <w:rPr>
      <w:rFonts w:ascii="宋体" w:hAnsi="宋体" w:cs="宋体"/>
      <w:kern w:val="0"/>
      <w:sz w:val="24"/>
      <w:szCs w:val="24"/>
    </w:rPr>
  </w:style>
  <w:style w:type="paragraph" w:customStyle="1" w:styleId="435">
    <w:name w:val="CM5"/>
    <w:basedOn w:val="290"/>
    <w:next w:val="290"/>
    <w:qFormat/>
    <w:uiPriority w:val="0"/>
    <w:pPr>
      <w:autoSpaceDE w:val="0"/>
      <w:autoSpaceDN w:val="0"/>
      <w:adjustRightInd w:val="0"/>
    </w:pPr>
    <w:rPr>
      <w:rFonts w:ascii="HYDaHeiJ" w:eastAsia="HYDaHeiJ"/>
      <w:color w:val="auto"/>
      <w:lang w:eastAsia="zh-CN"/>
    </w:rPr>
  </w:style>
  <w:style w:type="paragraph" w:customStyle="1" w:styleId="436">
    <w:name w:val="样式 首行缩进:  0.74 厘米"/>
    <w:basedOn w:val="1"/>
    <w:qFormat/>
    <w:uiPriority w:val="0"/>
    <w:pPr>
      <w:spacing w:line="360" w:lineRule="auto"/>
      <w:ind w:firstLine="200" w:firstLineChars="200"/>
    </w:pPr>
    <w:rPr>
      <w:rFonts w:cs="宋体"/>
      <w:sz w:val="24"/>
    </w:rPr>
  </w:style>
  <w:style w:type="paragraph" w:customStyle="1" w:styleId="437">
    <w:name w:val="标书表格字体格式"/>
    <w:next w:val="250"/>
    <w:qFormat/>
    <w:uiPriority w:val="0"/>
    <w:pPr>
      <w:jc w:val="center"/>
    </w:pPr>
    <w:rPr>
      <w:rFonts w:ascii="Times New Roman" w:hAnsi="Times New Roman" w:eastAsia="宋体" w:cs="Times New Roman"/>
      <w:kern w:val="2"/>
      <w:sz w:val="21"/>
      <w:lang w:val="en-US" w:eastAsia="zh-CN" w:bidi="ar-SA"/>
    </w:rPr>
  </w:style>
  <w:style w:type="paragraph" w:customStyle="1" w:styleId="438">
    <w:name w:val="标题1级"/>
    <w:basedOn w:val="5"/>
    <w:qFormat/>
    <w:uiPriority w:val="0"/>
    <w:pPr>
      <w:widowControl/>
      <w:spacing w:before="0" w:beforeLines="0" w:after="0" w:afterLines="0" w:line="440" w:lineRule="exact"/>
      <w:jc w:val="left"/>
    </w:pPr>
    <w:rPr>
      <w:rFonts w:ascii="宋体" w:hAnsi="宋体"/>
      <w:b w:val="0"/>
      <w:bCs w:val="0"/>
      <w:sz w:val="32"/>
      <w:szCs w:val="20"/>
    </w:rPr>
  </w:style>
  <w:style w:type="paragraph" w:customStyle="1" w:styleId="439">
    <w:name w:val="xl41"/>
    <w:basedOn w:val="1"/>
    <w:qFormat/>
    <w:uiPriority w:val="0"/>
    <w:pPr>
      <w:widowControl/>
      <w:spacing w:before="100" w:beforeLines="0" w:beforeAutospacing="1" w:after="100" w:afterLines="0" w:afterAutospacing="1"/>
      <w:jc w:val="center"/>
    </w:pPr>
    <w:rPr>
      <w:rFonts w:ascii="宋体" w:hAnsi="宋体" w:cs="宋体"/>
      <w:kern w:val="0"/>
      <w:sz w:val="24"/>
      <w:szCs w:val="24"/>
    </w:rPr>
  </w:style>
  <w:style w:type="paragraph" w:customStyle="1" w:styleId="440">
    <w:name w:val="Block"/>
    <w:basedOn w:val="1"/>
    <w:next w:val="136"/>
    <w:qFormat/>
    <w:uiPriority w:val="0"/>
    <w:rPr>
      <w:rFonts w:ascii="Arial" w:hAnsi="Arial" w:eastAsia="楷体_GB2312"/>
      <w:color w:val="000080"/>
      <w:sz w:val="28"/>
      <w:szCs w:val="28"/>
    </w:rPr>
  </w:style>
  <w:style w:type="paragraph" w:customStyle="1" w:styleId="441">
    <w:name w:val="xl34"/>
    <w:basedOn w:val="1"/>
    <w:qFormat/>
    <w:uiPriority w:val="0"/>
    <w:pPr>
      <w:widowControl/>
      <w:spacing w:before="100" w:beforeLines="0" w:beforeAutospacing="1" w:after="100" w:afterLines="0" w:afterAutospacing="1"/>
      <w:jc w:val="left"/>
    </w:pPr>
    <w:rPr>
      <w:rFonts w:ascii="Arial" w:hAnsi="Arial" w:eastAsia="Arial Unicode MS" w:cs="Arial"/>
      <w:kern w:val="0"/>
      <w:sz w:val="24"/>
      <w:szCs w:val="24"/>
    </w:rPr>
  </w:style>
  <w:style w:type="paragraph" w:customStyle="1" w:styleId="442">
    <w:name w:val="xl95"/>
    <w:basedOn w:val="1"/>
    <w:qFormat/>
    <w:uiPriority w:val="0"/>
    <w:pPr>
      <w:widowControl/>
      <w:pBdr>
        <w:top w:val="single" w:color="auto" w:sz="4" w:space="0"/>
        <w:left w:val="single" w:color="auto" w:sz="4" w:space="0"/>
        <w:bottom w:val="single" w:color="auto" w:sz="4" w:space="0"/>
      </w:pBdr>
      <w:shd w:val="clear" w:color="000000" w:fill="CCFFFF"/>
      <w:spacing w:before="100" w:beforeLines="0" w:beforeAutospacing="1" w:after="100" w:afterLines="0" w:afterAutospacing="1"/>
      <w:jc w:val="center"/>
      <w:textAlignment w:val="center"/>
    </w:pPr>
    <w:rPr>
      <w:rFonts w:ascii="宋体" w:hAnsi="宋体" w:cs="宋体"/>
      <w:b/>
      <w:bCs/>
      <w:color w:val="000000"/>
      <w:kern w:val="0"/>
      <w:sz w:val="20"/>
    </w:rPr>
  </w:style>
  <w:style w:type="paragraph" w:customStyle="1" w:styleId="443">
    <w:name w:val="表样式"/>
    <w:basedOn w:val="61"/>
    <w:next w:val="1"/>
    <w:qFormat/>
    <w:uiPriority w:val="0"/>
    <w:pPr>
      <w:widowControl/>
      <w:tabs>
        <w:tab w:val="left" w:pos="420"/>
      </w:tabs>
      <w:ind w:left="420" w:leftChars="0" w:firstLineChars="0"/>
      <w:jc w:val="center"/>
    </w:pPr>
    <w:rPr>
      <w:rFonts w:eastAsia="楷体_GB2312"/>
      <w:caps/>
      <w:smallCaps/>
      <w:szCs w:val="20"/>
    </w:rPr>
  </w:style>
  <w:style w:type="paragraph" w:customStyle="1" w:styleId="444">
    <w:name w:val="CM30"/>
    <w:basedOn w:val="290"/>
    <w:next w:val="290"/>
    <w:qFormat/>
    <w:uiPriority w:val="0"/>
    <w:pPr>
      <w:autoSpaceDE w:val="0"/>
      <w:autoSpaceDN w:val="0"/>
      <w:adjustRightInd w:val="0"/>
      <w:spacing w:after="550" w:afterLines="0"/>
    </w:pPr>
    <w:rPr>
      <w:rFonts w:ascii="HYDaHeiJ" w:eastAsia="HYDaHeiJ"/>
      <w:color w:val="auto"/>
      <w:lang w:eastAsia="zh-CN"/>
    </w:rPr>
  </w:style>
  <w:style w:type="paragraph" w:customStyle="1" w:styleId="445">
    <w:name w:val="引文目录标题1"/>
    <w:basedOn w:val="1"/>
    <w:next w:val="1"/>
    <w:qFormat/>
    <w:uiPriority w:val="0"/>
    <w:pPr>
      <w:spacing w:before="120" w:beforeLines="0"/>
      <w:jc w:val="left"/>
    </w:pPr>
    <w:rPr>
      <w:rFonts w:ascii="Arial"/>
      <w:kern w:val="0"/>
      <w:sz w:val="24"/>
      <w:u w:val="none" w:color="000000"/>
    </w:rPr>
  </w:style>
  <w:style w:type="paragraph" w:customStyle="1" w:styleId="446">
    <w:name w:val="xl88"/>
    <w:basedOn w:val="1"/>
    <w:qFormat/>
    <w:uiPriority w:val="0"/>
    <w:pPr>
      <w:widowControl/>
      <w:pBdr>
        <w:left w:val="single" w:color="auto" w:sz="4" w:space="0"/>
      </w:pBdr>
      <w:shd w:val="clear" w:color="000000" w:fill="FFFF00"/>
      <w:spacing w:before="100" w:beforeLines="0" w:beforeAutospacing="1" w:after="100" w:afterLines="0" w:afterAutospacing="1"/>
      <w:jc w:val="center"/>
      <w:textAlignment w:val="center"/>
    </w:pPr>
    <w:rPr>
      <w:rFonts w:ascii="宋体" w:hAnsi="宋体" w:cs="宋体"/>
      <w:color w:val="000000"/>
      <w:kern w:val="0"/>
      <w:sz w:val="20"/>
    </w:rPr>
  </w:style>
  <w:style w:type="paragraph" w:customStyle="1" w:styleId="447">
    <w:name w:val="默认段落字体 Para"/>
    <w:basedOn w:val="1"/>
    <w:qFormat/>
    <w:uiPriority w:val="0"/>
  </w:style>
  <w:style w:type="paragraph" w:customStyle="1" w:styleId="448">
    <w:name w:val="样式 标题 1Heading 0 + Arial 段前: 7.75 磅 段后: 7.75 磅 行距: 固定值 22 磅"/>
    <w:basedOn w:val="5"/>
    <w:qFormat/>
    <w:uiPriority w:val="0"/>
    <w:pPr>
      <w:tabs>
        <w:tab w:val="left" w:pos="425"/>
      </w:tabs>
      <w:spacing w:before="155" w:beforeLines="0" w:after="155" w:afterLines="0" w:line="440" w:lineRule="exact"/>
      <w:ind w:left="425" w:hanging="425"/>
    </w:pPr>
    <w:rPr>
      <w:rFonts w:ascii="Arial" w:hAnsi="Arial" w:eastAsia="黑体"/>
      <w:bCs w:val="0"/>
      <w:sz w:val="32"/>
      <w:szCs w:val="20"/>
    </w:rPr>
  </w:style>
  <w:style w:type="paragraph" w:customStyle="1" w:styleId="44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Lines="0" w:beforeAutospacing="1" w:after="100" w:afterLines="0" w:afterAutospacing="1"/>
      <w:jc w:val="center"/>
      <w:textAlignment w:val="center"/>
    </w:pPr>
    <w:rPr>
      <w:rFonts w:ascii="宋体" w:hAnsi="宋体" w:cs="宋体"/>
      <w:kern w:val="0"/>
      <w:sz w:val="20"/>
    </w:rPr>
  </w:style>
  <w:style w:type="paragraph" w:customStyle="1" w:styleId="45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Lines="0" w:beforeAutospacing="1" w:after="100" w:afterLines="0" w:afterAutospacing="1"/>
      <w:jc w:val="center"/>
    </w:pPr>
    <w:rPr>
      <w:rFonts w:ascii="宋体" w:hAnsi="宋体" w:cs="宋体"/>
      <w:kern w:val="0"/>
      <w:sz w:val="20"/>
    </w:rPr>
  </w:style>
  <w:style w:type="paragraph" w:customStyle="1" w:styleId="451">
    <w:name w:val="xl55"/>
    <w:basedOn w:val="1"/>
    <w:qFormat/>
    <w:uiPriority w:val="0"/>
    <w:pPr>
      <w:widowControl/>
      <w:pBdr>
        <w:left w:val="single" w:color="auto" w:sz="8" w:space="0"/>
        <w:right w:val="single" w:color="auto" w:sz="4" w:space="0"/>
      </w:pBdr>
      <w:shd w:val="clear" w:color="auto" w:fill="FFFF00"/>
      <w:spacing w:before="100" w:beforeLines="0" w:beforeAutospacing="1" w:after="100" w:afterLines="0" w:afterAutospacing="1"/>
      <w:jc w:val="left"/>
    </w:pPr>
    <w:rPr>
      <w:rFonts w:ascii="宋体" w:hAnsi="宋体"/>
      <w:b/>
      <w:i/>
      <w:kern w:val="0"/>
      <w:sz w:val="20"/>
    </w:rPr>
  </w:style>
  <w:style w:type="paragraph" w:customStyle="1" w:styleId="452">
    <w:name w:val="ººÒÇÏ¸µÈÏß¼ò9BOLD"/>
    <w:basedOn w:val="1"/>
    <w:qFormat/>
    <w:uiPriority w:val="0"/>
    <w:pPr>
      <w:overflowPunct w:val="0"/>
      <w:autoSpaceDE w:val="0"/>
      <w:autoSpaceDN w:val="0"/>
      <w:adjustRightInd w:val="0"/>
      <w:spacing w:line="240" w:lineRule="atLeast"/>
      <w:textAlignment w:val="baseline"/>
    </w:pPr>
    <w:rPr>
      <w:rFonts w:ascii="汉仪细等线简" w:eastAsia="汉仪细等线简"/>
      <w:b/>
      <w:kern w:val="0"/>
      <w:sz w:val="18"/>
    </w:rPr>
  </w:style>
  <w:style w:type="paragraph" w:customStyle="1" w:styleId="453">
    <w:name w:val="默认段落字体 Para Char Char Char Char Char Char Char Char Char1 Char Char Char Char Char Char Char Char"/>
    <w:basedOn w:val="25"/>
    <w:qFormat/>
    <w:uiPriority w:val="0"/>
    <w:rPr>
      <w:rFonts w:ascii="Tahoma" w:hAnsi="Tahoma"/>
      <w:sz w:val="24"/>
    </w:rPr>
  </w:style>
  <w:style w:type="paragraph" w:customStyle="1" w:styleId="454">
    <w:name w:val="普文W"/>
    <w:basedOn w:val="39"/>
    <w:qFormat/>
    <w:uiPriority w:val="0"/>
    <w:pPr>
      <w:numPr>
        <w:ilvl w:val="0"/>
        <w:numId w:val="15"/>
      </w:numPr>
      <w:tabs>
        <w:tab w:val="clear" w:pos="874"/>
      </w:tabs>
      <w:spacing w:before="120" w:after="120" w:line="360" w:lineRule="auto"/>
      <w:ind w:left="0" w:firstLine="0"/>
    </w:pPr>
  </w:style>
  <w:style w:type="paragraph" w:customStyle="1" w:styleId="455">
    <w:name w:val="font5"/>
    <w:basedOn w:val="1"/>
    <w:qFormat/>
    <w:uiPriority w:val="0"/>
    <w:pPr>
      <w:widowControl/>
      <w:spacing w:before="100" w:beforeLines="0" w:beforeAutospacing="1" w:after="100" w:afterLines="0" w:afterAutospacing="1"/>
      <w:jc w:val="left"/>
    </w:pPr>
    <w:rPr>
      <w:rFonts w:hint="eastAsia" w:ascii="宋体"/>
      <w:kern w:val="0"/>
      <w:sz w:val="18"/>
      <w:szCs w:val="18"/>
    </w:rPr>
  </w:style>
  <w:style w:type="paragraph" w:customStyle="1" w:styleId="456">
    <w:name w:val="间隔正文"/>
    <w:basedOn w:val="1"/>
    <w:qFormat/>
    <w:uiPriority w:val="0"/>
    <w:pPr>
      <w:adjustRightInd w:val="0"/>
      <w:spacing w:before="40" w:beforeLines="0" w:after="120" w:afterLines="0" w:line="360" w:lineRule="atLeast"/>
      <w:jc w:val="left"/>
      <w:textAlignment w:val="baseline"/>
    </w:pPr>
    <w:rPr>
      <w:kern w:val="0"/>
      <w:sz w:val="24"/>
    </w:rPr>
  </w:style>
  <w:style w:type="paragraph" w:customStyle="1" w:styleId="457">
    <w:name w:val="Body Text 2"/>
    <w:basedOn w:val="1"/>
    <w:qFormat/>
    <w:uiPriority w:val="0"/>
    <w:pPr>
      <w:widowControl/>
      <w:tabs>
        <w:tab w:val="left" w:pos="120"/>
      </w:tabs>
      <w:autoSpaceDE w:val="0"/>
      <w:autoSpaceDN w:val="0"/>
      <w:adjustRightInd w:val="0"/>
      <w:spacing w:line="360" w:lineRule="auto"/>
      <w:ind w:left="45" w:firstLine="720"/>
      <w:textAlignment w:val="baseline"/>
    </w:pPr>
    <w:rPr>
      <w:rFonts w:ascii="宋体"/>
      <w:kern w:val="0"/>
      <w:sz w:val="32"/>
      <w:lang w:val="en-AU"/>
    </w:rPr>
  </w:style>
  <w:style w:type="paragraph" w:customStyle="1" w:styleId="458">
    <w:name w:val="Char Char5 Char Char Char Char"/>
    <w:basedOn w:val="1"/>
    <w:qFormat/>
    <w:uiPriority w:val="0"/>
  </w:style>
  <w:style w:type="paragraph" w:customStyle="1" w:styleId="459">
    <w:name w:val="xl39"/>
    <w:basedOn w:val="1"/>
    <w:qFormat/>
    <w:uiPriority w:val="0"/>
    <w:pPr>
      <w:widowControl/>
      <w:pBdr>
        <w:bottom w:val="single" w:color="auto" w:sz="4" w:space="0"/>
        <w:right w:val="single" w:color="auto" w:sz="4" w:space="0"/>
      </w:pBdr>
      <w:spacing w:before="100" w:beforeLines="0" w:beforeAutospacing="1" w:after="100" w:afterLines="0" w:afterAutospacing="1"/>
      <w:jc w:val="center"/>
    </w:pPr>
    <w:rPr>
      <w:rFonts w:ascii="宋体" w:hAnsi="宋体" w:cs="宋体"/>
      <w:kern w:val="0"/>
      <w:sz w:val="24"/>
      <w:szCs w:val="24"/>
    </w:rPr>
  </w:style>
  <w:style w:type="paragraph" w:customStyle="1" w:styleId="460">
    <w:name w:val=" Char Char12 Char Char Char Char Char Char"/>
    <w:basedOn w:val="25"/>
    <w:qFormat/>
    <w:uiPriority w:val="0"/>
    <w:rPr>
      <w:rFonts w:ascii="宋体" w:hAnsi="宋体"/>
      <w:b/>
      <w:sz w:val="24"/>
      <w:shd w:val="clear" w:color="auto" w:fill="auto"/>
      <w:lang w:val="en-US" w:eastAsia="zh-CN"/>
    </w:rPr>
  </w:style>
  <w:style w:type="paragraph" w:customStyle="1" w:styleId="461">
    <w:name w:val="样式3"/>
    <w:basedOn w:val="405"/>
    <w:next w:val="406"/>
    <w:qFormat/>
    <w:uiPriority w:val="0"/>
    <w:pPr>
      <w:numPr>
        <w:ilvl w:val="0"/>
        <w:numId w:val="6"/>
      </w:numPr>
      <w:tabs>
        <w:tab w:val="clear" w:pos="420"/>
      </w:tabs>
    </w:pPr>
  </w:style>
  <w:style w:type="paragraph" w:customStyle="1" w:styleId="462">
    <w:name w:val="²úÆ·ÃèÊö"/>
    <w:qFormat/>
    <w:uiPriority w:val="0"/>
    <w:pPr>
      <w:widowControl w:val="0"/>
      <w:overflowPunct w:val="0"/>
      <w:autoSpaceDE w:val="0"/>
      <w:autoSpaceDN w:val="0"/>
      <w:adjustRightInd w:val="0"/>
      <w:spacing w:line="270" w:lineRule="atLeast"/>
      <w:ind w:firstLine="397"/>
      <w:jc w:val="both"/>
      <w:textAlignment w:val="baseline"/>
    </w:pPr>
    <w:rPr>
      <w:rFonts w:ascii="宋体" w:hAnsi="Times New Roman" w:eastAsia="宋体" w:cs="Times New Roman"/>
      <w:sz w:val="18"/>
      <w:lang w:val="en-US" w:eastAsia="zh-CN" w:bidi="ar-SA"/>
    </w:rPr>
  </w:style>
  <w:style w:type="paragraph" w:customStyle="1" w:styleId="463">
    <w:name w:val="xl66"/>
    <w:basedOn w:val="1"/>
    <w:qFormat/>
    <w:uiPriority w:val="0"/>
    <w:pPr>
      <w:widowControl/>
      <w:pBdr>
        <w:top w:val="single" w:color="auto" w:sz="4" w:space="0"/>
        <w:left w:val="single" w:color="auto" w:sz="4" w:space="0"/>
      </w:pBdr>
      <w:shd w:val="clear" w:color="auto" w:fill="FFFF00"/>
      <w:spacing w:before="100" w:beforeLines="0" w:beforeAutospacing="1" w:after="100" w:afterLines="0" w:afterAutospacing="1"/>
      <w:jc w:val="right"/>
    </w:pPr>
    <w:rPr>
      <w:kern w:val="0"/>
      <w:sz w:val="20"/>
    </w:rPr>
  </w:style>
  <w:style w:type="paragraph" w:customStyle="1" w:styleId="464">
    <w:name w:val="CM12"/>
    <w:basedOn w:val="290"/>
    <w:next w:val="290"/>
    <w:qFormat/>
    <w:uiPriority w:val="0"/>
    <w:pPr>
      <w:autoSpaceDE w:val="0"/>
      <w:autoSpaceDN w:val="0"/>
      <w:adjustRightInd w:val="0"/>
    </w:pPr>
    <w:rPr>
      <w:rFonts w:ascii="HYDaHeiJ" w:eastAsia="HYDaHeiJ"/>
      <w:color w:val="auto"/>
      <w:lang w:eastAsia="zh-CN"/>
    </w:rPr>
  </w:style>
  <w:style w:type="paragraph" w:customStyle="1" w:styleId="465">
    <w:name w:val="xl86"/>
    <w:basedOn w:val="1"/>
    <w:qFormat/>
    <w:uiPriority w:val="0"/>
    <w:pPr>
      <w:widowControl/>
      <w:pBdr>
        <w:top w:val="single" w:color="auto" w:sz="4" w:space="0"/>
        <w:right w:val="single" w:color="auto" w:sz="4" w:space="0"/>
      </w:pBdr>
      <w:shd w:val="clear" w:color="000000" w:fill="FFFF00"/>
      <w:spacing w:before="100" w:beforeLines="0" w:beforeAutospacing="1" w:after="100" w:afterLines="0" w:afterAutospacing="1"/>
      <w:jc w:val="center"/>
      <w:textAlignment w:val="center"/>
    </w:pPr>
    <w:rPr>
      <w:rFonts w:ascii="宋体" w:hAnsi="宋体" w:cs="宋体"/>
      <w:color w:val="000000"/>
      <w:kern w:val="0"/>
      <w:sz w:val="20"/>
    </w:rPr>
  </w:style>
  <w:style w:type="paragraph" w:customStyle="1" w:styleId="466">
    <w:name w:val="图例编号"/>
    <w:basedOn w:val="72"/>
    <w:next w:val="72"/>
    <w:qFormat/>
    <w:uiPriority w:val="0"/>
    <w:pPr>
      <w:tabs>
        <w:tab w:val="left" w:pos="454"/>
      </w:tabs>
      <w:spacing w:after="0" w:afterLines="0" w:line="300" w:lineRule="auto"/>
      <w:ind w:left="454" w:hanging="454" w:firstLineChars="0"/>
      <w:jc w:val="center"/>
    </w:pPr>
    <w:rPr>
      <w:rFonts w:eastAsia="楷体_GB2312"/>
      <w:sz w:val="24"/>
      <w:szCs w:val="20"/>
    </w:rPr>
  </w:style>
  <w:style w:type="paragraph" w:customStyle="1" w:styleId="467">
    <w:name w:val="contents Title"/>
    <w:basedOn w:val="55"/>
    <w:qFormat/>
    <w:uiPriority w:val="0"/>
    <w:pPr>
      <w:widowControl w:val="0"/>
      <w:adjustRightInd w:val="0"/>
      <w:spacing w:before="760" w:beforeLines="0" w:after="280" w:afterLines="0"/>
      <w:jc w:val="left"/>
      <w:textAlignment w:val="baseline"/>
    </w:pPr>
    <w:rPr>
      <w:rFonts w:eastAsia="黑体"/>
      <w:b w:val="0"/>
      <w:spacing w:val="40"/>
      <w:sz w:val="30"/>
      <w:szCs w:val="20"/>
      <w:u w:val="single"/>
      <w:lang w:val="en-US"/>
    </w:rPr>
  </w:style>
  <w:style w:type="paragraph" w:customStyle="1" w:styleId="468">
    <w:name w:val="关注类型"/>
    <w:basedOn w:val="8"/>
    <w:qFormat/>
    <w:uiPriority w:val="0"/>
    <w:pPr>
      <w:widowControl/>
      <w:numPr>
        <w:ilvl w:val="0"/>
        <w:numId w:val="20"/>
      </w:numPr>
      <w:tabs>
        <w:tab w:val="left" w:pos="1571"/>
        <w:tab w:val="clear" w:pos="720"/>
      </w:tabs>
      <w:snapToGrid/>
      <w:spacing w:before="240" w:after="120"/>
      <w:jc w:val="both"/>
      <w:textAlignment w:val="baseline"/>
    </w:pPr>
    <w:rPr>
      <w:rFonts w:ascii="Arial" w:hAnsi="Arial" w:eastAsia="黑体"/>
      <w:color w:val="auto"/>
      <w:szCs w:val="20"/>
    </w:rPr>
  </w:style>
  <w:style w:type="paragraph" w:customStyle="1" w:styleId="469">
    <w:name w:val="xl61"/>
    <w:basedOn w:val="1"/>
    <w:qFormat/>
    <w:uiPriority w:val="0"/>
    <w:pPr>
      <w:widowControl/>
      <w:pBdr>
        <w:top w:val="single" w:color="auto" w:sz="4" w:space="0"/>
        <w:left w:val="single" w:color="auto" w:sz="8" w:space="0"/>
        <w:bottom w:val="single" w:color="auto" w:sz="4" w:space="0"/>
        <w:right w:val="single" w:color="auto" w:sz="4" w:space="0"/>
      </w:pBdr>
      <w:shd w:val="clear" w:color="auto" w:fill="FFFF00"/>
      <w:spacing w:before="100" w:beforeLines="0" w:beforeAutospacing="1" w:after="100" w:afterLines="0" w:afterAutospacing="1"/>
      <w:jc w:val="center"/>
    </w:pPr>
    <w:rPr>
      <w:rFonts w:ascii="宋体" w:hAnsi="宋体"/>
      <w:kern w:val="0"/>
      <w:sz w:val="20"/>
    </w:rPr>
  </w:style>
  <w:style w:type="paragraph" w:customStyle="1" w:styleId="470">
    <w:name w:val="font1"/>
    <w:basedOn w:val="1"/>
    <w:qFormat/>
    <w:uiPriority w:val="0"/>
    <w:pPr>
      <w:widowControl/>
      <w:spacing w:before="100" w:beforeLines="0" w:beforeAutospacing="1" w:after="100" w:afterLines="0" w:afterAutospacing="1"/>
      <w:jc w:val="left"/>
    </w:pPr>
    <w:rPr>
      <w:rFonts w:hint="eastAsia" w:ascii="宋体" w:hAnsi="宋体"/>
      <w:kern w:val="0"/>
      <w:sz w:val="24"/>
    </w:rPr>
  </w:style>
  <w:style w:type="paragraph" w:customStyle="1" w:styleId="471">
    <w:name w:val="xl67"/>
    <w:basedOn w:val="1"/>
    <w:qFormat/>
    <w:uiPriority w:val="0"/>
    <w:pPr>
      <w:widowControl/>
      <w:pBdr>
        <w:top w:val="single" w:color="auto" w:sz="4" w:space="0"/>
        <w:left w:val="single" w:color="auto" w:sz="4" w:space="0"/>
        <w:right w:val="single" w:color="auto" w:sz="8" w:space="0"/>
      </w:pBdr>
      <w:shd w:val="clear" w:color="auto" w:fill="FFFF00"/>
      <w:spacing w:before="100" w:beforeLines="0" w:beforeAutospacing="1" w:after="100" w:afterLines="0" w:afterAutospacing="1"/>
      <w:jc w:val="right"/>
    </w:pPr>
    <w:rPr>
      <w:rFonts w:ascii="宋体" w:hAnsi="宋体"/>
      <w:kern w:val="0"/>
      <w:sz w:val="20"/>
    </w:rPr>
  </w:style>
  <w:style w:type="paragraph" w:customStyle="1" w:styleId="472">
    <w:name w:val="CM93"/>
    <w:basedOn w:val="1"/>
    <w:next w:val="1"/>
    <w:qFormat/>
    <w:uiPriority w:val="0"/>
    <w:pPr>
      <w:autoSpaceDE w:val="0"/>
      <w:autoSpaceDN w:val="0"/>
      <w:adjustRightInd w:val="0"/>
      <w:spacing w:line="273" w:lineRule="atLeast"/>
      <w:jc w:val="left"/>
    </w:pPr>
    <w:rPr>
      <w:rFonts w:ascii="EPKJJF+DFPHeiW5" w:eastAsia="EPKJJF+DFPHeiW5"/>
      <w:kern w:val="0"/>
      <w:sz w:val="24"/>
    </w:rPr>
  </w:style>
  <w:style w:type="paragraph" w:customStyle="1" w:styleId="473">
    <w:name w:val="样式 行距: 1.5 倍行距"/>
    <w:basedOn w:val="1"/>
    <w:qFormat/>
    <w:uiPriority w:val="0"/>
    <w:pPr>
      <w:spacing w:line="360" w:lineRule="auto"/>
      <w:ind w:firstLine="420" w:firstLineChars="200"/>
    </w:pPr>
    <w:rPr>
      <w:sz w:val="28"/>
    </w:rPr>
  </w:style>
  <w:style w:type="paragraph" w:customStyle="1" w:styleId="474">
    <w:name w:val="style12"/>
    <w:basedOn w:val="1"/>
    <w:qFormat/>
    <w:uiPriority w:val="0"/>
    <w:pPr>
      <w:widowControl/>
      <w:spacing w:before="100" w:beforeLines="0" w:beforeAutospacing="1" w:after="100" w:afterLines="0" w:afterAutospacing="1" w:line="312" w:lineRule="auto"/>
      <w:jc w:val="left"/>
    </w:pPr>
    <w:rPr>
      <w:rFonts w:ascii="ˎ̥" w:hAnsi="ˎ̥" w:cs="宋体"/>
      <w:color w:val="996666"/>
      <w:kern w:val="0"/>
      <w:sz w:val="18"/>
      <w:szCs w:val="18"/>
    </w:rPr>
  </w:style>
  <w:style w:type="paragraph" w:customStyle="1" w:styleId="475">
    <w:name w:val="默认段落字体 Para Char Char Char Char Char Char Char Char Char Char Char Char Char Char Char Char Char Char Char"/>
    <w:basedOn w:val="1"/>
    <w:qFormat/>
    <w:uiPriority w:val="0"/>
    <w:rPr>
      <w:rFonts w:ascii="Tahoma" w:hAnsi="Tahoma"/>
      <w:sz w:val="24"/>
    </w:rPr>
  </w:style>
  <w:style w:type="paragraph" w:customStyle="1" w:styleId="476">
    <w:name w:val="样式 标题 2 + 右侧:  1 字符"/>
    <w:basedOn w:val="6"/>
    <w:qFormat/>
    <w:uiPriority w:val="0"/>
    <w:pPr>
      <w:keepLines w:val="0"/>
      <w:widowControl/>
      <w:snapToGrid w:val="0"/>
      <w:spacing w:before="0" w:beforeLines="0" w:after="0" w:afterLines="0" w:line="360" w:lineRule="auto"/>
      <w:ind w:rightChars="100"/>
      <w:jc w:val="left"/>
    </w:pPr>
    <w:rPr>
      <w:bCs w:val="0"/>
      <w:sz w:val="28"/>
      <w:szCs w:val="20"/>
    </w:rPr>
  </w:style>
  <w:style w:type="paragraph" w:customStyle="1" w:styleId="477">
    <w:name w:val="标题3"/>
    <w:basedOn w:val="7"/>
    <w:qFormat/>
    <w:uiPriority w:val="0"/>
    <w:pPr>
      <w:keepLines w:val="0"/>
      <w:widowControl/>
      <w:spacing w:before="240" w:beforeLines="0" w:after="120" w:afterLines="0" w:line="240" w:lineRule="auto"/>
      <w:jc w:val="left"/>
      <w:outlineLvl w:val="9"/>
    </w:pPr>
    <w:rPr>
      <w:rFonts w:ascii="宋体" w:hAnsi="宋体"/>
      <w:kern w:val="0"/>
      <w:sz w:val="28"/>
      <w:szCs w:val="28"/>
      <w:lang w:val="pt-BR"/>
    </w:rPr>
  </w:style>
  <w:style w:type="paragraph" w:customStyle="1" w:styleId="478">
    <w:name w:val="Heading 9"/>
    <w:basedOn w:val="1"/>
    <w:qFormat/>
    <w:uiPriority w:val="0"/>
    <w:pPr>
      <w:widowControl/>
      <w:tabs>
        <w:tab w:val="left" w:pos="1584"/>
      </w:tabs>
      <w:autoSpaceDE w:val="0"/>
      <w:autoSpaceDN w:val="0"/>
      <w:ind w:left="1584" w:hanging="1584"/>
      <w:jc w:val="left"/>
    </w:pPr>
    <w:rPr>
      <w:kern w:val="24"/>
      <w:sz w:val="20"/>
    </w:rPr>
  </w:style>
  <w:style w:type="paragraph" w:customStyle="1" w:styleId="479">
    <w:name w:val="列出段落1"/>
    <w:basedOn w:val="1"/>
    <w:qFormat/>
    <w:uiPriority w:val="0"/>
    <w:pPr>
      <w:ind w:firstLine="420" w:firstLineChars="200"/>
    </w:pPr>
    <w:rPr>
      <w:szCs w:val="22"/>
    </w:rPr>
  </w:style>
  <w:style w:type="paragraph" w:customStyle="1" w:styleId="480">
    <w:name w:val="标题三 ZDY"/>
    <w:basedOn w:val="6"/>
    <w:qFormat/>
    <w:uiPriority w:val="0"/>
    <w:pPr>
      <w:tabs>
        <w:tab w:val="left" w:pos="1476"/>
      </w:tabs>
      <w:spacing w:before="156" w:beforeLines="50" w:after="0" w:afterLines="0" w:line="360" w:lineRule="auto"/>
    </w:pPr>
    <w:rPr>
      <w:rFonts w:ascii="宋体" w:hAnsi="宋体" w:eastAsia="宋体"/>
      <w:bCs w:val="0"/>
      <w:sz w:val="30"/>
      <w:szCs w:val="20"/>
    </w:rPr>
  </w:style>
  <w:style w:type="paragraph" w:customStyle="1" w:styleId="481">
    <w:name w:val="xl78"/>
    <w:basedOn w:val="1"/>
    <w:qFormat/>
    <w:uiPriority w:val="0"/>
    <w:pPr>
      <w:widowControl/>
      <w:pBdr>
        <w:bottom w:val="single" w:color="auto" w:sz="8" w:space="0"/>
      </w:pBdr>
      <w:spacing w:before="100" w:beforeLines="0" w:beforeAutospacing="1" w:after="100" w:afterLines="0" w:afterAutospacing="1"/>
      <w:jc w:val="center"/>
    </w:pPr>
    <w:rPr>
      <w:b/>
      <w:color w:val="0000FF"/>
      <w:kern w:val="0"/>
      <w:sz w:val="28"/>
    </w:rPr>
  </w:style>
  <w:style w:type="paragraph" w:customStyle="1" w:styleId="48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Lines="0" w:beforeAutospacing="1" w:after="100" w:afterLines="0" w:afterAutospacing="1"/>
      <w:jc w:val="left"/>
      <w:textAlignment w:val="center"/>
    </w:pPr>
    <w:rPr>
      <w:rFonts w:ascii="宋体" w:hAnsi="宋体" w:cs="宋体"/>
      <w:kern w:val="0"/>
      <w:sz w:val="20"/>
    </w:rPr>
  </w:style>
  <w:style w:type="paragraph" w:customStyle="1" w:styleId="483">
    <w:name w:val="标题3级"/>
    <w:basedOn w:val="5"/>
    <w:qFormat/>
    <w:uiPriority w:val="0"/>
    <w:pPr>
      <w:widowControl/>
      <w:spacing w:before="0" w:beforeLines="0" w:after="0" w:afterLines="0" w:line="440" w:lineRule="exact"/>
      <w:jc w:val="left"/>
      <w:outlineLvl w:val="2"/>
    </w:pPr>
    <w:rPr>
      <w:rFonts w:ascii="宋体"/>
      <w:b w:val="0"/>
      <w:bCs w:val="0"/>
      <w:sz w:val="32"/>
      <w:szCs w:val="20"/>
    </w:rPr>
  </w:style>
  <w:style w:type="paragraph" w:customStyle="1" w:styleId="48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pPr>
    <w:rPr>
      <w:kern w:val="0"/>
      <w:sz w:val="20"/>
    </w:rPr>
  </w:style>
  <w:style w:type="paragraph" w:customStyle="1" w:styleId="485">
    <w:name w:val=" Char Char Char Char1 Char Char"/>
    <w:basedOn w:val="25"/>
    <w:qFormat/>
    <w:uiPriority w:val="0"/>
    <w:rPr>
      <w:rFonts w:ascii="宋体" w:hAnsi="宋体"/>
      <w:b/>
      <w:sz w:val="24"/>
      <w:shd w:val="clear" w:color="auto" w:fill="auto"/>
      <w:lang w:val="en-US" w:eastAsia="zh-CN"/>
    </w:rPr>
  </w:style>
  <w:style w:type="paragraph" w:customStyle="1" w:styleId="486">
    <w:name w:val="_Style 82"/>
    <w:basedOn w:val="1"/>
    <w:qFormat/>
    <w:uiPriority w:val="0"/>
    <w:rPr>
      <w:rFonts w:ascii="宋体" w:hAnsi="宋体"/>
      <w:b/>
      <w:sz w:val="24"/>
    </w:rPr>
  </w:style>
  <w:style w:type="paragraph" w:customStyle="1" w:styleId="487">
    <w:name w:val="Footnote Base"/>
    <w:basedOn w:val="1"/>
    <w:qFormat/>
    <w:uiPriority w:val="0"/>
    <w:pPr>
      <w:keepLines/>
      <w:widowControl/>
      <w:spacing w:line="200" w:lineRule="atLeast"/>
      <w:ind w:left="1080"/>
      <w:jc w:val="left"/>
    </w:pPr>
    <w:rPr>
      <w:rFonts w:ascii="Arial" w:hAnsi="Arial" w:eastAsia="仿宋体"/>
      <w:smallCaps/>
      <w:spacing w:val="-5"/>
      <w:kern w:val="0"/>
      <w:sz w:val="16"/>
      <w:lang w:eastAsia="en-US"/>
    </w:rPr>
  </w:style>
  <w:style w:type="paragraph" w:customStyle="1" w:styleId="488">
    <w:name w:val="样式 正文文本缩进 + 段前: 2 字符"/>
    <w:basedOn w:val="1"/>
    <w:qFormat/>
    <w:uiPriority w:val="0"/>
    <w:pPr>
      <w:ind w:left="420" w:leftChars="200"/>
      <w:jc w:val="left"/>
    </w:pPr>
    <w:rPr>
      <w:sz w:val="28"/>
      <w:szCs w:val="24"/>
      <w:lang w:eastAsia="zh-TW"/>
    </w:rPr>
  </w:style>
  <w:style w:type="paragraph" w:customStyle="1" w:styleId="489">
    <w:name w:val="CM7"/>
    <w:basedOn w:val="290"/>
    <w:next w:val="290"/>
    <w:qFormat/>
    <w:uiPriority w:val="0"/>
    <w:pPr>
      <w:autoSpaceDE w:val="0"/>
      <w:autoSpaceDN w:val="0"/>
      <w:adjustRightInd w:val="0"/>
      <w:spacing w:line="200" w:lineRule="atLeast"/>
    </w:pPr>
    <w:rPr>
      <w:rFonts w:ascii="Arial Black" w:hAnsi="Arial Black" w:eastAsia="宋体"/>
      <w:color w:val="auto"/>
      <w:sz w:val="20"/>
      <w:lang w:eastAsia="zh-CN"/>
    </w:rPr>
  </w:style>
  <w:style w:type="paragraph" w:customStyle="1" w:styleId="490">
    <w:name w:val="标题一ZDY"/>
    <w:basedOn w:val="5"/>
    <w:qFormat/>
    <w:uiPriority w:val="0"/>
    <w:pPr>
      <w:spacing w:before="156" w:beforeLines="50" w:after="60" w:afterLines="0" w:line="480" w:lineRule="auto"/>
      <w:jc w:val="center"/>
    </w:pPr>
    <w:rPr>
      <w:rFonts w:ascii="宋体" w:hAnsi="宋体"/>
      <w:bCs w:val="0"/>
      <w:kern w:val="2"/>
      <w:sz w:val="28"/>
      <w:szCs w:val="20"/>
    </w:rPr>
  </w:style>
  <w:style w:type="paragraph" w:customStyle="1" w:styleId="491">
    <w:name w:val="插图题注"/>
    <w:next w:val="1"/>
    <w:qFormat/>
    <w:uiPriority w:val="0"/>
    <w:pPr>
      <w:numPr>
        <w:ilvl w:val="7"/>
        <w:numId w:val="3"/>
      </w:numPr>
      <w:spacing w:after="312" w:afterLines="100"/>
      <w:jc w:val="center"/>
    </w:pPr>
    <w:rPr>
      <w:rFonts w:ascii="Arial" w:hAnsi="Arial" w:eastAsia="宋体" w:cs="Times New Roman"/>
      <w:sz w:val="18"/>
      <w:lang w:val="en-US" w:eastAsia="zh-CN" w:bidi="ar-SA"/>
    </w:rPr>
  </w:style>
  <w:style w:type="paragraph" w:customStyle="1" w:styleId="492">
    <w:name w:val="方案"/>
    <w:basedOn w:val="1"/>
    <w:qFormat/>
    <w:uiPriority w:val="0"/>
    <w:pPr>
      <w:adjustRightInd w:val="0"/>
      <w:spacing w:line="400" w:lineRule="exact"/>
      <w:textAlignment w:val="baseline"/>
    </w:pPr>
    <w:rPr>
      <w:rFonts w:eastAsia="楷体_GB2312"/>
      <w:kern w:val="0"/>
      <w:sz w:val="24"/>
    </w:rPr>
  </w:style>
  <w:style w:type="paragraph" w:customStyle="1" w:styleId="493">
    <w:name w:val="xl98"/>
    <w:basedOn w:val="1"/>
    <w:qFormat/>
    <w:uiPriority w:val="0"/>
    <w:pPr>
      <w:widowControl/>
      <w:pBdr>
        <w:top w:val="single" w:color="auto" w:sz="4" w:space="0"/>
        <w:bottom w:val="single" w:color="auto" w:sz="4" w:space="0"/>
      </w:pBdr>
      <w:shd w:val="clear" w:color="000000" w:fill="33CCCC"/>
      <w:spacing w:before="100" w:beforeLines="0" w:beforeAutospacing="1" w:after="100" w:afterLines="0" w:afterAutospacing="1"/>
      <w:jc w:val="center"/>
      <w:textAlignment w:val="center"/>
    </w:pPr>
    <w:rPr>
      <w:rFonts w:ascii="宋体" w:hAnsi="宋体" w:cs="宋体"/>
      <w:b/>
      <w:bCs/>
      <w:color w:val="000000"/>
      <w:kern w:val="0"/>
      <w:sz w:val="22"/>
      <w:szCs w:val="22"/>
    </w:rPr>
  </w:style>
  <w:style w:type="paragraph" w:customStyle="1" w:styleId="494">
    <w:name w:val=" Char Char Char Char Char Char1 Char"/>
    <w:basedOn w:val="1"/>
    <w:qFormat/>
    <w:uiPriority w:val="0"/>
    <w:pPr>
      <w:widowControl/>
      <w:spacing w:after="160" w:afterLines="0" w:line="240" w:lineRule="exact"/>
      <w:jc w:val="left"/>
    </w:pPr>
    <w:rPr>
      <w:rFonts w:ascii="Verdana" w:hAnsi="Verdana"/>
      <w:kern w:val="0"/>
      <w:lang w:eastAsia="en-US"/>
    </w:rPr>
  </w:style>
  <w:style w:type="paragraph" w:customStyle="1" w:styleId="495">
    <w:name w:val="样式 首行缩进:  2 字符"/>
    <w:basedOn w:val="1"/>
    <w:qFormat/>
    <w:uiPriority w:val="0"/>
    <w:pPr>
      <w:spacing w:line="360" w:lineRule="auto"/>
      <w:ind w:firstLine="480" w:firstLineChars="200"/>
      <w:jc w:val="left"/>
    </w:pPr>
    <w:rPr>
      <w:rFonts w:ascii="宋体" w:hAnsi="宋体" w:cs="宋体"/>
      <w:color w:val="000000"/>
      <w:sz w:val="24"/>
      <w:szCs w:val="24"/>
    </w:rPr>
  </w:style>
  <w:style w:type="paragraph" w:customStyle="1" w:styleId="496">
    <w:name w:val="标号"/>
    <w:basedOn w:val="9"/>
    <w:qFormat/>
    <w:uiPriority w:val="0"/>
    <w:pPr>
      <w:tabs>
        <w:tab w:val="left" w:pos="1296"/>
        <w:tab w:val="left" w:pos="2100"/>
      </w:tabs>
      <w:snapToGrid w:val="0"/>
      <w:spacing w:before="0" w:beforeLines="0" w:after="0" w:afterLines="0" w:line="460" w:lineRule="atLeast"/>
      <w:ind w:left="1008" w:hanging="432"/>
      <w:outlineLvl w:val="9"/>
    </w:pPr>
    <w:rPr>
      <w:rFonts w:ascii="Arial" w:hAnsi="Arial"/>
      <w:b w:val="0"/>
      <w:bCs w:val="0"/>
      <w:spacing w:val="6"/>
      <w:sz w:val="24"/>
      <w:szCs w:val="20"/>
    </w:rPr>
  </w:style>
  <w:style w:type="paragraph" w:customStyle="1" w:styleId="497">
    <w:name w:val="图形文字"/>
    <w:next w:val="1"/>
    <w:qFormat/>
    <w:uiPriority w:val="0"/>
    <w:pPr>
      <w:jc w:val="center"/>
    </w:pPr>
    <w:rPr>
      <w:rFonts w:ascii="Times New Roman" w:hAnsi="Times New Roman" w:eastAsia="宋体" w:cs="Times New Roman"/>
      <w:color w:val="000000"/>
      <w:sz w:val="24"/>
      <w:lang w:val="en-US" w:eastAsia="zh-CN" w:bidi="ar-SA"/>
    </w:rPr>
  </w:style>
  <w:style w:type="paragraph" w:customStyle="1" w:styleId="498">
    <w:name w:val="8"/>
    <w:basedOn w:val="1"/>
    <w:qFormat/>
    <w:uiPriority w:val="0"/>
    <w:pPr>
      <w:widowControl/>
      <w:spacing w:after="160" w:afterLines="0" w:line="240" w:lineRule="exact"/>
      <w:jc w:val="left"/>
    </w:pPr>
    <w:rPr>
      <w:rFonts w:ascii="Verdana" w:hAnsi="Verdana"/>
      <w:kern w:val="0"/>
      <w:lang w:eastAsia="en-US"/>
    </w:rPr>
  </w:style>
  <w:style w:type="paragraph" w:customStyle="1" w:styleId="499">
    <w:name w:val="style3"/>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500">
    <w:name w:val=" Char Char Char Char Char Char Char Char Char1 Char Char Char Char Char Char Char Char Char Char Char Char Char Char Char Char Char Char Char Char Char Char Char Char Char Char Char Char Char Char Char Char Char Char Char Char"/>
    <w:basedOn w:val="1"/>
    <w:qFormat/>
    <w:uiPriority w:val="0"/>
    <w:pPr>
      <w:keepNext/>
      <w:keepLines/>
      <w:adjustRightInd w:val="0"/>
      <w:spacing w:before="312" w:beforeLines="100" w:after="312" w:afterLines="100" w:line="300" w:lineRule="auto"/>
      <w:ind w:firstLine="200" w:firstLineChars="200"/>
      <w:textAlignment w:val="center"/>
    </w:pPr>
    <w:rPr>
      <w:rFonts w:ascii="仿宋_GB2312" w:hAnsi="宋体" w:eastAsia="仿宋_GB2312"/>
      <w:kern w:val="0"/>
      <w:sz w:val="24"/>
    </w:rPr>
  </w:style>
  <w:style w:type="paragraph" w:customStyle="1" w:styleId="501">
    <w:name w:val="pa-0"/>
    <w:basedOn w:val="1"/>
    <w:qFormat/>
    <w:uiPriority w:val="0"/>
    <w:pPr>
      <w:widowControl/>
      <w:spacing w:before="100" w:beforeLines="0" w:beforeAutospacing="1" w:after="100" w:afterLines="0" w:afterAutospacing="1" w:line="360" w:lineRule="atLeast"/>
      <w:ind w:firstLine="480"/>
    </w:pPr>
    <w:rPr>
      <w:rFonts w:ascii="宋体" w:hAnsi="宋体" w:cs="宋体"/>
      <w:kern w:val="0"/>
      <w:sz w:val="24"/>
      <w:szCs w:val="24"/>
    </w:rPr>
  </w:style>
  <w:style w:type="paragraph" w:customStyle="1" w:styleId="502">
    <w:name w:val="表文字"/>
    <w:qFormat/>
    <w:uiPriority w:val="0"/>
    <w:rPr>
      <w:rFonts w:ascii="宋体" w:hAnsi="Times New Roman" w:eastAsia="宋体" w:cs="Times New Roman"/>
      <w:kern w:val="2"/>
      <w:lang w:val="en-US" w:eastAsia="zh-CN" w:bidi="ar-SA"/>
    </w:rPr>
  </w:style>
  <w:style w:type="paragraph" w:customStyle="1" w:styleId="50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宋体" w:hAnsi="宋体" w:cs="宋体"/>
      <w:color w:val="FF0000"/>
      <w:kern w:val="0"/>
      <w:sz w:val="24"/>
      <w:szCs w:val="24"/>
    </w:rPr>
  </w:style>
  <w:style w:type="paragraph" w:customStyle="1" w:styleId="504">
    <w:name w:val="xl58"/>
    <w:basedOn w:val="1"/>
    <w:qFormat/>
    <w:uiPriority w:val="0"/>
    <w:pPr>
      <w:widowControl/>
      <w:shd w:val="clear" w:color="auto" w:fill="FFFF00"/>
      <w:spacing w:before="100" w:beforeLines="0" w:beforeAutospacing="1" w:after="100" w:afterLines="0" w:afterAutospacing="1"/>
      <w:jc w:val="center"/>
    </w:pPr>
    <w:rPr>
      <w:rFonts w:ascii="宋体" w:hAnsi="宋体"/>
      <w:kern w:val="0"/>
      <w:sz w:val="20"/>
    </w:rPr>
  </w:style>
  <w:style w:type="paragraph" w:customStyle="1" w:styleId="505">
    <w:name w:val="font10"/>
    <w:basedOn w:val="1"/>
    <w:qFormat/>
    <w:uiPriority w:val="0"/>
    <w:pPr>
      <w:widowControl/>
      <w:spacing w:before="100" w:beforeLines="0" w:beforeAutospacing="1" w:after="100" w:afterLines="0" w:afterAutospacing="1"/>
      <w:jc w:val="left"/>
    </w:pPr>
    <w:rPr>
      <w:rFonts w:hint="eastAsia" w:ascii="宋体" w:hAnsi="宋体"/>
      <w:b/>
      <w:kern w:val="0"/>
      <w:sz w:val="24"/>
    </w:rPr>
  </w:style>
  <w:style w:type="paragraph" w:customStyle="1" w:styleId="506">
    <w:name w:val=" Char"/>
    <w:basedOn w:val="1"/>
    <w:qFormat/>
    <w:uiPriority w:val="0"/>
    <w:rPr>
      <w:rFonts w:ascii="仿宋_GB2312" w:eastAsia="仿宋_GB2312"/>
      <w:b/>
      <w:sz w:val="32"/>
      <w:szCs w:val="32"/>
    </w:rPr>
  </w:style>
  <w:style w:type="paragraph" w:customStyle="1" w:styleId="507">
    <w:name w:val=" Char Char25 Char Char1 Char Char Char Char"/>
    <w:basedOn w:val="25"/>
    <w:qFormat/>
    <w:uiPriority w:val="0"/>
    <w:rPr>
      <w:rFonts w:ascii="宋体" w:hAnsi="宋体"/>
      <w:b/>
      <w:sz w:val="24"/>
      <w:shd w:val="clear" w:color="auto" w:fill="auto"/>
      <w:lang w:val="en-US" w:eastAsia="zh-CN"/>
    </w:rPr>
  </w:style>
  <w:style w:type="paragraph" w:customStyle="1" w:styleId="508">
    <w:name w:val="a"/>
    <w:basedOn w:val="1"/>
    <w:qFormat/>
    <w:uiPriority w:val="0"/>
    <w:pPr>
      <w:widowControl/>
      <w:spacing w:line="300" w:lineRule="atLeast"/>
      <w:jc w:val="left"/>
    </w:pPr>
    <w:rPr>
      <w:rFonts w:ascii="宋体" w:hAnsi="宋体" w:cs="宋体"/>
      <w:kern w:val="0"/>
      <w:sz w:val="18"/>
      <w:szCs w:val="18"/>
    </w:rPr>
  </w:style>
  <w:style w:type="paragraph" w:customStyle="1" w:styleId="509">
    <w:name w:val="表文"/>
    <w:qFormat/>
    <w:uiPriority w:val="0"/>
    <w:pPr>
      <w:spacing w:before="62" w:after="62"/>
      <w:jc w:val="center"/>
    </w:pPr>
    <w:rPr>
      <w:rFonts w:ascii="Times New Roman" w:hAnsi="Times New Roman" w:eastAsia="仿宋_GB2312" w:cs="Times New Roman"/>
      <w:sz w:val="24"/>
      <w:lang w:val="en-US" w:eastAsia="zh-CN" w:bidi="ar-SA"/>
    </w:rPr>
  </w:style>
  <w:style w:type="paragraph" w:customStyle="1" w:styleId="510">
    <w:name w:val=" Char Char 字元 字元 字元 Char Char Char Char"/>
    <w:basedOn w:val="1"/>
    <w:qFormat/>
    <w:uiPriority w:val="0"/>
    <w:pPr>
      <w:adjustRightInd w:val="0"/>
      <w:spacing w:line="360" w:lineRule="auto"/>
    </w:pPr>
    <w:rPr>
      <w:kern w:val="0"/>
      <w:sz w:val="24"/>
    </w:rPr>
  </w:style>
  <w:style w:type="paragraph" w:customStyle="1" w:styleId="511">
    <w:name w:val=" Char Char Char Char"/>
    <w:basedOn w:val="1"/>
    <w:qFormat/>
    <w:uiPriority w:val="0"/>
    <w:rPr>
      <w:rFonts w:ascii="宋体" w:hAnsi="宋体"/>
      <w:b/>
      <w:sz w:val="24"/>
    </w:rPr>
  </w:style>
  <w:style w:type="paragraph" w:customStyle="1" w:styleId="512">
    <w:name w:val="v15"/>
    <w:basedOn w:val="1"/>
    <w:qFormat/>
    <w:uiPriority w:val="0"/>
    <w:pPr>
      <w:widowControl/>
      <w:spacing w:before="100" w:beforeLines="0" w:beforeAutospacing="1" w:after="100" w:afterLines="0" w:afterAutospacing="1"/>
      <w:jc w:val="left"/>
    </w:pPr>
    <w:rPr>
      <w:rFonts w:ascii="宋体" w:hAnsi="宋体"/>
      <w:kern w:val="0"/>
      <w:sz w:val="24"/>
    </w:rPr>
  </w:style>
  <w:style w:type="paragraph" w:customStyle="1" w:styleId="513">
    <w:name w:val="CM27"/>
    <w:basedOn w:val="290"/>
    <w:next w:val="290"/>
    <w:qFormat/>
    <w:uiPriority w:val="0"/>
    <w:pPr>
      <w:autoSpaceDE w:val="0"/>
      <w:autoSpaceDN w:val="0"/>
      <w:adjustRightInd w:val="0"/>
      <w:spacing w:after="68" w:afterLines="0"/>
    </w:pPr>
    <w:rPr>
      <w:rFonts w:ascii="HYDaHeiJ" w:eastAsia="HYDaHeiJ"/>
      <w:color w:val="auto"/>
      <w:lang w:eastAsia="zh-CN"/>
    </w:rPr>
  </w:style>
  <w:style w:type="paragraph" w:customStyle="1" w:styleId="514">
    <w:name w:val="CM140"/>
    <w:basedOn w:val="1"/>
    <w:next w:val="1"/>
    <w:qFormat/>
    <w:uiPriority w:val="0"/>
    <w:pPr>
      <w:autoSpaceDE w:val="0"/>
      <w:autoSpaceDN w:val="0"/>
      <w:adjustRightInd w:val="0"/>
      <w:spacing w:after="543" w:afterLines="0"/>
      <w:jc w:val="left"/>
    </w:pPr>
    <w:rPr>
      <w:rFonts w:ascii="EPKJJF+DFPHeiW5" w:eastAsia="EPKJJF+DFPHeiW5"/>
      <w:kern w:val="0"/>
      <w:sz w:val="24"/>
    </w:rPr>
  </w:style>
  <w:style w:type="paragraph" w:customStyle="1" w:styleId="515">
    <w:name w:val="xl37"/>
    <w:basedOn w:val="1"/>
    <w:qFormat/>
    <w:uiPriority w:val="0"/>
    <w:pPr>
      <w:widowControl/>
      <w:pBdr>
        <w:left w:val="single" w:color="auto" w:sz="4" w:space="0"/>
        <w:bottom w:val="single" w:color="auto" w:sz="4" w:space="0"/>
      </w:pBdr>
      <w:spacing w:before="100" w:beforeLines="0" w:beforeAutospacing="1" w:after="100" w:afterLines="0" w:afterAutospacing="1"/>
      <w:jc w:val="center"/>
    </w:pPr>
    <w:rPr>
      <w:rFonts w:ascii="宋体" w:hAnsi="宋体" w:cs="宋体"/>
      <w:kern w:val="0"/>
      <w:sz w:val="24"/>
      <w:szCs w:val="24"/>
    </w:rPr>
  </w:style>
  <w:style w:type="paragraph" w:customStyle="1" w:styleId="516">
    <w:name w:val="小四 段落 宋体 Char Char"/>
    <w:basedOn w:val="1"/>
    <w:qFormat/>
    <w:uiPriority w:val="0"/>
    <w:pPr>
      <w:spacing w:line="360" w:lineRule="auto"/>
      <w:ind w:right="-33" w:firstLine="480" w:firstLineChars="200"/>
      <w:jc w:val="left"/>
    </w:pPr>
    <w:rPr>
      <w:sz w:val="24"/>
    </w:rPr>
  </w:style>
  <w:style w:type="paragraph" w:customStyle="1" w:styleId="517">
    <w:name w:val=" Char Char Char1 Char Char Char Char Char Char Char Char Char Char Char Char Char"/>
    <w:basedOn w:val="25"/>
    <w:qFormat/>
    <w:uiPriority w:val="0"/>
  </w:style>
  <w:style w:type="paragraph" w:customStyle="1" w:styleId="518">
    <w:name w:val="德标正文"/>
    <w:qFormat/>
    <w:uiPriority w:val="0"/>
    <w:pPr>
      <w:autoSpaceDE w:val="0"/>
      <w:autoSpaceDN w:val="0"/>
      <w:adjustRightInd w:val="0"/>
      <w:snapToGrid w:val="0"/>
      <w:spacing w:before="40" w:after="40" w:line="312" w:lineRule="auto"/>
      <w:ind w:left="1134"/>
    </w:pPr>
    <w:rPr>
      <w:rFonts w:ascii="Times New Roman" w:hAnsi="Times New Roman" w:eastAsia="宋体" w:cs="Times New Roman"/>
      <w:snapToGrid w:val="0"/>
      <w:sz w:val="18"/>
      <w:lang w:val="en-US" w:eastAsia="zh-CN" w:bidi="ar-SA"/>
    </w:rPr>
  </w:style>
  <w:style w:type="paragraph" w:customStyle="1" w:styleId="519">
    <w:name w:val="Picture"/>
    <w:basedOn w:val="1"/>
    <w:next w:val="22"/>
    <w:qFormat/>
    <w:uiPriority w:val="0"/>
    <w:pPr>
      <w:keepNext/>
      <w:widowControl/>
      <w:ind w:left="1080"/>
      <w:jc w:val="left"/>
    </w:pPr>
    <w:rPr>
      <w:rFonts w:ascii="Arial" w:hAnsi="Arial" w:eastAsia="仿宋体"/>
      <w:spacing w:val="-5"/>
      <w:kern w:val="0"/>
      <w:sz w:val="28"/>
      <w:lang w:eastAsia="en-US"/>
    </w:rPr>
  </w:style>
  <w:style w:type="paragraph" w:customStyle="1" w:styleId="520">
    <w:name w:val="xl111"/>
    <w:basedOn w:val="1"/>
    <w:qFormat/>
    <w:uiPriority w:val="0"/>
    <w:pPr>
      <w:widowControl/>
      <w:pBdr>
        <w:left w:val="single" w:color="auto" w:sz="4" w:space="0"/>
        <w:bottom w:val="single" w:color="auto" w:sz="4" w:space="0"/>
      </w:pBdr>
      <w:spacing w:before="100" w:beforeLines="0" w:beforeAutospacing="1" w:after="100" w:afterLines="0" w:afterAutospacing="1"/>
      <w:jc w:val="left"/>
    </w:pPr>
    <w:rPr>
      <w:rFonts w:ascii="宋体" w:hAnsi="宋体" w:cs="宋体"/>
      <w:kern w:val="0"/>
      <w:sz w:val="24"/>
      <w:szCs w:val="24"/>
    </w:rPr>
  </w:style>
  <w:style w:type="paragraph" w:customStyle="1" w:styleId="521">
    <w:name w:val="Item List in Table"/>
    <w:basedOn w:val="1"/>
    <w:qFormat/>
    <w:uiPriority w:val="0"/>
    <w:pPr>
      <w:numPr>
        <w:ilvl w:val="0"/>
        <w:numId w:val="11"/>
      </w:numPr>
      <w:jc w:val="left"/>
    </w:pPr>
    <w:rPr>
      <w:szCs w:val="24"/>
    </w:rPr>
  </w:style>
  <w:style w:type="paragraph" w:customStyle="1" w:styleId="522">
    <w:name w:val="样式 标题 4b4bulletblbbPIM 4H4h4sect 1.2.3.4Ref Heading 1r..."/>
    <w:basedOn w:val="8"/>
    <w:qFormat/>
    <w:uiPriority w:val="0"/>
    <w:pPr>
      <w:snapToGrid/>
      <w:spacing w:before="0" w:beforeLines="0" w:after="100" w:afterLines="0"/>
      <w:ind w:left="0"/>
      <w:jc w:val="both"/>
    </w:pPr>
    <w:rPr>
      <w:rFonts w:ascii="宋体" w:hAnsi="宋体"/>
      <w:b w:val="0"/>
      <w:color w:val="auto"/>
      <w:kern w:val="2"/>
      <w:szCs w:val="20"/>
    </w:rPr>
  </w:style>
  <w:style w:type="paragraph" w:customStyle="1" w:styleId="523">
    <w:name w:val="样式20"/>
    <w:basedOn w:val="54"/>
    <w:next w:val="54"/>
    <w:qFormat/>
    <w:uiPriority w:val="0"/>
    <w:pPr>
      <w:numPr>
        <w:ilvl w:val="1"/>
        <w:numId w:val="3"/>
      </w:numPr>
      <w:adjustRightInd w:val="0"/>
      <w:spacing w:line="360" w:lineRule="auto"/>
      <w:ind w:left="0" w:firstLine="0"/>
      <w:textAlignment w:val="baseline"/>
    </w:pPr>
    <w:rPr>
      <w:kern w:val="0"/>
      <w:sz w:val="24"/>
    </w:rPr>
  </w:style>
  <w:style w:type="paragraph" w:customStyle="1" w:styleId="524">
    <w:name w:val="正文首行缩进:  2 字符"/>
    <w:basedOn w:val="32"/>
    <w:qFormat/>
    <w:uiPriority w:val="0"/>
    <w:pPr>
      <w:spacing w:after="0" w:afterLines="0" w:line="360" w:lineRule="auto"/>
      <w:ind w:firstLine="480" w:firstLineChars="200"/>
      <w:jc w:val="left"/>
    </w:pPr>
    <w:rPr>
      <w:rFonts w:ascii="Arial" w:hAnsi="Arial"/>
      <w:sz w:val="24"/>
    </w:rPr>
  </w:style>
  <w:style w:type="paragraph" w:customStyle="1" w:styleId="525">
    <w:name w:val="表格1"/>
    <w:basedOn w:val="1"/>
    <w:qFormat/>
    <w:uiPriority w:val="0"/>
    <w:pPr>
      <w:spacing w:line="360" w:lineRule="auto"/>
      <w:ind w:firstLine="480" w:firstLineChars="200"/>
    </w:pPr>
    <w:rPr>
      <w:rFonts w:ascii="宋体" w:hAnsi="宋体"/>
      <w:sz w:val="24"/>
      <w:szCs w:val="24"/>
    </w:rPr>
  </w:style>
  <w:style w:type="paragraph" w:customStyle="1" w:styleId="526">
    <w:name w:val="正文 A"/>
    <w:qFormat/>
    <w:uiPriority w:val="0"/>
    <w:pPr>
      <w:widowControl w:val="0"/>
      <w:jc w:val="both"/>
    </w:pPr>
    <w:rPr>
      <w:rFonts w:ascii="Calibri" w:hAnsi="Arial Unicode MS" w:eastAsia="Arial Unicode MS" w:cs="黑体"/>
      <w:color w:val="000000"/>
      <w:kern w:val="2"/>
      <w:sz w:val="21"/>
      <w:szCs w:val="21"/>
      <w:u w:val="none" w:color="000000"/>
      <w:lang w:val="en-US" w:eastAsia="zh-CN" w:bidi="ar-SA"/>
    </w:rPr>
  </w:style>
  <w:style w:type="paragraph" w:customStyle="1" w:styleId="527">
    <w:name w:val="Char Char Char Char Char Char1 Char"/>
    <w:basedOn w:val="1"/>
    <w:qFormat/>
    <w:uiPriority w:val="0"/>
    <w:pPr>
      <w:widowControl/>
      <w:spacing w:after="160" w:afterLines="0" w:line="240" w:lineRule="exact"/>
      <w:jc w:val="left"/>
    </w:pPr>
    <w:rPr>
      <w:rFonts w:ascii="Verdana" w:hAnsi="Verdana"/>
      <w:kern w:val="0"/>
      <w:lang w:eastAsia="en-US"/>
    </w:rPr>
  </w:style>
  <w:style w:type="paragraph" w:customStyle="1" w:styleId="528">
    <w:name w:val="李3"/>
    <w:basedOn w:val="352"/>
    <w:qFormat/>
    <w:uiPriority w:val="0"/>
    <w:pPr>
      <w:spacing w:line="360" w:lineRule="auto"/>
      <w:outlineLvl w:val="2"/>
    </w:pPr>
    <w:rPr>
      <w:rFonts w:ascii="楷体_GB2312" w:eastAsia="楷体_GB2312"/>
      <w:b w:val="0"/>
      <w:sz w:val="24"/>
    </w:rPr>
  </w:style>
  <w:style w:type="paragraph" w:customStyle="1" w:styleId="529">
    <w:name w:val=" Char Char Char Char Char Char Char Char Char1 Char Char Char Char Char Char1 Char Char Char Char Char Char Char Char Char Char Char Char Char Char Char Char Char Char Char Char Char Char Char Char Char Char Char Char Char Char Char"/>
    <w:basedOn w:val="1"/>
    <w:qFormat/>
    <w:uiPriority w:val="0"/>
    <w:pPr>
      <w:keepNext/>
      <w:keepLines/>
      <w:adjustRightInd w:val="0"/>
      <w:spacing w:before="312" w:beforeLines="100" w:after="312" w:afterLines="100" w:line="300" w:lineRule="auto"/>
      <w:ind w:firstLine="200" w:firstLineChars="200"/>
      <w:textAlignment w:val="center"/>
    </w:pPr>
    <w:rPr>
      <w:rFonts w:ascii="仿宋_GB2312" w:hAnsi="宋体" w:eastAsia="仿宋_GB2312"/>
      <w:kern w:val="0"/>
      <w:sz w:val="24"/>
    </w:rPr>
  </w:style>
  <w:style w:type="paragraph" w:customStyle="1" w:styleId="530">
    <w:name w:val="特别说明"/>
    <w:basedOn w:val="1"/>
    <w:qFormat/>
    <w:uiPriority w:val="0"/>
    <w:pPr>
      <w:widowControl/>
      <w:numPr>
        <w:ilvl w:val="0"/>
        <w:numId w:val="20"/>
      </w:numPr>
      <w:spacing w:before="120" w:after="120" w:line="360" w:lineRule="auto"/>
      <w:jc w:val="left"/>
    </w:pPr>
    <w:rPr>
      <w:rFonts w:ascii="仿宋体" w:eastAsia="仿宋体"/>
      <w:b/>
      <w:i/>
      <w:kern w:val="0"/>
      <w:sz w:val="24"/>
    </w:rPr>
  </w:style>
  <w:style w:type="paragraph" w:customStyle="1" w:styleId="531">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Lines="0" w:beforeAutospacing="1" w:after="100" w:afterLines="0" w:afterAutospacing="1"/>
      <w:jc w:val="center"/>
      <w:textAlignment w:val="center"/>
    </w:pPr>
    <w:rPr>
      <w:rFonts w:ascii="宋体" w:hAnsi="宋体" w:cs="宋体"/>
      <w:kern w:val="0"/>
      <w:sz w:val="20"/>
    </w:rPr>
  </w:style>
  <w:style w:type="paragraph" w:customStyle="1" w:styleId="532">
    <w:name w:val="xl62"/>
    <w:basedOn w:val="1"/>
    <w:qFormat/>
    <w:uiPriority w:val="0"/>
    <w:pPr>
      <w:widowControl/>
      <w:shd w:val="clear" w:color="auto" w:fill="FFFF00"/>
      <w:spacing w:before="100" w:beforeLines="0" w:beforeAutospacing="1" w:after="100" w:afterLines="0" w:afterAutospacing="1"/>
      <w:jc w:val="center"/>
    </w:pPr>
    <w:rPr>
      <w:rFonts w:ascii="宋体" w:hAnsi="宋体"/>
      <w:kern w:val="0"/>
      <w:sz w:val="20"/>
    </w:rPr>
  </w:style>
  <w:style w:type="paragraph" w:customStyle="1" w:styleId="533">
    <w:name w:val="Char Char2"/>
    <w:basedOn w:val="1"/>
    <w:qFormat/>
    <w:uiPriority w:val="0"/>
    <w:pPr>
      <w:adjustRightInd w:val="0"/>
      <w:spacing w:line="360" w:lineRule="auto"/>
    </w:pPr>
    <w:rPr>
      <w:rFonts w:ascii="宋体" w:hAnsi="宋体"/>
      <w:b/>
      <w:sz w:val="24"/>
    </w:rPr>
  </w:style>
  <w:style w:type="paragraph" w:customStyle="1" w:styleId="534">
    <w:name w:val="B标题3"/>
    <w:basedOn w:val="1"/>
    <w:qFormat/>
    <w:uiPriority w:val="0"/>
    <w:pPr>
      <w:spacing w:before="120" w:beforeLines="0" w:after="240" w:afterLines="0" w:line="400" w:lineRule="exact"/>
      <w:ind w:firstLine="200" w:firstLineChars="200"/>
      <w:outlineLvl w:val="2"/>
    </w:pPr>
    <w:rPr>
      <w:rFonts w:ascii="楷体_GB2312" w:hAnsi="宋体" w:eastAsia="黑体"/>
      <w:b/>
      <w:sz w:val="24"/>
    </w:rPr>
  </w:style>
  <w:style w:type="paragraph" w:customStyle="1" w:styleId="535">
    <w:name w:val="xl57"/>
    <w:basedOn w:val="1"/>
    <w:qFormat/>
    <w:uiPriority w:val="0"/>
    <w:pPr>
      <w:widowControl/>
      <w:shd w:val="clear" w:color="auto" w:fill="FFFF00"/>
      <w:spacing w:before="100" w:beforeLines="0" w:beforeAutospacing="1" w:after="100" w:afterLines="0" w:afterAutospacing="1"/>
      <w:jc w:val="left"/>
    </w:pPr>
    <w:rPr>
      <w:rFonts w:ascii="宋体" w:hAnsi="宋体"/>
      <w:kern w:val="0"/>
      <w:sz w:val="20"/>
    </w:rPr>
  </w:style>
  <w:style w:type="paragraph" w:customStyle="1" w:styleId="536">
    <w:name w:val="xl25"/>
    <w:basedOn w:val="1"/>
    <w:qFormat/>
    <w:uiPriority w:val="0"/>
    <w:pPr>
      <w:widowControl/>
      <w:pBdr>
        <w:bottom w:val="single" w:color="auto" w:sz="4" w:space="0"/>
        <w:right w:val="single" w:color="auto" w:sz="4" w:space="0"/>
      </w:pBdr>
      <w:spacing w:before="100" w:beforeLines="0" w:beforeAutospacing="1" w:after="100" w:afterLines="0" w:afterAutospacing="1"/>
      <w:textAlignment w:val="center"/>
    </w:pPr>
    <w:rPr>
      <w:rFonts w:ascii="Arial Unicode MS" w:hAnsi="Arial Unicode MS" w:eastAsia="Arial Unicode MS"/>
      <w:kern w:val="0"/>
      <w:szCs w:val="21"/>
    </w:rPr>
  </w:style>
  <w:style w:type="paragraph" w:customStyle="1" w:styleId="537">
    <w:name w:val="Header Base"/>
    <w:basedOn w:val="1"/>
    <w:qFormat/>
    <w:uiPriority w:val="0"/>
    <w:pPr>
      <w:keepLines/>
      <w:tabs>
        <w:tab w:val="center" w:pos="4320"/>
        <w:tab w:val="right" w:pos="8640"/>
      </w:tabs>
      <w:snapToGrid w:val="0"/>
      <w:spacing w:before="120" w:beforeLines="0" w:after="120" w:afterLines="0" w:line="360" w:lineRule="auto"/>
    </w:pPr>
    <w:rPr>
      <w:rFonts w:ascii="Arial" w:hAnsi="Arial"/>
      <w:spacing w:val="-4"/>
      <w:kern w:val="0"/>
    </w:rPr>
  </w:style>
  <w:style w:type="paragraph" w:customStyle="1" w:styleId="538">
    <w:name w:val=" Char1 Char Char Char"/>
    <w:basedOn w:val="1"/>
    <w:qFormat/>
    <w:uiPriority w:val="0"/>
    <w:rPr>
      <w:rFonts w:ascii="Tahoma" w:hAnsi="Tahoma"/>
      <w:sz w:val="24"/>
    </w:rPr>
  </w:style>
  <w:style w:type="paragraph" w:customStyle="1" w:styleId="539">
    <w:name w:val="样式 Arial 行距: 多倍行距 1.2 字行 首行缩进:  2 字符"/>
    <w:basedOn w:val="1"/>
    <w:qFormat/>
    <w:uiPriority w:val="0"/>
    <w:pPr>
      <w:spacing w:line="288" w:lineRule="auto"/>
      <w:ind w:firstLine="420" w:firstLineChars="200"/>
    </w:pPr>
    <w:rPr>
      <w:rFonts w:ascii="Arial" w:hAnsi="Arial" w:cs="宋体"/>
      <w:sz w:val="20"/>
    </w:rPr>
  </w:style>
  <w:style w:type="paragraph" w:customStyle="1" w:styleId="540">
    <w:name w:val=" 字元 字元"/>
    <w:basedOn w:val="1"/>
    <w:qFormat/>
    <w:uiPriority w:val="0"/>
  </w:style>
  <w:style w:type="paragraph" w:customStyle="1" w:styleId="541">
    <w:name w:val="表格数据"/>
    <w:basedOn w:val="1"/>
    <w:qFormat/>
    <w:uiPriority w:val="0"/>
    <w:pPr>
      <w:jc w:val="right"/>
    </w:pPr>
    <w:rPr>
      <w:color w:val="000000"/>
      <w:kern w:val="0"/>
      <w:sz w:val="18"/>
      <w:szCs w:val="21"/>
    </w:rPr>
  </w:style>
  <w:style w:type="paragraph" w:customStyle="1" w:styleId="542">
    <w:name w:val=" Char2"/>
    <w:basedOn w:val="1"/>
    <w:qFormat/>
    <w:uiPriority w:val="0"/>
    <w:pPr>
      <w:numPr>
        <w:ilvl w:val="1"/>
        <w:numId w:val="21"/>
      </w:numPr>
      <w:tabs>
        <w:tab w:val="clear" w:pos="272"/>
      </w:tabs>
      <w:ind w:left="0" w:firstLine="0"/>
    </w:pPr>
    <w:rPr>
      <w:rFonts w:ascii="Tahoma" w:hAnsi="Tahoma"/>
      <w:sz w:val="24"/>
    </w:rPr>
  </w:style>
  <w:style w:type="paragraph" w:customStyle="1" w:styleId="543">
    <w:name w:val="font0"/>
    <w:basedOn w:val="1"/>
    <w:qFormat/>
    <w:uiPriority w:val="0"/>
    <w:pPr>
      <w:widowControl/>
      <w:spacing w:before="100" w:beforeLines="0" w:beforeAutospacing="1" w:after="100" w:afterLines="0" w:afterAutospacing="1"/>
      <w:jc w:val="left"/>
    </w:pPr>
    <w:rPr>
      <w:rFonts w:hint="eastAsia" w:ascii="宋体"/>
      <w:kern w:val="0"/>
      <w:sz w:val="24"/>
      <w:szCs w:val="24"/>
    </w:rPr>
  </w:style>
  <w:style w:type="paragraph" w:customStyle="1" w:styleId="544">
    <w:name w:val="xl29"/>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cs="宋体"/>
      <w:kern w:val="0"/>
      <w:sz w:val="24"/>
      <w:szCs w:val="24"/>
    </w:rPr>
  </w:style>
  <w:style w:type="paragraph" w:customStyle="1" w:styleId="545">
    <w:name w:val="xl42"/>
    <w:basedOn w:val="1"/>
    <w:qFormat/>
    <w:uiPriority w:val="0"/>
    <w:pPr>
      <w:widowControl/>
      <w:adjustRightInd w:val="0"/>
      <w:snapToGrid w:val="0"/>
      <w:spacing w:before="100" w:beforeLines="0" w:beforeAutospacing="1" w:after="100" w:afterLines="0" w:afterAutospacing="1"/>
      <w:jc w:val="center"/>
    </w:pPr>
    <w:rPr>
      <w:rFonts w:ascii="宋体" w:hAnsi="宋体"/>
      <w:kern w:val="0"/>
      <w:sz w:val="24"/>
      <w:szCs w:val="24"/>
    </w:rPr>
  </w:style>
  <w:style w:type="paragraph" w:customStyle="1" w:styleId="546">
    <w:name w:val="部分"/>
    <w:basedOn w:val="5"/>
    <w:next w:val="5"/>
    <w:qFormat/>
    <w:uiPriority w:val="0"/>
    <w:pPr>
      <w:spacing w:before="300" w:beforeLines="0" w:after="100" w:afterLines="0" w:afterAutospacing="1" w:line="400" w:lineRule="exact"/>
      <w:jc w:val="center"/>
      <w:textAlignment w:val="center"/>
    </w:pPr>
    <w:rPr>
      <w:rFonts w:eastAsia="黑体"/>
      <w:bCs w:val="0"/>
      <w:color w:val="008000"/>
      <w:spacing w:val="10"/>
      <w:sz w:val="36"/>
      <w:szCs w:val="20"/>
    </w:rPr>
  </w:style>
  <w:style w:type="paragraph" w:customStyle="1" w:styleId="547">
    <w:name w:val="列表项"/>
    <w:basedOn w:val="1"/>
    <w:qFormat/>
    <w:uiPriority w:val="0"/>
    <w:pPr>
      <w:tabs>
        <w:tab w:val="left" w:pos="1020"/>
      </w:tabs>
      <w:spacing w:line="400" w:lineRule="exact"/>
    </w:pPr>
    <w:rPr>
      <w:rFonts w:eastAsia="楷体_GB2312"/>
      <w:sz w:val="24"/>
      <w:szCs w:val="24"/>
    </w:rPr>
  </w:style>
  <w:style w:type="paragraph" w:customStyle="1" w:styleId="548">
    <w:name w:val="23"/>
    <w:basedOn w:val="7"/>
    <w:qFormat/>
    <w:uiPriority w:val="0"/>
    <w:pPr>
      <w:keepNext w:val="0"/>
      <w:keepLines w:val="0"/>
      <w:adjustRightInd w:val="0"/>
      <w:spacing w:before="0" w:beforeLines="0" w:after="0" w:afterLines="0" w:line="312" w:lineRule="atLeast"/>
      <w:textAlignment w:val="baseline"/>
      <w:outlineLvl w:val="9"/>
    </w:pPr>
    <w:rPr>
      <w:rFonts w:ascii="宋体" w:hAnsi="宋体"/>
      <w:b w:val="0"/>
      <w:bCs w:val="0"/>
      <w:kern w:val="0"/>
      <w:sz w:val="28"/>
      <w:szCs w:val="20"/>
    </w:rPr>
  </w:style>
  <w:style w:type="paragraph" w:customStyle="1" w:styleId="549">
    <w:name w:val="Figure"/>
    <w:basedOn w:val="1"/>
    <w:next w:val="550"/>
    <w:qFormat/>
    <w:uiPriority w:val="0"/>
    <w:pPr>
      <w:keepNext/>
      <w:keepLines/>
      <w:jc w:val="center"/>
    </w:pPr>
    <w:rPr>
      <w:szCs w:val="24"/>
    </w:rPr>
  </w:style>
  <w:style w:type="paragraph" w:customStyle="1" w:styleId="550">
    <w:name w:val="Figure Description"/>
    <w:basedOn w:val="549"/>
    <w:next w:val="136"/>
    <w:qFormat/>
    <w:uiPriority w:val="0"/>
    <w:pPr>
      <w:tabs>
        <w:tab w:val="left" w:pos="680"/>
      </w:tabs>
      <w:ind w:left="680" w:hanging="680"/>
    </w:pPr>
    <w:rPr>
      <w:sz w:val="18"/>
    </w:rPr>
  </w:style>
  <w:style w:type="paragraph" w:customStyle="1" w:styleId="551">
    <w:name w:val="章"/>
    <w:basedOn w:val="546"/>
    <w:next w:val="1"/>
    <w:qFormat/>
    <w:uiPriority w:val="0"/>
    <w:pPr>
      <w:tabs>
        <w:tab w:val="left" w:pos="360"/>
      </w:tabs>
    </w:pPr>
  </w:style>
  <w:style w:type="paragraph" w:customStyle="1" w:styleId="552">
    <w:name w:val="xl108"/>
    <w:basedOn w:val="1"/>
    <w:qFormat/>
    <w:uiPriority w:val="0"/>
    <w:pPr>
      <w:widowControl/>
      <w:pBdr>
        <w:top w:val="single" w:color="auto" w:sz="4" w:space="0"/>
        <w:left w:val="single" w:color="auto" w:sz="4" w:space="0"/>
      </w:pBdr>
      <w:spacing w:before="100" w:beforeLines="0" w:beforeAutospacing="1" w:after="100" w:afterLines="0" w:afterAutospacing="1"/>
      <w:jc w:val="left"/>
    </w:pPr>
    <w:rPr>
      <w:rFonts w:ascii="宋体" w:hAnsi="宋体" w:cs="宋体"/>
      <w:kern w:val="0"/>
      <w:sz w:val="24"/>
      <w:szCs w:val="24"/>
    </w:rPr>
  </w:style>
  <w:style w:type="paragraph" w:customStyle="1" w:styleId="553">
    <w:name w:val="xl44"/>
    <w:basedOn w:val="1"/>
    <w:qFormat/>
    <w:uiPriority w:val="0"/>
    <w:pPr>
      <w:widowControl/>
      <w:spacing w:before="100" w:beforeLines="0" w:beforeAutospacing="1" w:after="100" w:afterLines="0" w:afterAutospacing="1"/>
      <w:jc w:val="right"/>
    </w:pPr>
    <w:rPr>
      <w:rFonts w:ascii="宋体" w:hAnsi="宋体"/>
      <w:kern w:val="0"/>
      <w:sz w:val="20"/>
    </w:rPr>
  </w:style>
  <w:style w:type="paragraph" w:customStyle="1" w:styleId="554">
    <w:name w:val="xl31"/>
    <w:basedOn w:val="1"/>
    <w:qFormat/>
    <w:uiPriority w:val="0"/>
    <w:pPr>
      <w:widowControl/>
      <w:pBdr>
        <w:top w:val="single" w:color="auto" w:sz="4" w:space="0"/>
        <w:left w:val="single" w:color="auto" w:sz="4" w:space="0"/>
      </w:pBdr>
      <w:spacing w:before="100" w:beforeLines="0" w:beforeAutospacing="1" w:after="100" w:afterLines="0" w:afterAutospacing="1"/>
      <w:jc w:val="center"/>
    </w:pPr>
    <w:rPr>
      <w:rFonts w:ascii="宋体" w:hAnsi="宋体" w:cs="宋体"/>
      <w:kern w:val="0"/>
      <w:sz w:val="24"/>
      <w:szCs w:val="24"/>
    </w:rPr>
  </w:style>
  <w:style w:type="paragraph" w:customStyle="1" w:styleId="555">
    <w:name w:val="xl65"/>
    <w:basedOn w:val="1"/>
    <w:qFormat/>
    <w:uiPriority w:val="0"/>
    <w:pPr>
      <w:widowControl/>
      <w:shd w:val="clear" w:color="auto" w:fill="FFFF00"/>
      <w:spacing w:before="100" w:beforeLines="0" w:beforeAutospacing="1" w:after="100" w:afterLines="0" w:afterAutospacing="1"/>
      <w:jc w:val="left"/>
    </w:pPr>
    <w:rPr>
      <w:rFonts w:ascii="宋体" w:hAnsi="宋体"/>
      <w:kern w:val="0"/>
      <w:sz w:val="20"/>
    </w:rPr>
  </w:style>
  <w:style w:type="paragraph" w:customStyle="1" w:styleId="55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557">
    <w:name w:val="样式 标题 2H2部分标题Heading 2 HiddenHeading 2 CCBSheading 2Titre3...1"/>
    <w:basedOn w:val="6"/>
    <w:qFormat/>
    <w:uiPriority w:val="0"/>
    <w:pPr>
      <w:numPr>
        <w:ilvl w:val="3"/>
        <w:numId w:val="2"/>
      </w:numPr>
      <w:tabs>
        <w:tab w:val="left" w:pos="1680"/>
        <w:tab w:val="clear" w:pos="2010"/>
      </w:tabs>
      <w:spacing w:before="0" w:after="0" w:line="360" w:lineRule="auto"/>
      <w:outlineLvl w:val="2"/>
    </w:pPr>
    <w:rPr>
      <w:rFonts w:ascii="宋体" w:hAnsi="宋体" w:eastAsia="宋体"/>
      <w:bCs w:val="0"/>
      <w:color w:val="FF0000"/>
      <w:sz w:val="24"/>
      <w:szCs w:val="20"/>
    </w:rPr>
  </w:style>
  <w:style w:type="paragraph" w:customStyle="1" w:styleId="558">
    <w:name w:val="xl63"/>
    <w:basedOn w:val="1"/>
    <w:qFormat/>
    <w:uiPriority w:val="0"/>
    <w:pPr>
      <w:widowControl/>
      <w:pBdr>
        <w:top w:val="single" w:color="auto" w:sz="4" w:space="0"/>
        <w:left w:val="single" w:color="auto" w:sz="4" w:space="0"/>
        <w:bottom w:val="single" w:color="auto" w:sz="4" w:space="0"/>
      </w:pBdr>
      <w:shd w:val="clear" w:color="auto" w:fill="FFFF00"/>
      <w:spacing w:before="100" w:beforeLines="0" w:beforeAutospacing="1" w:after="100" w:afterLines="0" w:afterAutospacing="1"/>
      <w:jc w:val="right"/>
    </w:pPr>
    <w:rPr>
      <w:kern w:val="0"/>
      <w:sz w:val="20"/>
    </w:rPr>
  </w:style>
  <w:style w:type="paragraph" w:customStyle="1" w:styleId="559">
    <w:name w:val="Item Step"/>
    <w:basedOn w:val="1"/>
    <w:qFormat/>
    <w:uiPriority w:val="0"/>
    <w:pPr>
      <w:widowControl/>
      <w:numPr>
        <w:ilvl w:val="0"/>
        <w:numId w:val="22"/>
      </w:numPr>
      <w:tabs>
        <w:tab w:val="left" w:pos="1134"/>
        <w:tab w:val="clear" w:pos="425"/>
      </w:tabs>
      <w:spacing w:after="156" w:afterLines="50"/>
      <w:ind w:left="1554" w:hanging="420"/>
      <w:jc w:val="left"/>
    </w:pPr>
    <w:rPr>
      <w:szCs w:val="24"/>
    </w:rPr>
  </w:style>
  <w:style w:type="paragraph" w:customStyle="1" w:styleId="560">
    <w:name w:val="xl99"/>
    <w:basedOn w:val="1"/>
    <w:qFormat/>
    <w:uiPriority w:val="0"/>
    <w:pPr>
      <w:widowControl/>
      <w:pBdr>
        <w:top w:val="single" w:color="auto" w:sz="4" w:space="0"/>
        <w:bottom w:val="single" w:color="auto" w:sz="4" w:space="0"/>
      </w:pBdr>
      <w:shd w:val="clear" w:color="000000" w:fill="CCFFFF"/>
      <w:spacing w:before="100" w:beforeLines="0" w:beforeAutospacing="1" w:after="100" w:afterLines="0" w:afterAutospacing="1"/>
      <w:jc w:val="center"/>
      <w:textAlignment w:val="center"/>
    </w:pPr>
    <w:rPr>
      <w:b/>
      <w:bCs/>
      <w:color w:val="000000"/>
      <w:kern w:val="0"/>
      <w:sz w:val="20"/>
    </w:rPr>
  </w:style>
  <w:style w:type="paragraph" w:customStyle="1" w:styleId="561">
    <w:name w:val="矩形"/>
    <w:basedOn w:val="1"/>
    <w:qFormat/>
    <w:uiPriority w:val="0"/>
    <w:pPr>
      <w:tabs>
        <w:tab w:val="left" w:pos="980"/>
      </w:tabs>
      <w:spacing w:line="312" w:lineRule="auto"/>
      <w:ind w:left="980" w:hanging="420"/>
    </w:pPr>
    <w:rPr>
      <w:rFonts w:ascii="宋体"/>
    </w:rPr>
  </w:style>
  <w:style w:type="paragraph" w:customStyle="1" w:styleId="562">
    <w:name w:val="xl92"/>
    <w:basedOn w:val="1"/>
    <w:qFormat/>
    <w:uiPriority w:val="0"/>
    <w:pPr>
      <w:widowControl/>
      <w:pBdr>
        <w:left w:val="single" w:color="auto" w:sz="4" w:space="0"/>
        <w:bottom w:val="single" w:color="auto" w:sz="4" w:space="0"/>
      </w:pBdr>
      <w:shd w:val="clear" w:color="000000" w:fill="FFFF00"/>
      <w:spacing w:before="100" w:beforeLines="0" w:beforeAutospacing="1" w:after="100" w:afterLines="0" w:afterAutospacing="1"/>
      <w:jc w:val="center"/>
      <w:textAlignment w:val="center"/>
    </w:pPr>
    <w:rPr>
      <w:rFonts w:ascii="宋体" w:hAnsi="宋体" w:cs="宋体"/>
      <w:color w:val="000000"/>
      <w:kern w:val="0"/>
      <w:sz w:val="20"/>
    </w:rPr>
  </w:style>
  <w:style w:type="paragraph" w:customStyle="1" w:styleId="563">
    <w:name w:val="样式5"/>
    <w:qFormat/>
    <w:uiPriority w:val="0"/>
    <w:pPr>
      <w:spacing w:line="500" w:lineRule="exact"/>
      <w:jc w:val="center"/>
      <w:textAlignment w:val="center"/>
    </w:pPr>
    <w:rPr>
      <w:rFonts w:ascii="Times New Roman" w:hAnsi="Times New Roman" w:eastAsia="宋体" w:cs="Times New Roman"/>
      <w:b/>
      <w:bCs/>
      <w:kern w:val="44"/>
      <w:sz w:val="30"/>
      <w:szCs w:val="44"/>
      <w:lang w:val="en-US" w:eastAsia="zh-CN" w:bidi="ar-SA"/>
    </w:rPr>
  </w:style>
  <w:style w:type="paragraph" w:customStyle="1" w:styleId="564">
    <w:name w:val="xl75"/>
    <w:basedOn w:val="1"/>
    <w:qFormat/>
    <w:uiPriority w:val="0"/>
    <w:pPr>
      <w:widowControl/>
      <w:pBdr>
        <w:top w:val="single" w:color="auto" w:sz="4" w:space="0"/>
        <w:left w:val="single" w:color="auto" w:sz="4" w:space="0"/>
        <w:bottom w:val="single" w:color="auto" w:sz="8" w:space="0"/>
        <w:right w:val="single" w:color="auto" w:sz="8" w:space="0"/>
      </w:pBdr>
      <w:shd w:val="clear" w:color="auto" w:fill="FFFF00"/>
      <w:spacing w:before="100" w:beforeLines="0" w:beforeAutospacing="1" w:after="100" w:afterLines="0" w:afterAutospacing="1"/>
      <w:jc w:val="right"/>
    </w:pPr>
    <w:rPr>
      <w:rFonts w:ascii="宋体" w:hAnsi="宋体"/>
      <w:kern w:val="0"/>
      <w:sz w:val="20"/>
    </w:rPr>
  </w:style>
  <w:style w:type="paragraph" w:customStyle="1" w:styleId="565">
    <w:name w:val="0"/>
    <w:basedOn w:val="1"/>
    <w:qFormat/>
    <w:uiPriority w:val="0"/>
    <w:pPr>
      <w:widowControl/>
    </w:pPr>
    <w:rPr>
      <w:kern w:val="0"/>
    </w:rPr>
  </w:style>
  <w:style w:type="paragraph" w:customStyle="1" w:styleId="566">
    <w:name w:val="xl8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left"/>
    </w:pPr>
    <w:rPr>
      <w:rFonts w:ascii="宋体" w:hAnsi="宋体" w:cs="宋体"/>
      <w:b/>
      <w:bCs/>
      <w:i/>
      <w:iCs/>
      <w:kern w:val="0"/>
      <w:sz w:val="24"/>
      <w:szCs w:val="24"/>
    </w:rPr>
  </w:style>
  <w:style w:type="paragraph" w:customStyle="1" w:styleId="567">
    <w:name w:val="ListText"/>
    <w:basedOn w:val="32"/>
    <w:qFormat/>
    <w:uiPriority w:val="0"/>
    <w:pPr>
      <w:autoSpaceDE w:val="0"/>
      <w:autoSpaceDN w:val="0"/>
      <w:adjustRightInd w:val="0"/>
      <w:spacing w:before="60" w:beforeLines="0" w:after="60" w:afterLines="0" w:line="360" w:lineRule="auto"/>
      <w:ind w:left="900" w:right="74" w:firstLine="284"/>
      <w:textAlignment w:val="baseline"/>
    </w:pPr>
    <w:rPr>
      <w:rFonts w:ascii="宋体" w:hAnsi="Tms Rmn"/>
      <w:kern w:val="0"/>
      <w:sz w:val="24"/>
    </w:rPr>
  </w:style>
  <w:style w:type="paragraph" w:customStyle="1" w:styleId="568">
    <w:name w:val=" Char Char2"/>
    <w:basedOn w:val="1"/>
    <w:qFormat/>
    <w:uiPriority w:val="0"/>
    <w:rPr>
      <w:rFonts w:ascii="仿宋_GB2312" w:eastAsia="仿宋_GB2312"/>
      <w:b/>
      <w:sz w:val="32"/>
      <w:szCs w:val="32"/>
    </w:rPr>
  </w:style>
  <w:style w:type="paragraph" w:customStyle="1" w:styleId="569">
    <w:name w:val="Normal"/>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570">
    <w:name w:val="默认段落字体 Para Char"/>
    <w:basedOn w:val="1"/>
    <w:qFormat/>
    <w:uiPriority w:val="0"/>
    <w:pPr>
      <w:tabs>
        <w:tab w:val="left" w:pos="360"/>
      </w:tabs>
      <w:ind w:left="420" w:hanging="420"/>
    </w:pPr>
    <w:rPr>
      <w:sz w:val="24"/>
      <w:szCs w:val="24"/>
    </w:rPr>
  </w:style>
  <w:style w:type="paragraph" w:customStyle="1" w:styleId="571">
    <w:name w:val="CM34"/>
    <w:basedOn w:val="290"/>
    <w:next w:val="290"/>
    <w:qFormat/>
    <w:uiPriority w:val="0"/>
    <w:pPr>
      <w:autoSpaceDE w:val="0"/>
      <w:autoSpaceDN w:val="0"/>
      <w:adjustRightInd w:val="0"/>
      <w:spacing w:after="1048" w:afterLines="0"/>
    </w:pPr>
    <w:rPr>
      <w:rFonts w:ascii="HYDaHeiJ" w:eastAsia="HYDaHeiJ"/>
      <w:color w:val="auto"/>
      <w:lang w:eastAsia="zh-CN"/>
    </w:rPr>
  </w:style>
  <w:style w:type="paragraph" w:customStyle="1" w:styleId="572">
    <w:name w:val="正文（首行缩进2字符）"/>
    <w:basedOn w:val="1"/>
    <w:qFormat/>
    <w:uiPriority w:val="0"/>
    <w:pPr>
      <w:spacing w:line="360" w:lineRule="auto"/>
      <w:ind w:firstLine="480" w:firstLineChars="200"/>
    </w:pPr>
    <w:rPr>
      <w:sz w:val="24"/>
    </w:rPr>
  </w:style>
  <w:style w:type="paragraph" w:customStyle="1" w:styleId="573">
    <w:name w:val="xl114"/>
    <w:basedOn w:val="1"/>
    <w:qFormat/>
    <w:uiPriority w:val="0"/>
    <w:pPr>
      <w:widowControl/>
      <w:pBdr>
        <w:top w:val="single" w:color="auto" w:sz="4" w:space="0"/>
        <w:left w:val="single" w:color="auto" w:sz="4" w:space="0"/>
        <w:right w:val="single" w:color="auto" w:sz="4" w:space="0"/>
      </w:pBdr>
      <w:shd w:val="pct10" w:color="000000" w:fill="33CCCC"/>
      <w:spacing w:before="100" w:beforeLines="0" w:beforeAutospacing="1" w:after="100" w:afterLines="0" w:afterAutospacing="1"/>
      <w:jc w:val="left"/>
      <w:textAlignment w:val="center"/>
    </w:pPr>
    <w:rPr>
      <w:rFonts w:ascii="黑体" w:hAnsi="宋体" w:eastAsia="黑体" w:cs="宋体"/>
      <w:kern w:val="0"/>
      <w:sz w:val="24"/>
      <w:szCs w:val="24"/>
    </w:rPr>
  </w:style>
  <w:style w:type="paragraph" w:customStyle="1" w:styleId="574">
    <w:name w:val="样式 项 + 小五 居中 左侧:  1.5 厘米 悬挂缩进: 4.2 字符"/>
    <w:basedOn w:val="1"/>
    <w:qFormat/>
    <w:uiPriority w:val="0"/>
    <w:pPr>
      <w:numPr>
        <w:ilvl w:val="0"/>
        <w:numId w:val="2"/>
      </w:numPr>
      <w:jc w:val="center"/>
    </w:pPr>
    <w:rPr>
      <w:rFonts w:ascii="Arial" w:hAnsi="Arial" w:cs="宋体"/>
      <w:sz w:val="18"/>
    </w:rPr>
  </w:style>
  <w:style w:type="paragraph" w:customStyle="1" w:styleId="575">
    <w:name w:val="unnamed1"/>
    <w:basedOn w:val="1"/>
    <w:qFormat/>
    <w:uiPriority w:val="0"/>
    <w:pPr>
      <w:widowControl/>
      <w:spacing w:before="100" w:beforeLines="0" w:beforeAutospacing="1" w:after="100" w:afterLines="0" w:afterAutospacing="1" w:line="340" w:lineRule="atLeast"/>
      <w:ind w:firstLine="510"/>
      <w:jc w:val="left"/>
    </w:pPr>
    <w:rPr>
      <w:rFonts w:ascii="宋体" w:hAnsi="宋体"/>
      <w:kern w:val="0"/>
      <w:sz w:val="22"/>
    </w:rPr>
  </w:style>
  <w:style w:type="paragraph" w:customStyle="1" w:styleId="576">
    <w:name w:val="表格正文"/>
    <w:basedOn w:val="1"/>
    <w:qFormat/>
    <w:uiPriority w:val="0"/>
    <w:rPr>
      <w:rFonts w:ascii="Arial" w:hAnsi="Arial"/>
      <w:sz w:val="18"/>
      <w:szCs w:val="24"/>
    </w:rPr>
  </w:style>
  <w:style w:type="paragraph" w:customStyle="1" w:styleId="577">
    <w:name w:val="样式 正文首行缩进 2 + 首行缩进:  2 字符 行距: 1.5 倍行距 左  0 字符"/>
    <w:basedOn w:val="2"/>
    <w:qFormat/>
    <w:uiPriority w:val="0"/>
    <w:pPr>
      <w:spacing w:line="360" w:lineRule="auto"/>
      <w:ind w:left="0" w:leftChars="0" w:firstLine="480"/>
    </w:pPr>
    <w:rPr>
      <w:rFonts w:ascii="宋体" w:hAnsi="宋体" w:cs="宋体"/>
      <w:sz w:val="24"/>
    </w:rPr>
  </w:style>
  <w:style w:type="paragraph" w:customStyle="1" w:styleId="578">
    <w:name w:val="CM10"/>
    <w:basedOn w:val="290"/>
    <w:next w:val="290"/>
    <w:qFormat/>
    <w:uiPriority w:val="0"/>
    <w:pPr>
      <w:autoSpaceDE w:val="0"/>
      <w:autoSpaceDN w:val="0"/>
      <w:adjustRightInd w:val="0"/>
      <w:spacing w:line="300" w:lineRule="atLeast"/>
    </w:pPr>
    <w:rPr>
      <w:rFonts w:ascii="Arial Black" w:hAnsi="Arial Black" w:eastAsia="宋体"/>
      <w:color w:val="auto"/>
      <w:sz w:val="20"/>
      <w:lang w:eastAsia="zh-CN"/>
    </w:rPr>
  </w:style>
  <w:style w:type="paragraph" w:customStyle="1" w:styleId="579">
    <w:name w:val="p-title"/>
    <w:basedOn w:val="1"/>
    <w:qFormat/>
    <w:uiPriority w:val="0"/>
    <w:pPr>
      <w:widowControl/>
      <w:spacing w:before="100" w:beforeLines="0" w:beforeAutospacing="1" w:after="100" w:afterLines="0" w:afterAutospacing="1"/>
      <w:jc w:val="left"/>
    </w:pPr>
    <w:rPr>
      <w:rFonts w:ascii="Arial Unicode MS" w:hAnsi="Arial Unicode MS" w:eastAsia="Arial Unicode MS"/>
      <w:color w:val="000000"/>
      <w:kern w:val="0"/>
      <w:sz w:val="24"/>
    </w:rPr>
  </w:style>
  <w:style w:type="paragraph" w:customStyle="1" w:styleId="580">
    <w:name w:val="Part Label"/>
    <w:basedOn w:val="1"/>
    <w:qFormat/>
    <w:uiPriority w:val="0"/>
    <w:pPr>
      <w:widowControl/>
      <w:pBdr>
        <w:top w:val="single" w:color="auto" w:sz="6" w:space="1"/>
        <w:left w:val="single" w:color="auto" w:sz="6" w:space="1"/>
      </w:pBdr>
      <w:shd w:val="solid" w:color="auto" w:fill="auto"/>
      <w:spacing w:line="360" w:lineRule="exact"/>
      <w:ind w:left="907" w:right="7412"/>
      <w:jc w:val="center"/>
    </w:pPr>
    <w:rPr>
      <w:rFonts w:ascii="仿宋体" w:hAnsi="Arial" w:eastAsia="仿宋体"/>
      <w:color w:val="FFFFFF"/>
      <w:spacing w:val="-16"/>
      <w:kern w:val="0"/>
      <w:position w:val="4"/>
      <w:sz w:val="26"/>
      <w:lang w:eastAsia="en-US"/>
    </w:rPr>
  </w:style>
  <w:style w:type="paragraph" w:customStyle="1" w:styleId="581">
    <w:name w:val="itemlis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582">
    <w:name w:val="标题 4 + 小四"/>
    <w:basedOn w:val="7"/>
    <w:qFormat/>
    <w:uiPriority w:val="0"/>
    <w:pPr>
      <w:numPr>
        <w:ilvl w:val="3"/>
        <w:numId w:val="23"/>
      </w:numPr>
    </w:pPr>
    <w:rPr>
      <w:sz w:val="24"/>
    </w:rPr>
  </w:style>
  <w:style w:type="paragraph" w:customStyle="1" w:styleId="583">
    <w:name w:val=" Char1"/>
    <w:basedOn w:val="25"/>
    <w:qFormat/>
    <w:uiPriority w:val="0"/>
    <w:pPr>
      <w:widowControl/>
      <w:ind w:firstLine="454"/>
      <w:jc w:val="left"/>
    </w:pPr>
    <w:rPr>
      <w:rFonts w:ascii="Tahoma" w:hAnsi="Tahoma" w:cs="宋体"/>
      <w:kern w:val="0"/>
    </w:rPr>
  </w:style>
  <w:style w:type="paragraph" w:customStyle="1" w:styleId="584">
    <w:name w:val=" Char1 Char Char Char Char Char Char Char Char Char"/>
    <w:basedOn w:val="1"/>
    <w:qFormat/>
    <w:uiPriority w:val="0"/>
    <w:rPr>
      <w:rFonts w:ascii="Tahoma" w:hAnsi="Tahoma"/>
      <w:sz w:val="24"/>
    </w:rPr>
  </w:style>
  <w:style w:type="paragraph" w:customStyle="1" w:styleId="585">
    <w:name w:val=" Char Char"/>
    <w:basedOn w:val="1"/>
    <w:qFormat/>
    <w:uiPriority w:val="0"/>
    <w:pPr>
      <w:keepNext/>
      <w:keepLines/>
      <w:adjustRightInd w:val="0"/>
      <w:spacing w:before="312" w:beforeLines="100" w:after="312" w:afterLines="100" w:line="300" w:lineRule="auto"/>
      <w:ind w:firstLine="200" w:firstLineChars="200"/>
      <w:textAlignment w:val="center"/>
    </w:pPr>
    <w:rPr>
      <w:rFonts w:ascii="仿宋_GB2312" w:hAnsi="宋体" w:eastAsia="仿宋_GB2312"/>
      <w:kern w:val="0"/>
      <w:sz w:val="24"/>
    </w:rPr>
  </w:style>
  <w:style w:type="paragraph" w:customStyle="1" w:styleId="586">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587">
    <w:name w:val="样式 subtitle 2 + 宋体 段前: 0 磅 段后: 0 磅 行距: 1.5 倍行距"/>
    <w:basedOn w:val="303"/>
    <w:qFormat/>
    <w:uiPriority w:val="0"/>
    <w:pPr>
      <w:numPr>
        <w:ilvl w:val="0"/>
        <w:numId w:val="22"/>
      </w:numPr>
      <w:tabs>
        <w:tab w:val="left" w:pos="905"/>
        <w:tab w:val="clear" w:pos="425"/>
      </w:tabs>
      <w:spacing w:before="0" w:after="0" w:line="360" w:lineRule="auto"/>
      <w:ind w:firstLine="482" w:firstLineChars="200"/>
    </w:pPr>
    <w:rPr>
      <w:rFonts w:ascii="宋体" w:hAnsi="宋体" w:eastAsia="宋体"/>
      <w:b/>
      <w:snapToGrid/>
      <w:kern w:val="2"/>
    </w:rPr>
  </w:style>
  <w:style w:type="paragraph" w:customStyle="1" w:styleId="588">
    <w:name w:val="red"/>
    <w:basedOn w:val="1"/>
    <w:qFormat/>
    <w:uiPriority w:val="0"/>
    <w:pPr>
      <w:widowControl/>
      <w:spacing w:before="100" w:beforeLines="0" w:beforeAutospacing="1" w:after="100" w:afterLines="0" w:afterAutospacing="1" w:line="300" w:lineRule="atLeast"/>
      <w:jc w:val="left"/>
    </w:pPr>
    <w:rPr>
      <w:rFonts w:ascii="ˎ̥" w:hAnsi="ˎ̥"/>
      <w:color w:val="CC3300"/>
      <w:kern w:val="0"/>
      <w:sz w:val="18"/>
    </w:rPr>
  </w:style>
  <w:style w:type="paragraph" w:customStyle="1" w:styleId="589">
    <w:name w:val="正文文字缩进 2"/>
    <w:basedOn w:val="1"/>
    <w:qFormat/>
    <w:uiPriority w:val="0"/>
    <w:pPr>
      <w:widowControl/>
      <w:spacing w:line="351" w:lineRule="atLeast"/>
      <w:ind w:firstLine="419"/>
      <w:textAlignment w:val="baseline"/>
    </w:pPr>
    <w:rPr>
      <w:color w:val="000000"/>
      <w:kern w:val="0"/>
      <w:u w:val="none" w:color="000000"/>
    </w:rPr>
  </w:style>
  <w:style w:type="paragraph" w:customStyle="1" w:styleId="590">
    <w:name w:val="ººÒÇÏ¸µÈÏß¼ò8BOLD"/>
    <w:basedOn w:val="1"/>
    <w:qFormat/>
    <w:uiPriority w:val="0"/>
    <w:pPr>
      <w:overflowPunct w:val="0"/>
      <w:autoSpaceDE w:val="0"/>
      <w:autoSpaceDN w:val="0"/>
      <w:adjustRightInd w:val="0"/>
      <w:spacing w:line="240" w:lineRule="atLeast"/>
      <w:textAlignment w:val="baseline"/>
    </w:pPr>
    <w:rPr>
      <w:rFonts w:ascii="汉仪细等线简" w:eastAsia="汉仪细等线简"/>
      <w:b/>
      <w:kern w:val="0"/>
      <w:sz w:val="16"/>
    </w:rPr>
  </w:style>
  <w:style w:type="paragraph" w:customStyle="1" w:styleId="591">
    <w:name w:val="af0"/>
    <w:basedOn w:val="1"/>
    <w:qFormat/>
    <w:uiPriority w:val="0"/>
    <w:pPr>
      <w:widowControl/>
      <w:spacing w:before="120" w:beforeLines="0" w:after="120" w:afterLines="0" w:line="300" w:lineRule="atLeast"/>
      <w:jc w:val="center"/>
    </w:pPr>
    <w:rPr>
      <w:rFonts w:ascii="宋体" w:hAnsi="宋体" w:cs="宋体"/>
      <w:kern w:val="0"/>
      <w:sz w:val="18"/>
      <w:szCs w:val="18"/>
    </w:rPr>
  </w:style>
  <w:style w:type="paragraph" w:customStyle="1" w:styleId="592">
    <w:name w:val="主题2"/>
    <w:basedOn w:val="1"/>
    <w:next w:val="1"/>
    <w:qFormat/>
    <w:uiPriority w:val="0"/>
    <w:pPr>
      <w:spacing w:line="360" w:lineRule="auto"/>
      <w:ind w:left="480" w:leftChars="100" w:rightChars="100"/>
      <w:outlineLvl w:val="1"/>
    </w:pPr>
    <w:rPr>
      <w:rFonts w:ascii="宋体" w:hAnsi="宋体"/>
      <w:b/>
      <w:kern w:val="0"/>
      <w:sz w:val="28"/>
    </w:rPr>
  </w:style>
  <w:style w:type="paragraph" w:customStyle="1" w:styleId="593">
    <w:name w:val="Definition Term"/>
    <w:basedOn w:val="1"/>
    <w:next w:val="1"/>
    <w:qFormat/>
    <w:uiPriority w:val="0"/>
    <w:pPr>
      <w:widowControl/>
      <w:ind w:left="907"/>
      <w:jc w:val="left"/>
    </w:pPr>
    <w:rPr>
      <w:snapToGrid w:val="0"/>
      <w:kern w:val="0"/>
      <w:sz w:val="24"/>
      <w:lang w:eastAsia="en-US"/>
    </w:rPr>
  </w:style>
  <w:style w:type="paragraph" w:customStyle="1" w:styleId="594">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595">
    <w:name w:val="xl110"/>
    <w:basedOn w:val="1"/>
    <w:qFormat/>
    <w:uiPriority w:val="0"/>
    <w:pPr>
      <w:widowControl/>
      <w:pBdr>
        <w:top w:val="single" w:color="auto" w:sz="4" w:space="0"/>
        <w:right w:val="single" w:color="auto" w:sz="4" w:space="0"/>
      </w:pBdr>
      <w:spacing w:before="100" w:beforeLines="0" w:beforeAutospacing="1" w:after="100" w:afterLines="0" w:afterAutospacing="1"/>
      <w:jc w:val="left"/>
    </w:pPr>
    <w:rPr>
      <w:rFonts w:ascii="宋体" w:hAnsi="宋体" w:cs="宋体"/>
      <w:kern w:val="0"/>
      <w:sz w:val="24"/>
      <w:szCs w:val="24"/>
    </w:rPr>
  </w:style>
  <w:style w:type="paragraph" w:customStyle="1" w:styleId="596">
    <w:name w:val="模板普通正文"/>
    <w:basedOn w:val="3"/>
    <w:qFormat/>
    <w:uiPriority w:val="0"/>
    <w:pPr>
      <w:spacing w:before="156" w:beforeLines="50" w:after="10" w:afterLines="0" w:line="360" w:lineRule="auto"/>
      <w:ind w:left="0" w:leftChars="0" w:firstLine="490" w:firstLineChars="175"/>
      <w:jc w:val="left"/>
    </w:pPr>
    <w:rPr>
      <w:sz w:val="24"/>
    </w:rPr>
  </w:style>
  <w:style w:type="paragraph" w:customStyle="1" w:styleId="597">
    <w:name w:val="样式 样式 标题 2 + 左侧:  0.32 厘米 悬挂缩进: 5.4 字符 + 宋体"/>
    <w:basedOn w:val="1"/>
    <w:qFormat/>
    <w:uiPriority w:val="0"/>
    <w:pPr>
      <w:numPr>
        <w:ilvl w:val="1"/>
        <w:numId w:val="18"/>
      </w:numPr>
    </w:pPr>
  </w:style>
  <w:style w:type="paragraph" w:customStyle="1" w:styleId="598">
    <w:name w:val="标书正文"/>
    <w:basedOn w:val="1"/>
    <w:qFormat/>
    <w:uiPriority w:val="0"/>
    <w:pPr>
      <w:spacing w:line="360" w:lineRule="auto"/>
      <w:ind w:firstLine="200" w:firstLineChars="200"/>
      <w:jc w:val="left"/>
    </w:pPr>
    <w:rPr>
      <w:rFonts w:ascii="Verdana" w:hAnsi="Verdana"/>
      <w:sz w:val="24"/>
    </w:rPr>
  </w:style>
  <w:style w:type="paragraph" w:customStyle="1" w:styleId="599">
    <w:name w:val=" Char Char6 Char Char Char Char Char Char"/>
    <w:basedOn w:val="25"/>
    <w:qFormat/>
    <w:uiPriority w:val="0"/>
    <w:rPr>
      <w:rFonts w:ascii="宋体" w:hAnsi="宋体"/>
      <w:b/>
      <w:sz w:val="24"/>
      <w:shd w:val="clear" w:color="auto" w:fill="auto"/>
    </w:rPr>
  </w:style>
  <w:style w:type="paragraph" w:customStyle="1" w:styleId="60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宋体" w:hAnsi="宋体" w:cs="宋体"/>
      <w:kern w:val="0"/>
      <w:sz w:val="24"/>
      <w:szCs w:val="24"/>
    </w:rPr>
  </w:style>
  <w:style w:type="paragraph" w:customStyle="1" w:styleId="601">
    <w:name w:val="xl38"/>
    <w:basedOn w:val="1"/>
    <w:qFormat/>
    <w:uiPriority w:val="0"/>
    <w:pPr>
      <w:widowControl/>
      <w:pBdr>
        <w:bottom w:val="single" w:color="auto" w:sz="4" w:space="0"/>
      </w:pBdr>
      <w:spacing w:before="100" w:beforeLines="0" w:beforeAutospacing="1" w:after="100" w:afterLines="0" w:afterAutospacing="1"/>
      <w:jc w:val="center"/>
    </w:pPr>
    <w:rPr>
      <w:rFonts w:ascii="宋体" w:hAnsi="宋体" w:cs="宋体"/>
      <w:kern w:val="0"/>
      <w:sz w:val="24"/>
      <w:szCs w:val="24"/>
    </w:rPr>
  </w:style>
  <w:style w:type="paragraph" w:customStyle="1" w:styleId="602">
    <w:name w:val="xl106"/>
    <w:basedOn w:val="1"/>
    <w:qFormat/>
    <w:uiPriority w:val="0"/>
    <w:pPr>
      <w:widowControl/>
      <w:pBdr>
        <w:left w:val="single" w:color="auto" w:sz="4" w:space="0"/>
        <w:right w:val="single" w:color="auto" w:sz="4" w:space="0"/>
      </w:pBdr>
      <w:shd w:val="clear" w:color="000000" w:fill="FFFF00"/>
      <w:spacing w:before="100" w:beforeLines="0" w:beforeAutospacing="1" w:after="100" w:afterLines="0" w:afterAutospacing="1"/>
      <w:jc w:val="left"/>
      <w:textAlignment w:val="center"/>
    </w:pPr>
    <w:rPr>
      <w:rFonts w:ascii="宋体" w:hAnsi="宋体" w:cs="宋体"/>
      <w:color w:val="000000"/>
      <w:kern w:val="0"/>
      <w:sz w:val="20"/>
    </w:rPr>
  </w:style>
  <w:style w:type="paragraph" w:customStyle="1" w:styleId="603">
    <w:name w:val=" Char Char1 Char"/>
    <w:basedOn w:val="1"/>
    <w:qFormat/>
    <w:uiPriority w:val="0"/>
  </w:style>
  <w:style w:type="paragraph" w:customStyle="1" w:styleId="604">
    <w:name w:val="样式 标题 2h2l22nd level2Header 2Titre2Head 2H2sect 1.2H21..."/>
    <w:basedOn w:val="6"/>
    <w:qFormat/>
    <w:uiPriority w:val="0"/>
    <w:pPr>
      <w:keepLines w:val="0"/>
      <w:widowControl/>
      <w:numPr>
        <w:ilvl w:val="0"/>
        <w:numId w:val="0"/>
      </w:numPr>
      <w:tabs>
        <w:tab w:val="left" w:pos="576"/>
      </w:tabs>
      <w:overflowPunct w:val="0"/>
      <w:spacing w:before="480" w:beforeLines="0" w:after="480" w:afterLines="0" w:line="460" w:lineRule="atLeast"/>
      <w:ind w:left="576" w:hanging="576"/>
      <w:jc w:val="left"/>
    </w:pPr>
    <w:rPr>
      <w:rFonts w:ascii="宋体" w:hAnsi="宋体" w:eastAsia="宋体" w:cs="宋体"/>
      <w:kern w:val="0"/>
    </w:rPr>
  </w:style>
  <w:style w:type="paragraph" w:customStyle="1" w:styleId="605">
    <w:name w:val="版权声明"/>
    <w:basedOn w:val="1"/>
    <w:qFormat/>
    <w:uiPriority w:val="0"/>
    <w:pPr>
      <w:widowControl/>
      <w:autoSpaceDE w:val="0"/>
      <w:autoSpaceDN w:val="0"/>
      <w:snapToGrid w:val="0"/>
      <w:spacing w:line="360" w:lineRule="auto"/>
      <w:ind w:left="1134"/>
      <w:textAlignment w:val="bottom"/>
    </w:pPr>
    <w:rPr>
      <w:rFonts w:ascii="Tahoma" w:hAnsi="Tahoma" w:eastAsia="新宋体"/>
    </w:rPr>
  </w:style>
  <w:style w:type="paragraph" w:customStyle="1" w:styleId="606">
    <w:name w:val="Char1"/>
    <w:basedOn w:val="1"/>
    <w:next w:val="44"/>
    <w:qFormat/>
    <w:uiPriority w:val="0"/>
    <w:pPr>
      <w:spacing w:line="360" w:lineRule="auto"/>
      <w:ind w:firstLine="480" w:firstLineChars="200"/>
    </w:pPr>
    <w:rPr>
      <w:kern w:val="0"/>
      <w:sz w:val="24"/>
      <w:szCs w:val="24"/>
    </w:rPr>
  </w:style>
  <w:style w:type="paragraph" w:customStyle="1" w:styleId="607">
    <w:name w:val="xl28"/>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pPr>
    <w:rPr>
      <w:rFonts w:ascii="宋体" w:hAnsi="宋体" w:cs="宋体"/>
      <w:kern w:val="0"/>
      <w:sz w:val="24"/>
      <w:szCs w:val="24"/>
    </w:rPr>
  </w:style>
  <w:style w:type="paragraph" w:customStyle="1" w:styleId="608">
    <w:name w:val="列项"/>
    <w:basedOn w:val="1"/>
    <w:qFormat/>
    <w:uiPriority w:val="0"/>
    <w:rPr>
      <w:rFonts w:ascii="宋体"/>
      <w:sz w:val="24"/>
      <w:szCs w:val="18"/>
    </w:rPr>
  </w:style>
  <w:style w:type="paragraph" w:customStyle="1" w:styleId="609">
    <w:name w:val="CM26"/>
    <w:basedOn w:val="290"/>
    <w:next w:val="290"/>
    <w:qFormat/>
    <w:uiPriority w:val="0"/>
    <w:pPr>
      <w:autoSpaceDE w:val="0"/>
      <w:autoSpaceDN w:val="0"/>
      <w:adjustRightInd w:val="0"/>
      <w:spacing w:after="255" w:afterLines="0"/>
    </w:pPr>
    <w:rPr>
      <w:rFonts w:ascii="HYDaHeiJ" w:eastAsia="HYDaHeiJ"/>
      <w:color w:val="auto"/>
      <w:lang w:eastAsia="zh-CN"/>
    </w:rPr>
  </w:style>
  <w:style w:type="paragraph" w:customStyle="1" w:styleId="610">
    <w:name w:val="表头"/>
    <w:qFormat/>
    <w:uiPriority w:val="0"/>
    <w:pPr>
      <w:jc w:val="center"/>
    </w:pPr>
    <w:rPr>
      <w:rFonts w:ascii="宋体" w:hAnsi="Times New Roman" w:eastAsia="宋体" w:cs="Times New Roman"/>
      <w:b/>
      <w:kern w:val="2"/>
      <w:lang w:val="en-US" w:eastAsia="zh-CN" w:bidi="ar-SA"/>
    </w:rPr>
  </w:style>
  <w:style w:type="paragraph" w:customStyle="1" w:styleId="611">
    <w:name w:val="方案文档"/>
    <w:basedOn w:val="1"/>
    <w:qFormat/>
    <w:uiPriority w:val="0"/>
    <w:pPr>
      <w:spacing w:before="120" w:beforeLines="0" w:after="120" w:afterLines="0" w:line="360" w:lineRule="auto"/>
      <w:ind w:firstLine="567"/>
    </w:pPr>
    <w:rPr>
      <w:rFonts w:ascii="Arial" w:hAnsi="Arial"/>
      <w:b/>
    </w:rPr>
  </w:style>
  <w:style w:type="paragraph" w:customStyle="1" w:styleId="612">
    <w:name w:val="点标题"/>
    <w:basedOn w:val="32"/>
    <w:qFormat/>
    <w:uiPriority w:val="0"/>
    <w:pPr>
      <w:tabs>
        <w:tab w:val="left" w:pos="900"/>
      </w:tabs>
      <w:spacing w:after="0" w:afterLines="0" w:line="360" w:lineRule="auto"/>
      <w:ind w:left="900" w:hanging="420"/>
    </w:pPr>
    <w:rPr>
      <w:sz w:val="24"/>
    </w:rPr>
  </w:style>
  <w:style w:type="paragraph" w:customStyle="1" w:styleId="613">
    <w:name w:val="font11"/>
    <w:basedOn w:val="1"/>
    <w:qFormat/>
    <w:uiPriority w:val="0"/>
    <w:pPr>
      <w:widowControl/>
      <w:spacing w:before="100" w:beforeLines="0" w:beforeAutospacing="1" w:after="100" w:afterLines="0" w:afterAutospacing="1"/>
      <w:jc w:val="left"/>
    </w:pPr>
    <w:rPr>
      <w:rFonts w:hint="eastAsia" w:ascii="宋体" w:hAnsi="宋体"/>
      <w:b/>
      <w:color w:val="0000FF"/>
      <w:kern w:val="0"/>
      <w:sz w:val="28"/>
    </w:rPr>
  </w:style>
  <w:style w:type="paragraph" w:customStyle="1" w:styleId="614">
    <w:name w:val="s14"/>
    <w:basedOn w:val="1"/>
    <w:qFormat/>
    <w:uiPriority w:val="0"/>
    <w:pPr>
      <w:widowControl/>
      <w:spacing w:before="100" w:beforeAutospacing="1" w:after="100" w:afterAutospacing="1"/>
      <w:jc w:val="left"/>
    </w:pPr>
    <w:rPr>
      <w:rFonts w:ascii="宋体" w:hAnsi="宋体" w:cs="宋体"/>
      <w:color w:val="A60AF4"/>
      <w:kern w:val="0"/>
      <w:sz w:val="24"/>
      <w:szCs w:val="24"/>
    </w:rPr>
  </w:style>
  <w:style w:type="paragraph" w:customStyle="1" w:styleId="615">
    <w:name w:val="符合标题4"/>
    <w:basedOn w:val="1"/>
    <w:qFormat/>
    <w:uiPriority w:val="0"/>
    <w:pPr>
      <w:widowControl/>
      <w:numPr>
        <w:ilvl w:val="0"/>
        <w:numId w:val="24"/>
      </w:numPr>
      <w:tabs>
        <w:tab w:val="left" w:pos="360"/>
        <w:tab w:val="clear" w:pos="420"/>
      </w:tabs>
      <w:spacing w:before="50" w:line="360" w:lineRule="auto"/>
      <w:ind w:left="300"/>
      <w:jc w:val="left"/>
    </w:pPr>
    <w:rPr>
      <w:rFonts w:ascii="宋体" w:hAnsi="宋体"/>
      <w:kern w:val="0"/>
    </w:rPr>
  </w:style>
  <w:style w:type="paragraph" w:customStyle="1" w:styleId="616">
    <w:name w:val="特点黄标"/>
    <w:basedOn w:val="1"/>
    <w:qFormat/>
    <w:uiPriority w:val="0"/>
    <w:pPr>
      <w:widowControl/>
      <w:autoSpaceDE w:val="0"/>
      <w:autoSpaceDN w:val="0"/>
      <w:adjustRightInd w:val="0"/>
    </w:pPr>
    <w:rPr>
      <w:rFonts w:ascii="汉鼎简大黑Arial Black" w:eastAsia="汉鼎简大黑Arial Black"/>
      <w:color w:val="FFD80E"/>
      <w:kern w:val="0"/>
      <w:sz w:val="20"/>
      <w:szCs w:val="24"/>
      <w:lang w:eastAsia="en-US"/>
    </w:rPr>
  </w:style>
  <w:style w:type="paragraph" w:customStyle="1" w:styleId="617">
    <w:name w:val="7"/>
    <w:basedOn w:val="1"/>
    <w:qFormat/>
    <w:uiPriority w:val="0"/>
    <w:pPr>
      <w:autoSpaceDE w:val="0"/>
      <w:autoSpaceDN w:val="0"/>
      <w:adjustRightInd w:val="0"/>
      <w:spacing w:line="270" w:lineRule="atLeast"/>
      <w:jc w:val="left"/>
    </w:pPr>
    <w:rPr>
      <w:rFonts w:ascii="宋体"/>
      <w:kern w:val="0"/>
      <w:sz w:val="18"/>
    </w:rPr>
  </w:style>
  <w:style w:type="paragraph" w:customStyle="1" w:styleId="618">
    <w:name w:val="正文段落"/>
    <w:basedOn w:val="1"/>
    <w:qFormat/>
    <w:uiPriority w:val="0"/>
    <w:pPr>
      <w:spacing w:line="300" w:lineRule="auto"/>
      <w:ind w:firstLine="510"/>
    </w:pPr>
    <w:rPr>
      <w:sz w:val="24"/>
    </w:rPr>
  </w:style>
  <w:style w:type="paragraph" w:customStyle="1" w:styleId="619">
    <w:name w:val=" Char Char5 Char"/>
    <w:basedOn w:val="1"/>
    <w:qFormat/>
    <w:uiPriority w:val="0"/>
    <w:rPr>
      <w:rFonts w:ascii="仿宋_GB2312" w:eastAsia="仿宋_GB2312"/>
      <w:sz w:val="24"/>
    </w:rPr>
  </w:style>
  <w:style w:type="paragraph" w:customStyle="1" w:styleId="62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宋体" w:hAnsi="宋体" w:cs="宋体"/>
      <w:kern w:val="0"/>
      <w:sz w:val="24"/>
      <w:szCs w:val="24"/>
    </w:rPr>
  </w:style>
  <w:style w:type="paragraph" w:customStyle="1" w:styleId="621">
    <w:name w:val="ft9"/>
    <w:basedOn w:val="1"/>
    <w:qFormat/>
    <w:uiPriority w:val="0"/>
    <w:pPr>
      <w:widowControl/>
      <w:spacing w:before="100" w:beforeLines="0" w:beforeAutospacing="1" w:after="100" w:afterLines="0" w:afterAutospacing="1"/>
      <w:jc w:val="left"/>
    </w:pPr>
    <w:rPr>
      <w:rFonts w:ascii="宋体" w:hAnsi="宋体"/>
      <w:kern w:val="0"/>
      <w:sz w:val="18"/>
    </w:rPr>
  </w:style>
  <w:style w:type="paragraph" w:customStyle="1" w:styleId="622">
    <w:name w:val="标题2级"/>
    <w:basedOn w:val="5"/>
    <w:qFormat/>
    <w:uiPriority w:val="0"/>
    <w:pPr>
      <w:widowControl/>
      <w:numPr>
        <w:ilvl w:val="2"/>
        <w:numId w:val="25"/>
      </w:numPr>
      <w:tabs>
        <w:tab w:val="left" w:pos="360"/>
        <w:tab w:val="left" w:pos="4057"/>
      </w:tabs>
      <w:spacing w:before="0" w:after="0" w:line="440" w:lineRule="exact"/>
      <w:jc w:val="left"/>
      <w:outlineLvl w:val="1"/>
    </w:pPr>
    <w:rPr>
      <w:rFonts w:ascii="宋体" w:hAnsi="宋体"/>
      <w:b w:val="0"/>
      <w:bCs w:val="0"/>
      <w:sz w:val="32"/>
      <w:szCs w:val="20"/>
    </w:rPr>
  </w:style>
  <w:style w:type="paragraph" w:customStyle="1" w:styleId="623">
    <w:name w:val="xl76"/>
    <w:basedOn w:val="1"/>
    <w:qFormat/>
    <w:uiPriority w:val="0"/>
    <w:pPr>
      <w:widowControl/>
      <w:pBdr>
        <w:left w:val="single" w:color="auto" w:sz="8" w:space="0"/>
      </w:pBdr>
      <w:spacing w:before="100" w:beforeLines="0" w:beforeAutospacing="1" w:after="100" w:afterLines="0" w:afterAutospacing="1"/>
      <w:jc w:val="center"/>
      <w:textAlignment w:val="center"/>
    </w:pPr>
    <w:rPr>
      <w:rFonts w:ascii="宋体" w:hAnsi="宋体"/>
      <w:kern w:val="0"/>
      <w:sz w:val="20"/>
    </w:rPr>
  </w:style>
  <w:style w:type="paragraph" w:customStyle="1" w:styleId="624">
    <w:name w:val="lgh样式正文缩2"/>
    <w:basedOn w:val="12"/>
    <w:qFormat/>
    <w:uiPriority w:val="0"/>
    <w:pPr>
      <w:adjustRightInd w:val="0"/>
      <w:snapToGrid w:val="0"/>
      <w:ind w:firstLine="480"/>
    </w:pPr>
  </w:style>
  <w:style w:type="paragraph" w:customStyle="1" w:styleId="625">
    <w:name w:val="IN Step"/>
    <w:basedOn w:val="1"/>
    <w:qFormat/>
    <w:uiPriority w:val="0"/>
    <w:pPr>
      <w:keepLines/>
      <w:widowControl/>
      <w:spacing w:before="80" w:beforeLines="0" w:after="80" w:afterLines="0" w:line="300" w:lineRule="auto"/>
      <w:ind w:left="1134"/>
      <w:outlineLvl w:val="8"/>
    </w:pPr>
    <w:rPr>
      <w:rFonts w:ascii="Arial" w:hAnsi="Arial"/>
      <w:kern w:val="0"/>
    </w:rPr>
  </w:style>
  <w:style w:type="paragraph" w:customStyle="1" w:styleId="626">
    <w:name w:val="Brieftext"/>
    <w:basedOn w:val="1"/>
    <w:qFormat/>
    <w:uiPriority w:val="0"/>
    <w:pPr>
      <w:widowControl/>
      <w:spacing w:line="300" w:lineRule="exact"/>
      <w:ind w:firstLine="426" w:firstLineChars="213"/>
    </w:pPr>
    <w:rPr>
      <w:rFonts w:ascii="仿宋体" w:hAnsi="Arial" w:eastAsia="Times"/>
      <w:kern w:val="0"/>
      <w:sz w:val="22"/>
      <w:lang w:val="en-GB"/>
    </w:rPr>
  </w:style>
  <w:style w:type="paragraph" w:customStyle="1" w:styleId="627">
    <w:name w:val="样式 宋体 小四 行距: 1.5 倍行距"/>
    <w:basedOn w:val="1"/>
    <w:qFormat/>
    <w:uiPriority w:val="0"/>
    <w:pPr>
      <w:spacing w:line="360" w:lineRule="auto"/>
      <w:ind w:firstLine="480" w:firstLineChars="200"/>
    </w:pPr>
    <w:rPr>
      <w:rFonts w:ascii="宋体" w:hAnsi="宋体"/>
      <w:color w:val="000000"/>
      <w:sz w:val="24"/>
    </w:rPr>
  </w:style>
  <w:style w:type="paragraph" w:customStyle="1" w:styleId="628">
    <w:name w:val="Char Char1 Char Char Char Char"/>
    <w:basedOn w:val="1"/>
    <w:next w:val="1"/>
    <w:qFormat/>
    <w:uiPriority w:val="0"/>
    <w:pPr>
      <w:widowControl/>
      <w:spacing w:after="160" w:afterLines="0" w:line="240" w:lineRule="exact"/>
      <w:jc w:val="left"/>
    </w:pPr>
    <w:rPr>
      <w:rFonts w:ascii="Verdana" w:hAnsi="Verdana" w:eastAsia="仿宋_GB2312"/>
      <w:kern w:val="0"/>
      <w:sz w:val="24"/>
      <w:lang w:eastAsia="en-US"/>
    </w:rPr>
  </w:style>
  <w:style w:type="paragraph" w:customStyle="1" w:styleId="629">
    <w:name w:val="CM36"/>
    <w:basedOn w:val="290"/>
    <w:next w:val="290"/>
    <w:qFormat/>
    <w:uiPriority w:val="0"/>
    <w:pPr>
      <w:autoSpaceDE w:val="0"/>
      <w:autoSpaceDN w:val="0"/>
      <w:adjustRightInd w:val="0"/>
      <w:spacing w:after="933" w:afterLines="0"/>
    </w:pPr>
    <w:rPr>
      <w:rFonts w:ascii="HYDaHeiJ" w:eastAsia="HYDaHeiJ"/>
      <w:color w:val="auto"/>
      <w:lang w:eastAsia="zh-CN"/>
    </w:rPr>
  </w:style>
  <w:style w:type="paragraph" w:customStyle="1" w:styleId="630">
    <w:name w:val=" Char1 Char Char Char Char Char Char Char Char Char Char Char"/>
    <w:basedOn w:val="1"/>
    <w:qFormat/>
    <w:uiPriority w:val="0"/>
    <w:pPr>
      <w:widowControl/>
      <w:spacing w:after="160" w:afterLines="0" w:line="240" w:lineRule="exact"/>
      <w:jc w:val="left"/>
    </w:pPr>
    <w:rPr>
      <w:rFonts w:ascii="Verdana" w:hAnsi="Verdana"/>
      <w:kern w:val="0"/>
      <w:sz w:val="20"/>
      <w:lang w:eastAsia="en-US"/>
    </w:rPr>
  </w:style>
  <w:style w:type="paragraph" w:customStyle="1" w:styleId="631">
    <w:name w:val="表项"/>
    <w:next w:val="632"/>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632">
    <w:name w:val="表身"/>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633">
    <w:name w:val="样式 标题 3Level 3 HeadH3level_3PIM 3h33l3CTBOD 0sect1.2.3..."/>
    <w:basedOn w:val="7"/>
    <w:qFormat/>
    <w:uiPriority w:val="0"/>
    <w:pPr>
      <w:numPr>
        <w:ilvl w:val="2"/>
        <w:numId w:val="10"/>
      </w:numPr>
      <w:tabs>
        <w:tab w:val="left" w:pos="709"/>
        <w:tab w:val="clear" w:pos="1680"/>
      </w:tabs>
      <w:spacing w:before="0" w:after="0" w:line="240" w:lineRule="auto"/>
    </w:pPr>
    <w:rPr>
      <w:rFonts w:ascii="宋体" w:hAnsi="宋体"/>
      <w:bCs w:val="0"/>
      <w:sz w:val="24"/>
      <w:szCs w:val="20"/>
    </w:rPr>
  </w:style>
  <w:style w:type="paragraph" w:customStyle="1" w:styleId="634">
    <w:name w:val="小标号"/>
    <w:basedOn w:val="268"/>
    <w:next w:val="268"/>
    <w:qFormat/>
    <w:uiPriority w:val="0"/>
    <w:pPr>
      <w:tabs>
        <w:tab w:val="clear" w:pos="720"/>
      </w:tabs>
      <w:ind w:left="0" w:firstLine="0"/>
    </w:pPr>
    <w:rPr>
      <w:rFonts w:ascii="宋体"/>
    </w:rPr>
  </w:style>
  <w:style w:type="paragraph" w:customStyle="1" w:styleId="635">
    <w:name w:val="正文列表3"/>
    <w:basedOn w:val="1"/>
    <w:qFormat/>
    <w:uiPriority w:val="0"/>
    <w:pPr>
      <w:numPr>
        <w:ilvl w:val="0"/>
        <w:numId w:val="24"/>
      </w:numPr>
    </w:pPr>
    <w:rPr>
      <w:szCs w:val="24"/>
    </w:rPr>
  </w:style>
  <w:style w:type="paragraph" w:customStyle="1" w:styleId="636">
    <w:name w:val="xl117"/>
    <w:basedOn w:val="1"/>
    <w:qFormat/>
    <w:uiPriority w:val="0"/>
    <w:pPr>
      <w:widowControl/>
      <w:pBdr>
        <w:top w:val="single" w:color="auto" w:sz="4" w:space="0"/>
        <w:bottom w:val="single" w:color="auto" w:sz="4" w:space="0"/>
      </w:pBdr>
      <w:spacing w:before="100" w:beforeLines="0" w:beforeAutospacing="1" w:after="100" w:afterLines="0" w:afterAutospacing="1"/>
      <w:jc w:val="center"/>
      <w:textAlignment w:val="center"/>
    </w:pPr>
    <w:rPr>
      <w:rFonts w:ascii="宋体" w:hAnsi="宋体" w:cs="宋体"/>
      <w:kern w:val="0"/>
      <w:sz w:val="24"/>
      <w:szCs w:val="24"/>
    </w:rPr>
  </w:style>
  <w:style w:type="paragraph" w:customStyle="1" w:styleId="637">
    <w:name w:val="样式 表格标题 + Arial"/>
    <w:basedOn w:val="1"/>
    <w:qFormat/>
    <w:uiPriority w:val="0"/>
    <w:pPr>
      <w:spacing w:before="78" w:beforeLines="25" w:after="78" w:afterLines="25" w:line="200" w:lineRule="exact"/>
      <w:jc w:val="center"/>
    </w:pPr>
    <w:rPr>
      <w:rFonts w:ascii="Arial" w:hAnsi="Arial"/>
      <w:szCs w:val="24"/>
    </w:rPr>
  </w:style>
  <w:style w:type="paragraph" w:customStyle="1" w:styleId="638">
    <w:name w:val="样式07"/>
    <w:basedOn w:val="1"/>
    <w:qFormat/>
    <w:uiPriority w:val="0"/>
    <w:pPr>
      <w:tabs>
        <w:tab w:val="left" w:pos="1370"/>
      </w:tabs>
      <w:spacing w:before="156" w:beforeLines="50" w:after="156" w:afterLines="50" w:line="300" w:lineRule="auto"/>
      <w:ind w:left="1370" w:hanging="425"/>
    </w:pPr>
    <w:rPr>
      <w:b/>
      <w:sz w:val="24"/>
      <w:szCs w:val="24"/>
    </w:rPr>
  </w:style>
  <w:style w:type="paragraph" w:customStyle="1" w:styleId="639">
    <w:name w:val="Table"/>
    <w:basedOn w:val="1"/>
    <w:qFormat/>
    <w:uiPriority w:val="0"/>
    <w:pPr>
      <w:snapToGrid w:val="0"/>
      <w:spacing w:before="20" w:beforeLines="0" w:after="20" w:afterLines="0"/>
      <w:ind w:left="2268" w:right="709"/>
      <w:jc w:val="center"/>
    </w:pPr>
    <w:rPr>
      <w:rFonts w:ascii="Arial" w:hAnsi="Arial" w:eastAsia="2OcuAe"/>
      <w:spacing w:val="2"/>
      <w:kern w:val="0"/>
      <w:sz w:val="18"/>
    </w:rPr>
  </w:style>
  <w:style w:type="paragraph" w:customStyle="1" w:styleId="640">
    <w:name w:val="Char Char1"/>
    <w:basedOn w:val="1"/>
    <w:qFormat/>
    <w:uiPriority w:val="0"/>
    <w:pPr>
      <w:widowControl/>
      <w:spacing w:after="160" w:afterLines="0" w:line="240" w:lineRule="exact"/>
      <w:jc w:val="left"/>
    </w:pPr>
    <w:rPr>
      <w:rFonts w:ascii="Verdana" w:hAnsi="Verdana"/>
      <w:kern w:val="0"/>
      <w:sz w:val="20"/>
      <w:lang w:eastAsia="en-US"/>
    </w:rPr>
  </w:style>
  <w:style w:type="paragraph" w:customStyle="1" w:styleId="641">
    <w:name w:val="百姓X"/>
    <w:basedOn w:val="1"/>
    <w:qFormat/>
    <w:uiPriority w:val="0"/>
    <w:pPr>
      <w:numPr>
        <w:ilvl w:val="0"/>
        <w:numId w:val="25"/>
      </w:numPr>
      <w:tabs>
        <w:tab w:val="clear" w:pos="360"/>
      </w:tabs>
      <w:spacing w:before="120" w:after="120" w:line="360" w:lineRule="auto"/>
      <w:ind w:left="0" w:firstLine="539"/>
    </w:pPr>
    <w:rPr>
      <w:sz w:val="24"/>
    </w:rPr>
  </w:style>
  <w:style w:type="paragraph" w:customStyle="1" w:styleId="642">
    <w:name w:val="小点说明"/>
    <w:basedOn w:val="1"/>
    <w:qFormat/>
    <w:uiPriority w:val="0"/>
    <w:pPr>
      <w:tabs>
        <w:tab w:val="left" w:pos="960"/>
      </w:tabs>
      <w:spacing w:after="80" w:afterLines="0" w:line="360" w:lineRule="auto"/>
      <w:ind w:left="720" w:hanging="240"/>
    </w:pPr>
    <w:rPr>
      <w:rFonts w:ascii="宋体" w:hAnsi="宋体"/>
      <w:kern w:val="0"/>
      <w:sz w:val="28"/>
      <w:lang w:val="eu-ES"/>
    </w:rPr>
  </w:style>
  <w:style w:type="paragraph" w:customStyle="1" w:styleId="643">
    <w:name w:val="样式 样式 1-正文 + 段前: 0.5 行 + 首行缩进:  4 字符 段前: 0.5 行"/>
    <w:basedOn w:val="1"/>
    <w:qFormat/>
    <w:uiPriority w:val="0"/>
    <w:pPr>
      <w:spacing w:before="156" w:beforeLines="50" w:line="360" w:lineRule="auto"/>
      <w:ind w:firstLine="200" w:firstLineChars="200"/>
    </w:pPr>
    <w:rPr>
      <w:rFonts w:cs="宋体"/>
    </w:rPr>
  </w:style>
  <w:style w:type="paragraph" w:customStyle="1" w:styleId="644">
    <w:name w:val=" Char1 Char Char Char1"/>
    <w:basedOn w:val="1"/>
    <w:qFormat/>
    <w:uiPriority w:val="0"/>
    <w:pPr>
      <w:widowControl/>
      <w:spacing w:after="160" w:afterLines="0" w:line="240" w:lineRule="exact"/>
      <w:jc w:val="left"/>
    </w:pPr>
    <w:rPr>
      <w:rFonts w:ascii="Verdana" w:hAnsi="Verdana" w:eastAsia="仿宋_GB2312"/>
      <w:kern w:val="0"/>
      <w:sz w:val="28"/>
      <w:lang w:eastAsia="en-US"/>
    </w:rPr>
  </w:style>
  <w:style w:type="paragraph" w:customStyle="1" w:styleId="645">
    <w:name w:val="附件圈"/>
    <w:basedOn w:val="1"/>
    <w:qFormat/>
    <w:uiPriority w:val="0"/>
    <w:pPr>
      <w:numPr>
        <w:ilvl w:val="0"/>
        <w:numId w:val="10"/>
      </w:numPr>
      <w:tabs>
        <w:tab w:val="left" w:pos="980"/>
        <w:tab w:val="clear" w:pos="840"/>
      </w:tabs>
      <w:spacing w:line="360" w:lineRule="auto"/>
    </w:pPr>
    <w:rPr>
      <w:sz w:val="24"/>
      <w:szCs w:val="24"/>
    </w:rPr>
  </w:style>
  <w:style w:type="paragraph" w:customStyle="1" w:styleId="646">
    <w:name w:val="GCEBStyles1"/>
    <w:basedOn w:val="1"/>
    <w:qFormat/>
    <w:uiPriority w:val="0"/>
    <w:pPr>
      <w:jc w:val="left"/>
      <w:outlineLvl w:val="1"/>
    </w:pPr>
    <w:rPr>
      <w:rFonts w:ascii="黑体" w:hAnsi="宋体" w:eastAsia="黑体"/>
      <w:b/>
      <w:bCs/>
      <w:kern w:val="0"/>
      <w:sz w:val="32"/>
      <w:szCs w:val="24"/>
    </w:rPr>
  </w:style>
  <w:style w:type="paragraph" w:customStyle="1" w:styleId="647">
    <w:name w:val="xl33"/>
    <w:basedOn w:val="1"/>
    <w:qFormat/>
    <w:uiPriority w:val="0"/>
    <w:pPr>
      <w:widowControl/>
      <w:pBdr>
        <w:top w:val="single" w:color="auto" w:sz="4" w:space="0"/>
        <w:right w:val="single" w:color="auto" w:sz="4" w:space="0"/>
      </w:pBdr>
      <w:spacing w:before="100" w:beforeLines="0" w:beforeAutospacing="1" w:after="100" w:afterLines="0" w:afterAutospacing="1"/>
      <w:jc w:val="center"/>
    </w:pPr>
    <w:rPr>
      <w:rFonts w:ascii="宋体" w:hAnsi="宋体" w:cs="宋体"/>
      <w:kern w:val="0"/>
      <w:sz w:val="24"/>
      <w:szCs w:val="24"/>
    </w:rPr>
  </w:style>
  <w:style w:type="paragraph" w:customStyle="1" w:styleId="648">
    <w:name w:val="CM29"/>
    <w:basedOn w:val="290"/>
    <w:next w:val="290"/>
    <w:qFormat/>
    <w:uiPriority w:val="0"/>
    <w:pPr>
      <w:autoSpaceDE w:val="0"/>
      <w:autoSpaceDN w:val="0"/>
      <w:adjustRightInd w:val="0"/>
      <w:spacing w:after="395" w:afterLines="0"/>
    </w:pPr>
    <w:rPr>
      <w:rFonts w:ascii="HYDaHeiJ" w:eastAsia="HYDaHeiJ"/>
      <w:color w:val="auto"/>
      <w:lang w:eastAsia="zh-CN"/>
    </w:rPr>
  </w:style>
  <w:style w:type="paragraph" w:customStyle="1" w:styleId="649">
    <w:name w:val="xl79"/>
    <w:basedOn w:val="1"/>
    <w:qFormat/>
    <w:uiPriority w:val="0"/>
    <w:pPr>
      <w:widowControl/>
      <w:pBdr>
        <w:bottom w:val="single" w:color="auto" w:sz="8" w:space="0"/>
      </w:pBdr>
      <w:spacing w:before="100" w:beforeLines="0" w:beforeAutospacing="1" w:after="100" w:afterLines="0" w:afterAutospacing="1"/>
      <w:jc w:val="center"/>
    </w:pPr>
    <w:rPr>
      <w:rFonts w:ascii="宋体" w:hAnsi="宋体"/>
      <w:b/>
      <w:kern w:val="0"/>
      <w:sz w:val="28"/>
    </w:rPr>
  </w:style>
  <w:style w:type="paragraph" w:customStyle="1" w:styleId="650">
    <w:name w:val="xl83"/>
    <w:basedOn w:val="1"/>
    <w:qFormat/>
    <w:uiPriority w:val="0"/>
    <w:pPr>
      <w:widowControl/>
      <w:pBdr>
        <w:top w:val="single" w:color="auto" w:sz="4" w:space="0"/>
        <w:bottom w:val="single" w:color="auto" w:sz="4" w:space="0"/>
      </w:pBdr>
      <w:shd w:val="clear" w:color="auto" w:fill="CCFFFF"/>
      <w:spacing w:before="100" w:beforeLines="0" w:beforeAutospacing="1" w:after="100" w:afterLines="0" w:afterAutospacing="1"/>
      <w:jc w:val="center"/>
      <w:textAlignment w:val="center"/>
    </w:pPr>
    <w:rPr>
      <w:rFonts w:ascii="黑体" w:hAnsi="宋体" w:eastAsia="黑体" w:cs="宋体"/>
      <w:b/>
      <w:bCs/>
      <w:kern w:val="0"/>
      <w:sz w:val="22"/>
      <w:szCs w:val="22"/>
    </w:rPr>
  </w:style>
  <w:style w:type="paragraph" w:customStyle="1" w:styleId="65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pPr>
    <w:rPr>
      <w:kern w:val="0"/>
      <w:sz w:val="20"/>
    </w:rPr>
  </w:style>
  <w:style w:type="paragraph" w:customStyle="1" w:styleId="652">
    <w:name w:val="12dj"/>
    <w:basedOn w:val="1"/>
    <w:qFormat/>
    <w:uiPriority w:val="0"/>
    <w:pPr>
      <w:widowControl/>
      <w:spacing w:before="100" w:beforeLines="0" w:beforeAutospacing="1" w:after="100" w:afterLines="0" w:afterAutospacing="1" w:line="330" w:lineRule="atLeast"/>
      <w:jc w:val="left"/>
    </w:pPr>
    <w:rPr>
      <w:rFonts w:ascii="宋体" w:hAnsi="宋体"/>
      <w:color w:val="000000"/>
      <w:kern w:val="0"/>
      <w:sz w:val="18"/>
    </w:rPr>
  </w:style>
  <w:style w:type="paragraph" w:customStyle="1" w:styleId="653">
    <w:name w:val="snr"/>
    <w:basedOn w:val="1"/>
    <w:qFormat/>
    <w:uiPriority w:val="0"/>
    <w:pPr>
      <w:widowControl/>
      <w:spacing w:before="100" w:beforeLines="0" w:beforeAutospacing="1" w:after="100" w:afterLines="0" w:afterAutospacing="1" w:line="360" w:lineRule="atLeast"/>
      <w:jc w:val="left"/>
    </w:pPr>
    <w:rPr>
      <w:rFonts w:ascii="宋体" w:hAnsi="宋体" w:cs="宋体"/>
      <w:color w:val="000000"/>
      <w:kern w:val="0"/>
      <w:sz w:val="24"/>
      <w:szCs w:val="24"/>
    </w:rPr>
  </w:style>
  <w:style w:type="paragraph" w:customStyle="1" w:styleId="654">
    <w:name w:val="xl115"/>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宋体" w:hAnsi="宋体" w:cs="宋体"/>
      <w:kern w:val="0"/>
      <w:sz w:val="24"/>
      <w:szCs w:val="24"/>
    </w:rPr>
  </w:style>
  <w:style w:type="paragraph" w:customStyle="1" w:styleId="655">
    <w:name w:val="ººÒéÏ¸µÈÏß¼ò8"/>
    <w:qFormat/>
    <w:uiPriority w:val="0"/>
    <w:pPr>
      <w:widowControl w:val="0"/>
      <w:overflowPunct w:val="0"/>
      <w:autoSpaceDE w:val="0"/>
      <w:autoSpaceDN w:val="0"/>
      <w:adjustRightInd w:val="0"/>
      <w:spacing w:line="260" w:lineRule="atLeast"/>
      <w:jc w:val="both"/>
      <w:textAlignment w:val="baseline"/>
    </w:pPr>
    <w:rPr>
      <w:rFonts w:ascii="汉仪细等线简" w:hAnsi="Times New Roman" w:eastAsia="汉仪细等线简" w:cs="Times New Roman"/>
      <w:color w:val="000000"/>
      <w:sz w:val="16"/>
      <w:lang w:val="en-US" w:eastAsia="zh-CN" w:bidi="ar-SA"/>
    </w:rPr>
  </w:style>
  <w:style w:type="paragraph" w:customStyle="1" w:styleId="656">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657">
    <w:name w:val="CM37"/>
    <w:basedOn w:val="290"/>
    <w:next w:val="290"/>
    <w:qFormat/>
    <w:uiPriority w:val="0"/>
    <w:pPr>
      <w:autoSpaceDE w:val="0"/>
      <w:autoSpaceDN w:val="0"/>
      <w:adjustRightInd w:val="0"/>
      <w:spacing w:after="208" w:afterLines="0"/>
    </w:pPr>
    <w:rPr>
      <w:rFonts w:ascii="HYDaHeiJ" w:eastAsia="HYDaHeiJ"/>
      <w:color w:val="auto"/>
      <w:lang w:eastAsia="zh-CN"/>
    </w:rPr>
  </w:style>
  <w:style w:type="paragraph" w:customStyle="1" w:styleId="658">
    <w:name w:val="Part Title"/>
    <w:basedOn w:val="1"/>
    <w:qFormat/>
    <w:uiPriority w:val="0"/>
    <w:pPr>
      <w:widowControl/>
      <w:pBdr>
        <w:left w:val="single" w:color="auto" w:sz="6" w:space="1"/>
      </w:pBdr>
      <w:shd w:val="solid" w:color="auto" w:fill="auto"/>
      <w:spacing w:after="240" w:afterLines="0" w:line="660" w:lineRule="exact"/>
      <w:ind w:left="907" w:right="7412"/>
      <w:jc w:val="center"/>
    </w:pPr>
    <w:rPr>
      <w:rFonts w:ascii="Arial Black" w:hAnsi="Arial Black" w:eastAsia="仿宋体"/>
      <w:color w:val="FFFFFF"/>
      <w:spacing w:val="-40"/>
      <w:kern w:val="0"/>
      <w:position w:val="-16"/>
      <w:sz w:val="84"/>
      <w:lang w:eastAsia="en-US"/>
    </w:rPr>
  </w:style>
  <w:style w:type="paragraph" w:customStyle="1" w:styleId="659">
    <w:name w:val=" Char Char2 Char Char Char"/>
    <w:basedOn w:val="25"/>
    <w:qFormat/>
    <w:uiPriority w:val="0"/>
  </w:style>
  <w:style w:type="paragraph" w:customStyle="1" w:styleId="660">
    <w:name w:val="CM23"/>
    <w:basedOn w:val="290"/>
    <w:next w:val="290"/>
    <w:qFormat/>
    <w:uiPriority w:val="0"/>
    <w:pPr>
      <w:autoSpaceDE w:val="0"/>
      <w:autoSpaceDN w:val="0"/>
      <w:adjustRightInd w:val="0"/>
      <w:spacing w:after="370" w:afterLines="0"/>
    </w:pPr>
    <w:rPr>
      <w:rFonts w:ascii="Arial Black" w:hAnsi="Arial Black" w:eastAsia="宋体"/>
      <w:color w:val="auto"/>
      <w:sz w:val="20"/>
      <w:lang w:eastAsia="zh-CN"/>
    </w:rPr>
  </w:style>
  <w:style w:type="paragraph" w:customStyle="1" w:styleId="661">
    <w:name w:val="样式 正文文字 + 左侧:  2 字符 首行缩进:  2 字符"/>
    <w:basedOn w:val="1"/>
    <w:qFormat/>
    <w:uiPriority w:val="0"/>
    <w:pPr>
      <w:spacing w:line="360" w:lineRule="auto"/>
      <w:ind w:left="480" w:leftChars="200" w:firstLine="480" w:firstLineChars="200"/>
    </w:pPr>
  </w:style>
  <w:style w:type="paragraph" w:customStyle="1" w:styleId="66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rFonts w:ascii="宋体" w:hAnsi="宋体"/>
      <w:kern w:val="0"/>
      <w:sz w:val="20"/>
    </w:rPr>
  </w:style>
  <w:style w:type="paragraph" w:customStyle="1" w:styleId="663">
    <w:name w:val="xl30"/>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center"/>
    </w:pPr>
    <w:rPr>
      <w:rFonts w:ascii="宋体" w:hAnsi="宋体" w:cs="宋体"/>
      <w:kern w:val="0"/>
      <w:sz w:val="24"/>
      <w:szCs w:val="24"/>
    </w:rPr>
  </w:style>
  <w:style w:type="paragraph" w:customStyle="1" w:styleId="664">
    <w:name w:val="CM28"/>
    <w:basedOn w:val="290"/>
    <w:next w:val="290"/>
    <w:qFormat/>
    <w:uiPriority w:val="0"/>
    <w:pPr>
      <w:autoSpaceDE w:val="0"/>
      <w:autoSpaceDN w:val="0"/>
      <w:adjustRightInd w:val="0"/>
      <w:spacing w:after="825" w:afterLines="0"/>
    </w:pPr>
    <w:rPr>
      <w:rFonts w:ascii="HYDaHeiJ" w:eastAsia="HYDaHeiJ"/>
      <w:color w:val="auto"/>
      <w:lang w:eastAsia="zh-CN"/>
    </w:rPr>
  </w:style>
  <w:style w:type="paragraph" w:customStyle="1" w:styleId="665">
    <w:name w:val="Item Step in Table"/>
    <w:basedOn w:val="1"/>
    <w:qFormat/>
    <w:uiPriority w:val="0"/>
    <w:pPr>
      <w:tabs>
        <w:tab w:val="left" w:pos="420"/>
      </w:tabs>
      <w:ind w:left="420" w:hanging="420"/>
      <w:jc w:val="left"/>
    </w:pPr>
    <w:rPr>
      <w:szCs w:val="24"/>
    </w:rPr>
  </w:style>
  <w:style w:type="paragraph" w:customStyle="1" w:styleId="666">
    <w:name w:val="纯文本1"/>
    <w:basedOn w:val="1"/>
    <w:qFormat/>
    <w:uiPriority w:val="0"/>
    <w:pPr>
      <w:ind w:firstLine="560" w:firstLineChars="200"/>
    </w:pPr>
    <w:rPr>
      <w:rFonts w:ascii="宋体" w:hAnsi="宋体"/>
      <w:sz w:val="24"/>
    </w:rPr>
  </w:style>
  <w:style w:type="paragraph" w:customStyle="1" w:styleId="667">
    <w:name w:val="xl119"/>
    <w:basedOn w:val="1"/>
    <w:qFormat/>
    <w:uiPriority w:val="0"/>
    <w:pPr>
      <w:widowControl/>
      <w:pBdr>
        <w:left w:val="single" w:color="auto" w:sz="4" w:space="0"/>
        <w:bottom w:val="single" w:color="auto" w:sz="4" w:space="0"/>
        <w:right w:val="single" w:color="auto" w:sz="4" w:space="0"/>
      </w:pBdr>
      <w:shd w:val="clear" w:color="000000" w:fill="FFFF00"/>
      <w:spacing w:before="100" w:beforeLines="0" w:beforeAutospacing="1" w:after="100" w:afterLines="0" w:afterAutospacing="1"/>
      <w:jc w:val="left"/>
      <w:textAlignment w:val="center"/>
    </w:pPr>
    <w:rPr>
      <w:rFonts w:ascii="宋体" w:hAnsi="宋体" w:cs="宋体"/>
      <w:color w:val="000000"/>
      <w:kern w:val="0"/>
      <w:sz w:val="20"/>
    </w:rPr>
  </w:style>
  <w:style w:type="paragraph" w:customStyle="1" w:styleId="668">
    <w:name w:val="CM6"/>
    <w:basedOn w:val="290"/>
    <w:next w:val="290"/>
    <w:qFormat/>
    <w:uiPriority w:val="0"/>
    <w:pPr>
      <w:autoSpaceDE w:val="0"/>
      <w:autoSpaceDN w:val="0"/>
      <w:adjustRightInd w:val="0"/>
      <w:spacing w:line="300" w:lineRule="atLeast"/>
    </w:pPr>
    <w:rPr>
      <w:rFonts w:ascii="HYDaHeiJ" w:eastAsia="HYDaHeiJ"/>
      <w:color w:val="auto"/>
      <w:lang w:eastAsia="zh-CN"/>
    </w:rPr>
  </w:style>
  <w:style w:type="paragraph" w:customStyle="1" w:styleId="669">
    <w:name w:val="xl59"/>
    <w:basedOn w:val="1"/>
    <w:qFormat/>
    <w:uiPriority w:val="0"/>
    <w:pPr>
      <w:widowControl/>
      <w:shd w:val="clear" w:color="auto" w:fill="FFFF00"/>
      <w:spacing w:before="100" w:beforeLines="0" w:beforeAutospacing="1" w:after="100" w:afterLines="0" w:afterAutospacing="1"/>
      <w:jc w:val="right"/>
    </w:pPr>
    <w:rPr>
      <w:rFonts w:ascii="宋体" w:hAnsi="宋体"/>
      <w:kern w:val="0"/>
      <w:sz w:val="20"/>
    </w:rPr>
  </w:style>
  <w:style w:type="paragraph" w:customStyle="1" w:styleId="670">
    <w:name w:val="正文表格"/>
    <w:basedOn w:val="1"/>
    <w:qFormat/>
    <w:uiPriority w:val="0"/>
    <w:pPr>
      <w:adjustRightInd w:val="0"/>
      <w:spacing w:before="40" w:beforeLines="0" w:after="40" w:afterLines="0"/>
      <w:textAlignment w:val="baseline"/>
    </w:pPr>
    <w:rPr>
      <w:rFonts w:ascii="宋体" w:hAnsi="宋体"/>
      <w:snapToGrid w:val="0"/>
      <w:kern w:val="0"/>
      <w:sz w:val="24"/>
    </w:rPr>
  </w:style>
  <w:style w:type="paragraph" w:customStyle="1" w:styleId="671">
    <w:name w:val="项目符号1"/>
    <w:basedOn w:val="1"/>
    <w:qFormat/>
    <w:uiPriority w:val="0"/>
    <w:pPr>
      <w:tabs>
        <w:tab w:val="left" w:pos="1560"/>
      </w:tabs>
      <w:spacing w:line="312" w:lineRule="atLeast"/>
      <w:ind w:left="1560" w:hanging="720"/>
    </w:pPr>
  </w:style>
  <w:style w:type="paragraph" w:customStyle="1" w:styleId="672">
    <w:name w:val="样式 正文文本正文文字 + 首行缩进:  2 字符"/>
    <w:basedOn w:val="32"/>
    <w:qFormat/>
    <w:uiPriority w:val="0"/>
    <w:pPr>
      <w:autoSpaceDE w:val="0"/>
      <w:autoSpaceDN w:val="0"/>
      <w:adjustRightInd w:val="0"/>
      <w:spacing w:before="60" w:beforeLines="0" w:after="60" w:afterLines="0" w:line="460" w:lineRule="exact"/>
      <w:ind w:firstLine="200" w:firstLineChars="200"/>
      <w:jc w:val="left"/>
      <w:textAlignment w:val="baseline"/>
    </w:pPr>
    <w:rPr>
      <w:rFonts w:ascii="宋体" w:hAnsi="Arial"/>
      <w:kern w:val="0"/>
      <w:sz w:val="24"/>
      <w:lang w:val="en-GB"/>
    </w:rPr>
  </w:style>
  <w:style w:type="paragraph" w:customStyle="1" w:styleId="673">
    <w:name w:val="xl113"/>
    <w:basedOn w:val="1"/>
    <w:qFormat/>
    <w:uiPriority w:val="0"/>
    <w:pPr>
      <w:widowControl/>
      <w:pBdr>
        <w:bottom w:val="single" w:color="auto" w:sz="4" w:space="0"/>
        <w:right w:val="single" w:color="auto" w:sz="4" w:space="0"/>
      </w:pBdr>
      <w:spacing w:before="100" w:beforeLines="0" w:beforeAutospacing="1" w:after="100" w:afterLines="0" w:afterAutospacing="1"/>
      <w:jc w:val="left"/>
    </w:pPr>
    <w:rPr>
      <w:rFonts w:ascii="宋体" w:hAnsi="宋体" w:cs="宋体"/>
      <w:kern w:val="0"/>
      <w:sz w:val="24"/>
      <w:szCs w:val="24"/>
    </w:rPr>
  </w:style>
  <w:style w:type="paragraph" w:customStyle="1" w:styleId="674">
    <w:name w:val="xl49"/>
    <w:basedOn w:val="1"/>
    <w:qFormat/>
    <w:uiPriority w:val="0"/>
    <w:pPr>
      <w:widowControl/>
      <w:pBdr>
        <w:top w:val="single" w:color="auto" w:sz="4" w:space="0"/>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0"/>
    </w:rPr>
  </w:style>
  <w:style w:type="paragraph" w:customStyle="1" w:styleId="675">
    <w:name w:val="样式 标题 2 + 左侧:  0.74 厘米 首行缩进:  0 厘米 段前: 7.75 磅 段后: 7.75 磅 行距:..."/>
    <w:basedOn w:val="6"/>
    <w:qFormat/>
    <w:uiPriority w:val="0"/>
    <w:pPr>
      <w:tabs>
        <w:tab w:val="left" w:pos="1565"/>
      </w:tabs>
      <w:spacing w:before="155" w:beforeLines="0" w:after="155" w:afterLines="0" w:line="440" w:lineRule="exact"/>
      <w:ind w:left="1412" w:hanging="567"/>
    </w:pPr>
    <w:rPr>
      <w:bCs w:val="0"/>
      <w:szCs w:val="20"/>
    </w:rPr>
  </w:style>
  <w:style w:type="paragraph" w:customStyle="1" w:styleId="676">
    <w:name w:val="red_txt_style"/>
    <w:basedOn w:val="1"/>
    <w:qFormat/>
    <w:uiPriority w:val="0"/>
    <w:pPr>
      <w:widowControl/>
      <w:spacing w:before="120" w:beforeLines="0" w:after="120" w:afterLines="0"/>
      <w:jc w:val="left"/>
    </w:pPr>
    <w:rPr>
      <w:rFonts w:ascii="宋体" w:hAnsi="宋体" w:cs="宋体"/>
      <w:kern w:val="0"/>
      <w:sz w:val="24"/>
      <w:szCs w:val="24"/>
    </w:rPr>
  </w:style>
  <w:style w:type="paragraph" w:customStyle="1" w:styleId="677">
    <w:name w:val="_Style 673"/>
    <w:basedOn w:val="1"/>
    <w:next w:val="1"/>
    <w:qFormat/>
    <w:uiPriority w:val="0"/>
    <w:pPr>
      <w:widowControl/>
      <w:pBdr>
        <w:bottom w:val="single" w:color="auto" w:sz="6" w:space="1"/>
      </w:pBdr>
      <w:jc w:val="center"/>
    </w:pPr>
    <w:rPr>
      <w:rFonts w:ascii="Arial" w:hAnsi="Arial" w:cs="Arial"/>
      <w:vanish/>
      <w:kern w:val="0"/>
      <w:sz w:val="16"/>
      <w:szCs w:val="16"/>
    </w:rPr>
  </w:style>
  <w:style w:type="paragraph" w:customStyle="1" w:styleId="678">
    <w:name w:val=" Char Char1 Char Char Char Char Char Char Char Char Char Char Char Char Char Char Char Char Char Char Char Char"/>
    <w:basedOn w:val="1"/>
    <w:qFormat/>
    <w:uiPriority w:val="0"/>
    <w:pPr>
      <w:keepNext/>
      <w:keepLines/>
      <w:adjustRightInd w:val="0"/>
      <w:spacing w:before="312" w:beforeLines="100" w:after="312" w:afterLines="100" w:line="300" w:lineRule="auto"/>
      <w:ind w:firstLine="200" w:firstLineChars="200"/>
      <w:textAlignment w:val="center"/>
    </w:pPr>
    <w:rPr>
      <w:rFonts w:ascii="仿宋_GB2312" w:hAnsi="宋体" w:eastAsia="仿宋_GB2312"/>
      <w:kern w:val="0"/>
      <w:sz w:val="24"/>
    </w:rPr>
  </w:style>
  <w:style w:type="paragraph" w:customStyle="1" w:styleId="679">
    <w:name w:val="样式 标题 2 + (符号) 宋体"/>
    <w:basedOn w:val="6"/>
    <w:qFormat/>
    <w:uiPriority w:val="0"/>
    <w:pPr>
      <w:adjustRightInd w:val="0"/>
      <w:spacing w:before="100" w:beforeLines="0" w:beforeAutospacing="1" w:after="100" w:afterLines="0" w:afterAutospacing="1" w:line="440" w:lineRule="exact"/>
      <w:textAlignment w:val="baseline"/>
    </w:pPr>
    <w:rPr>
      <w:rFonts w:ascii="宋体" w:eastAsia="宋体"/>
      <w:kern w:val="44"/>
      <w:szCs w:val="20"/>
    </w:rPr>
  </w:style>
  <w:style w:type="paragraph" w:customStyle="1" w:styleId="680">
    <w:name w:val="版权页资料信息"/>
    <w:qFormat/>
    <w:uiPriority w:val="0"/>
    <w:pPr>
      <w:tabs>
        <w:tab w:val="right" w:pos="945"/>
        <w:tab w:val="left" w:pos="1155"/>
      </w:tabs>
      <w:spacing w:line="300" w:lineRule="auto"/>
    </w:pPr>
    <w:rPr>
      <w:rFonts w:ascii="宋体" w:hAnsi="Times New Roman" w:eastAsia="宋体" w:cs="Times New Roman"/>
      <w:sz w:val="24"/>
      <w:lang w:val="en-US" w:eastAsia="zh-CN" w:bidi="ar-SA"/>
    </w:rPr>
  </w:style>
  <w:style w:type="paragraph" w:customStyle="1" w:styleId="681">
    <w:name w:val="汉仪细等线简9BOLD"/>
    <w:basedOn w:val="1"/>
    <w:qFormat/>
    <w:uiPriority w:val="0"/>
    <w:pPr>
      <w:autoSpaceDE w:val="0"/>
      <w:autoSpaceDN w:val="0"/>
      <w:adjustRightInd w:val="0"/>
      <w:spacing w:line="240" w:lineRule="atLeast"/>
    </w:pPr>
    <w:rPr>
      <w:rFonts w:ascii="汉仪细等线简" w:eastAsia="汉仪细等线简"/>
      <w:b/>
      <w:kern w:val="0"/>
      <w:sz w:val="18"/>
    </w:rPr>
  </w:style>
  <w:style w:type="paragraph" w:customStyle="1" w:styleId="682">
    <w:name w:val="样式 (西文) 宋体 首行缩进:  2 字符 Char"/>
    <w:basedOn w:val="1"/>
    <w:qFormat/>
    <w:uiPriority w:val="0"/>
    <w:pPr>
      <w:spacing w:line="360" w:lineRule="auto"/>
      <w:ind w:firstLine="480" w:firstLineChars="200"/>
    </w:pPr>
    <w:rPr>
      <w:rFonts w:ascii="宋体"/>
      <w:sz w:val="24"/>
    </w:rPr>
  </w:style>
  <w:style w:type="paragraph" w:customStyle="1" w:styleId="683">
    <w:name w:val="list1"/>
    <w:basedOn w:val="366"/>
    <w:qFormat/>
    <w:uiPriority w:val="0"/>
    <w:pPr>
      <w:ind w:left="1242" w:hanging="397"/>
    </w:pPr>
    <w:rPr>
      <w:rFonts w:ascii="宋体" w:eastAsia="宋体"/>
      <w:color w:val="000000"/>
      <w:kern w:val="2"/>
      <w:sz w:val="24"/>
    </w:rPr>
  </w:style>
  <w:style w:type="paragraph" w:customStyle="1" w:styleId="684">
    <w:name w:val="xl23"/>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685">
    <w:name w:val=" Char Char Char Char Char Char Char"/>
    <w:basedOn w:val="1"/>
    <w:qFormat/>
    <w:uiPriority w:val="0"/>
    <w:pPr>
      <w:widowControl/>
      <w:spacing w:after="160" w:afterLines="0" w:line="240" w:lineRule="exact"/>
      <w:jc w:val="left"/>
    </w:pPr>
    <w:rPr>
      <w:rFonts w:ascii="Verdana" w:hAnsi="Verdana"/>
      <w:kern w:val="0"/>
      <w:lang w:eastAsia="en-US"/>
    </w:rPr>
  </w:style>
  <w:style w:type="paragraph" w:customStyle="1" w:styleId="686">
    <w:name w:val="样式 标题 1(F2)titre niveau 1Section Headh11st levell1H11H12...2"/>
    <w:basedOn w:val="5"/>
    <w:qFormat/>
    <w:uiPriority w:val="0"/>
    <w:pPr>
      <w:keepLines w:val="0"/>
      <w:widowControl/>
      <w:snapToGrid w:val="0"/>
      <w:spacing w:before="156" w:beforeLines="50" w:after="312" w:afterLines="100" w:line="360" w:lineRule="auto"/>
      <w:jc w:val="center"/>
    </w:pPr>
    <w:rPr>
      <w:rFonts w:ascii="Arial" w:hAnsi="Arial" w:eastAsia="黑体"/>
      <w:bCs w:val="0"/>
      <w:kern w:val="0"/>
      <w:sz w:val="28"/>
      <w:szCs w:val="20"/>
    </w:rPr>
  </w:style>
  <w:style w:type="paragraph" w:customStyle="1" w:styleId="687">
    <w:name w:val="xl74"/>
    <w:basedOn w:val="1"/>
    <w:qFormat/>
    <w:uiPriority w:val="0"/>
    <w:pPr>
      <w:widowControl/>
      <w:pBdr>
        <w:top w:val="single" w:color="auto" w:sz="4" w:space="0"/>
        <w:left w:val="single" w:color="auto" w:sz="4" w:space="0"/>
        <w:bottom w:val="single" w:color="auto" w:sz="8" w:space="0"/>
      </w:pBdr>
      <w:shd w:val="clear" w:color="auto" w:fill="FFFF00"/>
      <w:spacing w:before="100" w:beforeLines="0" w:beforeAutospacing="1" w:after="100" w:afterLines="0" w:afterAutospacing="1"/>
      <w:jc w:val="right"/>
    </w:pPr>
    <w:rPr>
      <w:rFonts w:ascii="宋体" w:hAnsi="宋体"/>
      <w:kern w:val="0"/>
      <w:sz w:val="20"/>
    </w:rPr>
  </w:style>
  <w:style w:type="paragraph" w:customStyle="1" w:styleId="688">
    <w:name w:val="xl116"/>
    <w:basedOn w:val="1"/>
    <w:qFormat/>
    <w:uiPriority w:val="0"/>
    <w:pPr>
      <w:widowControl/>
      <w:pBdr>
        <w:top w:val="single" w:color="auto" w:sz="4" w:space="0"/>
        <w:left w:val="single" w:color="auto" w:sz="4" w:space="0"/>
        <w:bottom w:val="single" w:color="auto" w:sz="4" w:space="0"/>
      </w:pBdr>
      <w:shd w:val="pct10" w:color="000000" w:fill="33CCCC"/>
      <w:spacing w:before="100" w:beforeLines="0" w:beforeAutospacing="1" w:after="100" w:afterLines="0" w:afterAutospacing="1"/>
      <w:jc w:val="center"/>
      <w:textAlignment w:val="center"/>
    </w:pPr>
    <w:rPr>
      <w:rFonts w:ascii="黑体" w:hAnsi="宋体" w:eastAsia="黑体" w:cs="宋体"/>
      <w:b/>
      <w:bCs/>
      <w:kern w:val="0"/>
      <w:sz w:val="24"/>
      <w:szCs w:val="24"/>
    </w:rPr>
  </w:style>
  <w:style w:type="paragraph" w:customStyle="1" w:styleId="689">
    <w:name w:val="内容1"/>
    <w:basedOn w:val="1"/>
    <w:qFormat/>
    <w:uiPriority w:val="0"/>
    <w:pPr>
      <w:tabs>
        <w:tab w:val="left" w:pos="420"/>
      </w:tabs>
      <w:spacing w:line="480" w:lineRule="auto"/>
      <w:ind w:left="420" w:hanging="420"/>
    </w:pPr>
    <w:rPr>
      <w:rFonts w:ascii="宋体" w:hAnsi="宋体"/>
      <w:b/>
    </w:rPr>
  </w:style>
  <w:style w:type="paragraph" w:customStyle="1" w:styleId="690">
    <w:name w:val="正文中的小标题"/>
    <w:basedOn w:val="1"/>
    <w:qFormat/>
    <w:uiPriority w:val="0"/>
    <w:pPr>
      <w:spacing w:line="400" w:lineRule="exact"/>
      <w:ind w:left="2835"/>
    </w:pPr>
    <w:rPr>
      <w:rFonts w:ascii="Arial" w:hAnsi="Arial" w:eastAsia="黑体"/>
      <w:b/>
      <w:spacing w:val="10"/>
    </w:rPr>
  </w:style>
  <w:style w:type="paragraph" w:customStyle="1" w:styleId="691">
    <w:name w:val="xl64"/>
    <w:basedOn w:val="1"/>
    <w:qFormat/>
    <w:uiPriority w:val="0"/>
    <w:pPr>
      <w:widowControl/>
      <w:pBdr>
        <w:top w:val="single" w:color="auto" w:sz="4" w:space="0"/>
        <w:left w:val="single" w:color="auto" w:sz="4" w:space="0"/>
        <w:bottom w:val="single" w:color="auto" w:sz="4" w:space="0"/>
        <w:right w:val="single" w:color="auto" w:sz="8" w:space="0"/>
      </w:pBdr>
      <w:shd w:val="clear" w:color="auto" w:fill="FFFF00"/>
      <w:spacing w:before="100" w:beforeLines="0" w:beforeAutospacing="1" w:after="100" w:afterLines="0" w:afterAutospacing="1"/>
      <w:jc w:val="right"/>
    </w:pPr>
    <w:rPr>
      <w:rFonts w:ascii="宋体" w:hAnsi="宋体"/>
      <w:kern w:val="0"/>
      <w:sz w:val="20"/>
    </w:rPr>
  </w:style>
  <w:style w:type="paragraph" w:customStyle="1" w:styleId="692">
    <w:name w:val="CM11"/>
    <w:basedOn w:val="290"/>
    <w:next w:val="290"/>
    <w:qFormat/>
    <w:uiPriority w:val="0"/>
    <w:pPr>
      <w:autoSpaceDE w:val="0"/>
      <w:autoSpaceDN w:val="0"/>
      <w:adjustRightInd w:val="0"/>
      <w:spacing w:line="300" w:lineRule="atLeast"/>
    </w:pPr>
    <w:rPr>
      <w:rFonts w:ascii="Arial Black" w:hAnsi="Arial Black" w:eastAsia="宋体"/>
      <w:color w:val="auto"/>
      <w:sz w:val="20"/>
      <w:lang w:eastAsia="zh-CN"/>
    </w:rPr>
  </w:style>
  <w:style w:type="paragraph" w:customStyle="1" w:styleId="693">
    <w:name w:val=" Char Char2 Char Char Char Char Char Char"/>
    <w:basedOn w:val="1"/>
    <w:qFormat/>
    <w:uiPriority w:val="0"/>
    <w:pPr>
      <w:widowControl/>
      <w:spacing w:after="160" w:line="240" w:lineRule="exact"/>
      <w:jc w:val="left"/>
    </w:pPr>
    <w:rPr>
      <w:rFonts w:ascii="宋体" w:hAnsi="宋体"/>
      <w:b/>
      <w:sz w:val="24"/>
    </w:rPr>
  </w:style>
  <w:style w:type="paragraph" w:customStyle="1" w:styleId="694">
    <w:name w:val="_Style 690"/>
    <w:basedOn w:val="1"/>
    <w:next w:val="1"/>
    <w:qFormat/>
    <w:uiPriority w:val="0"/>
    <w:pPr>
      <w:widowControl/>
      <w:pBdr>
        <w:top w:val="single" w:color="auto" w:sz="6" w:space="1"/>
      </w:pBdr>
      <w:jc w:val="center"/>
    </w:pPr>
    <w:rPr>
      <w:rFonts w:ascii="Arial" w:hAnsi="Arial" w:cs="Arial"/>
      <w:vanish/>
      <w:kern w:val="0"/>
      <w:sz w:val="16"/>
      <w:szCs w:val="16"/>
    </w:rPr>
  </w:style>
  <w:style w:type="paragraph" w:customStyle="1" w:styleId="695">
    <w:name w:val="Item List"/>
    <w:basedOn w:val="1"/>
    <w:qFormat/>
    <w:uiPriority w:val="0"/>
    <w:pPr>
      <w:numPr>
        <w:ilvl w:val="0"/>
        <w:numId w:val="9"/>
      </w:numPr>
      <w:tabs>
        <w:tab w:val="left" w:pos="420"/>
        <w:tab w:val="clear" w:pos="720"/>
      </w:tabs>
      <w:snapToGrid w:val="0"/>
      <w:spacing w:after="156" w:afterLines="50"/>
      <w:ind w:left="1701" w:hanging="567"/>
      <w:jc w:val="left"/>
    </w:pPr>
    <w:rPr>
      <w:szCs w:val="24"/>
    </w:rPr>
  </w:style>
  <w:style w:type="paragraph" w:customStyle="1" w:styleId="696">
    <w:name w:val="正文内容"/>
    <w:basedOn w:val="32"/>
    <w:qFormat/>
    <w:uiPriority w:val="0"/>
    <w:pPr>
      <w:adjustRightInd w:val="0"/>
      <w:snapToGrid w:val="0"/>
      <w:spacing w:before="156" w:beforeLines="50" w:after="156" w:afterLines="50" w:line="400" w:lineRule="exact"/>
      <w:ind w:firstLine="505" w:firstLineChars="200"/>
      <w:textAlignment w:val="baseline"/>
    </w:pPr>
    <w:rPr>
      <w:rFonts w:ascii="宋体" w:hAnsi="宋体"/>
      <w:color w:val="000000"/>
      <w:spacing w:val="10"/>
      <w:kern w:val="0"/>
      <w:sz w:val="24"/>
    </w:rPr>
  </w:style>
  <w:style w:type="paragraph" w:customStyle="1" w:styleId="697">
    <w:name w:val="xl51"/>
    <w:basedOn w:val="1"/>
    <w:qFormat/>
    <w:uiPriority w:val="0"/>
    <w:pPr>
      <w:widowControl/>
      <w:spacing w:before="100" w:beforeLines="0" w:beforeAutospacing="1" w:after="100" w:afterLines="0" w:afterAutospacing="1" w:line="360" w:lineRule="auto"/>
      <w:ind w:firstLine="425"/>
      <w:jc w:val="center"/>
      <w:textAlignment w:val="center"/>
    </w:pPr>
    <w:rPr>
      <w:rFonts w:hint="eastAsia" w:ascii="黑体" w:hAnsi="Arial Unicode MS" w:eastAsia="黑体"/>
      <w:kern w:val="0"/>
      <w:sz w:val="24"/>
    </w:rPr>
  </w:style>
  <w:style w:type="paragraph" w:customStyle="1" w:styleId="698">
    <w:name w:val="section1"/>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699">
    <w:name w:val="OT_Body_Text Bullet"/>
    <w:basedOn w:val="1"/>
    <w:qFormat/>
    <w:uiPriority w:val="0"/>
    <w:pPr>
      <w:widowControl/>
      <w:ind w:left="720"/>
    </w:pPr>
    <w:rPr>
      <w:rFonts w:ascii="Arial" w:hAnsi="Arial" w:eastAsia="PMingLiU"/>
      <w:kern w:val="0"/>
      <w:sz w:val="20"/>
      <w:lang w:eastAsia="en-US"/>
    </w:rPr>
  </w:style>
  <w:style w:type="paragraph" w:customStyle="1" w:styleId="700">
    <w:name w:val=" Char Char1 Char Char Char Char Char Char Char Char Char Char Char Char Char Char Char Char Char Char Char Char Char Char Char Char Char Char Char Char Char Char Char Char Char Char Char Char Char Char Char"/>
    <w:basedOn w:val="1"/>
    <w:qFormat/>
    <w:uiPriority w:val="0"/>
    <w:pPr>
      <w:keepNext/>
      <w:keepLines/>
      <w:adjustRightInd w:val="0"/>
      <w:spacing w:before="312" w:beforeLines="100" w:after="312" w:afterLines="100" w:line="300" w:lineRule="auto"/>
      <w:ind w:firstLine="200" w:firstLineChars="200"/>
      <w:textAlignment w:val="center"/>
    </w:pPr>
    <w:rPr>
      <w:rFonts w:ascii="仿宋_GB2312" w:hAnsi="宋体" w:eastAsia="仿宋_GB2312"/>
      <w:kern w:val="0"/>
      <w:sz w:val="24"/>
    </w:rPr>
  </w:style>
  <w:style w:type="paragraph" w:customStyle="1" w:styleId="701">
    <w:name w:val="graph"/>
    <w:basedOn w:val="32"/>
    <w:qFormat/>
    <w:uiPriority w:val="0"/>
    <w:pPr>
      <w:adjustRightInd w:val="0"/>
      <w:spacing w:line="360" w:lineRule="auto"/>
      <w:ind w:right="74"/>
      <w:jc w:val="center"/>
      <w:textAlignment w:val="baseline"/>
    </w:pPr>
    <w:rPr>
      <w:kern w:val="0"/>
      <w:sz w:val="24"/>
    </w:rPr>
  </w:style>
  <w:style w:type="paragraph" w:customStyle="1" w:styleId="702">
    <w:name w:val="p18"/>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703">
    <w:name w:val="特点反白字"/>
    <w:qFormat/>
    <w:uiPriority w:val="0"/>
    <w:pPr>
      <w:autoSpaceDE w:val="0"/>
      <w:autoSpaceDN w:val="0"/>
      <w:adjustRightInd w:val="0"/>
      <w:ind w:left="198"/>
      <w:jc w:val="both"/>
    </w:pPr>
    <w:rPr>
      <w:rFonts w:ascii="汉鼎简中等线Arial" w:hAnsi="Times New Roman" w:eastAsia="汉鼎简中等线Arial" w:cs="Times New Roman"/>
      <w:color w:val="FFFFFF"/>
      <w:sz w:val="16"/>
      <w:szCs w:val="16"/>
      <w:lang w:val="en-US" w:eastAsia="en-US" w:bidi="ar-SA"/>
    </w:rPr>
  </w:style>
  <w:style w:type="paragraph" w:customStyle="1" w:styleId="704">
    <w:name w:val="段"/>
    <w:qFormat/>
    <w:uiPriority w:val="0"/>
    <w:pPr>
      <w:widowControl w:val="0"/>
      <w:suppressAutoHyphens/>
      <w:autoSpaceDE w:val="0"/>
      <w:ind w:firstLine="200"/>
      <w:jc w:val="both"/>
    </w:pPr>
    <w:rPr>
      <w:rFonts w:ascii="宋体" w:hAnsi="宋体" w:eastAsia="宋体" w:cs="Times New Roman"/>
      <w:sz w:val="21"/>
      <w:lang w:val="en-US" w:bidi="ar-SA"/>
    </w:rPr>
  </w:style>
  <w:style w:type="paragraph" w:customStyle="1" w:styleId="705">
    <w:name w:val="xl82"/>
    <w:basedOn w:val="1"/>
    <w:qFormat/>
    <w:uiPriority w:val="0"/>
    <w:pPr>
      <w:widowControl/>
      <w:pBdr>
        <w:top w:val="single" w:color="auto" w:sz="4" w:space="0"/>
        <w:left w:val="single" w:color="auto" w:sz="4" w:space="0"/>
        <w:bottom w:val="single" w:color="auto" w:sz="4" w:space="0"/>
      </w:pBdr>
      <w:shd w:val="clear" w:color="auto" w:fill="CCFFFF"/>
      <w:spacing w:before="100" w:beforeLines="0" w:beforeAutospacing="1" w:after="100" w:afterLines="0" w:afterAutospacing="1"/>
      <w:jc w:val="center"/>
      <w:textAlignment w:val="center"/>
    </w:pPr>
    <w:rPr>
      <w:rFonts w:ascii="黑体" w:hAnsi="宋体" w:eastAsia="黑体" w:cs="宋体"/>
      <w:b/>
      <w:bCs/>
      <w:kern w:val="0"/>
      <w:sz w:val="22"/>
      <w:szCs w:val="22"/>
    </w:rPr>
  </w:style>
  <w:style w:type="paragraph" w:customStyle="1" w:styleId="706">
    <w:name w:val="扉页产品名称"/>
    <w:qFormat/>
    <w:uiPriority w:val="0"/>
    <w:pPr>
      <w:autoSpaceDE w:val="0"/>
      <w:autoSpaceDN w:val="0"/>
      <w:spacing w:after="60" w:line="360" w:lineRule="auto"/>
      <w:ind w:left="360" w:firstLine="540"/>
      <w:jc w:val="both"/>
      <w:textAlignment w:val="bottom"/>
    </w:pPr>
    <w:rPr>
      <w:rFonts w:ascii="宋体" w:hAnsi="宋体" w:eastAsia="宋体" w:cs="Times New Roman"/>
      <w:sz w:val="24"/>
      <w:lang w:val="en-US" w:eastAsia="zh-CN" w:bidi="ar-SA"/>
    </w:rPr>
  </w:style>
  <w:style w:type="paragraph" w:customStyle="1" w:styleId="707">
    <w:name w:val="Definition List"/>
    <w:basedOn w:val="1"/>
    <w:next w:val="593"/>
    <w:qFormat/>
    <w:uiPriority w:val="0"/>
    <w:pPr>
      <w:widowControl/>
      <w:ind w:left="360"/>
      <w:jc w:val="left"/>
    </w:pPr>
    <w:rPr>
      <w:snapToGrid w:val="0"/>
      <w:kern w:val="0"/>
      <w:sz w:val="24"/>
      <w:lang w:eastAsia="en-US"/>
    </w:rPr>
  </w:style>
  <w:style w:type="paragraph" w:customStyle="1" w:styleId="708">
    <w:name w:val=" Char Char Char1 Char Char Char Char"/>
    <w:basedOn w:val="1"/>
    <w:qFormat/>
    <w:uiPriority w:val="0"/>
    <w:rPr>
      <w:rFonts w:ascii="Tahoma" w:hAnsi="Tahoma"/>
      <w:sz w:val="24"/>
    </w:rPr>
  </w:style>
  <w:style w:type="paragraph" w:customStyle="1" w:styleId="709">
    <w:name w:val="标书正文样式"/>
    <w:basedOn w:val="1"/>
    <w:qFormat/>
    <w:uiPriority w:val="0"/>
    <w:pPr>
      <w:spacing w:after="100" w:afterLines="0" w:afterAutospacing="1" w:line="360" w:lineRule="auto"/>
      <w:ind w:firstLine="480" w:firstLineChars="200"/>
    </w:pPr>
    <w:rPr>
      <w:sz w:val="24"/>
    </w:rPr>
  </w:style>
  <w:style w:type="paragraph" w:customStyle="1" w:styleId="710">
    <w:name w:val="本文項目"/>
    <w:basedOn w:val="1"/>
    <w:qFormat/>
    <w:uiPriority w:val="0"/>
    <w:pPr>
      <w:numPr>
        <w:ilvl w:val="0"/>
        <w:numId w:val="26"/>
      </w:numPr>
      <w:autoSpaceDE w:val="0"/>
      <w:autoSpaceDN w:val="0"/>
      <w:adjustRightInd w:val="0"/>
      <w:spacing w:line="360" w:lineRule="auto"/>
      <w:textAlignment w:val="baseline"/>
    </w:pPr>
    <w:rPr>
      <w:kern w:val="0"/>
      <w:sz w:val="24"/>
      <w:szCs w:val="24"/>
      <w:lang w:eastAsia="zh-TW"/>
    </w:rPr>
  </w:style>
  <w:style w:type="paragraph" w:customStyle="1" w:styleId="711">
    <w:name w:val="xl118"/>
    <w:basedOn w:val="1"/>
    <w:qFormat/>
    <w:uiPriority w:val="0"/>
    <w:pPr>
      <w:widowControl/>
      <w:pBdr>
        <w:top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cs="宋体"/>
      <w:kern w:val="0"/>
      <w:sz w:val="24"/>
      <w:szCs w:val="24"/>
    </w:rPr>
  </w:style>
  <w:style w:type="paragraph" w:customStyle="1" w:styleId="712">
    <w:name w:val=" Char Char2 Char Char Char Char"/>
    <w:basedOn w:val="1"/>
    <w:qFormat/>
    <w:uiPriority w:val="0"/>
    <w:pPr>
      <w:widowControl/>
      <w:spacing w:after="160" w:line="240" w:lineRule="exact"/>
      <w:jc w:val="left"/>
    </w:pPr>
    <w:rPr>
      <w:rFonts w:ascii="宋体" w:hAnsi="宋体"/>
      <w:b/>
      <w:sz w:val="24"/>
    </w:rPr>
  </w:style>
  <w:style w:type="character" w:customStyle="1" w:styleId="713">
    <w:name w:val="NormalCharacter"/>
    <w:qFormat/>
    <w:uiPriority w:val="0"/>
    <w:rPr>
      <w:kern w:val="2"/>
      <w:sz w:val="21"/>
      <w:lang w:val="en-US" w:eastAsia="zh-CN" w:bidi="ar-SA"/>
    </w:rPr>
  </w:style>
  <w:style w:type="paragraph" w:customStyle="1" w:styleId="714">
    <w:name w:val="Table Paragraph"/>
    <w:basedOn w:val="1"/>
    <w:qFormat/>
    <w:uiPriority w:val="1"/>
    <w:rPr>
      <w:rFonts w:ascii="Times New Roman" w:hAnsi="Times New Roman"/>
    </w:rPr>
  </w:style>
  <w:style w:type="paragraph" w:customStyle="1" w:styleId="715">
    <w:name w:val="Indent Normal"/>
    <w:basedOn w:val="1"/>
    <w:qFormat/>
    <w:uiPriority w:val="0"/>
    <w:pPr>
      <w:ind w:firstLine="150" w:firstLineChars="150"/>
    </w:pPr>
    <w:rPr>
      <w:sz w:val="24"/>
    </w:rPr>
  </w:style>
  <w:style w:type="paragraph" w:customStyle="1" w:styleId="716">
    <w:name w:val="1"/>
    <w:basedOn w:val="1"/>
    <w:qFormat/>
    <w:uiPriority w:val="0"/>
    <w:pPr>
      <w:ind w:firstLine="0" w:firstLineChars="0"/>
    </w:pPr>
  </w:style>
  <w:style w:type="character" w:customStyle="1" w:styleId="717">
    <w:name w:val="样式 仿宋"/>
    <w:qFormat/>
    <w:uiPriority w:val="99"/>
    <w:rPr>
      <w:rFonts w:ascii="仿宋" w:hAnsi="仿宋" w:eastAsia="仿宋"/>
      <w:kern w:val="2"/>
    </w:rPr>
  </w:style>
  <w:style w:type="character" w:customStyle="1" w:styleId="718">
    <w:name w:val="hover25"/>
    <w:basedOn w:val="75"/>
    <w:qFormat/>
    <w:uiPriority w:val="0"/>
    <w:rPr>
      <w:color w:val="315EFB"/>
    </w:rPr>
  </w:style>
  <w:style w:type="character" w:customStyle="1" w:styleId="719">
    <w:name w:val="hover26"/>
    <w:basedOn w:val="75"/>
    <w:qFormat/>
    <w:uiPriority w:val="0"/>
  </w:style>
  <w:style w:type="character" w:customStyle="1" w:styleId="720">
    <w:name w:val="c-icon28"/>
    <w:basedOn w:val="75"/>
    <w:qFormat/>
    <w:uiPriority w:val="0"/>
  </w:style>
  <w:style w:type="character" w:customStyle="1" w:styleId="721">
    <w:name w:val="c-icon26"/>
    <w:basedOn w:val="75"/>
    <w:qFormat/>
    <w:uiPriority w:val="0"/>
  </w:style>
  <w:style w:type="character" w:customStyle="1" w:styleId="722">
    <w:name w:val="first-child1"/>
    <w:basedOn w:val="75"/>
    <w:qFormat/>
    <w:uiPriority w:val="0"/>
  </w:style>
  <w:style w:type="character" w:customStyle="1" w:styleId="723">
    <w:name w:val="first-child"/>
    <w:basedOn w:val="75"/>
    <w:qFormat/>
    <w:uiPriority w:val="0"/>
  </w:style>
  <w:style w:type="character" w:customStyle="1" w:styleId="724">
    <w:name w:val="layui-layer-tabnow"/>
    <w:basedOn w:val="75"/>
    <w:qFormat/>
    <w:uiPriority w:val="0"/>
    <w:rPr>
      <w:bdr w:val="single" w:color="CCCCCC" w:sz="4" w:space="0"/>
      <w:shd w:val="clear" w:fill="FFFFFF"/>
    </w:rPr>
  </w:style>
  <w:style w:type="paragraph" w:customStyle="1" w:styleId="725">
    <w:name w:val="*正文"/>
    <w:basedOn w:val="1"/>
    <w:qFormat/>
    <w:uiPriority w:val="0"/>
    <w:pPr>
      <w:spacing w:line="300" w:lineRule="auto"/>
      <w:ind w:firstLine="480" w:firstLineChars="200"/>
    </w:pPr>
    <w:rPr>
      <w:rFonts w:ascii="宋体" w:hAnsi="宋体"/>
      <w:sz w:val="24"/>
      <w:szCs w:val="24"/>
    </w:rPr>
  </w:style>
  <w:style w:type="paragraph" w:customStyle="1" w:styleId="726">
    <w:name w:val="样式 样式 左侧:  2 字符 + 左侧:  0.85 厘米 首行缩进:  2 字符1"/>
    <w:basedOn w:val="1"/>
    <w:qFormat/>
    <w:uiPriority w:val="0"/>
    <w:pPr>
      <w:ind w:left="482" w:firstLine="200" w:firstLineChars="200"/>
    </w:pPr>
    <w:rPr>
      <w:rFonts w:cs="宋体"/>
    </w:rPr>
  </w:style>
  <w:style w:type="paragraph" w:customStyle="1" w:styleId="727">
    <w:name w:val="列出段落2"/>
    <w:basedOn w:val="1"/>
    <w:qFormat/>
    <w:uiPriority w:val="0"/>
    <w:pPr>
      <w:ind w:firstLine="420" w:firstLineChars="200"/>
    </w:pPr>
    <w:rPr>
      <w:szCs w:val="21"/>
    </w:rPr>
  </w:style>
  <w:style w:type="table" w:customStyle="1" w:styleId="72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numbering.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微软公司</Company>
  <Pages>103</Pages>
  <Words>47204</Words>
  <Characters>49893</Characters>
  <Lines>379</Lines>
  <Paragraphs>106</Paragraphs>
  <TotalTime>3</TotalTime>
  <ScaleCrop>false</ScaleCrop>
  <LinksUpToDate>false</LinksUpToDate>
  <CharactersWithSpaces>53060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2019-05-27T07:09:00Z</dcterms:created>
  <dc:creator>sdf</dc:creator>
  <cp:lastModifiedBy>Hello Sugar</cp:lastModifiedBy>
  <cp:lastPrinted>2021-05-12T07:57:00Z</cp:lastPrinted>
  <dcterms:modified xsi:type="dcterms:W3CDTF">2023-08-22T09:04:58Z</dcterms:modified>
  <dc:title>烟台市政府采购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9185057EAB3F437C802B4B61937C115A_13</vt:lpwstr>
  </property>
  <property fmtid="{D5CDD505-2E9C-101B-9397-08002B2CF9AE}" pid="4" name="commondata">
    <vt:lpwstr>eyJoZGlkIjoiNzg3YzAyZDM0MTZkYzVmMWExZDczZDRlMzhkM2RjZDQifQ==</vt:lpwstr>
  </property>
</Properties>
</file>