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322C7">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一、项目概述</w:t>
      </w:r>
    </w:p>
    <w:p w14:paraId="123F9C3F">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救护车是承担医疗救援任务的专用车，以保障广大患者紧急医疗救援需要为准则，实行全年24小时值班制，在保证安全的同时，迅速完成出车救护任务。为实现医院的质量经营目标，通过救护车辆社会化管理协议的形式约定由社会第三方提供社会化服务。利用采购人现有的救护车辆，通过采购服务降低医院成本，提高运行效率。</w:t>
      </w:r>
    </w:p>
    <w:p w14:paraId="40B34DF3">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本项目预算金额包含人员费用和运行费用：</w:t>
      </w:r>
      <w:r>
        <w:rPr>
          <w:rFonts w:hint="eastAsia" w:ascii="宋体" w:hAnsi="宋体" w:eastAsia="宋体" w:cs="宋体"/>
          <w:b/>
          <w:bCs/>
          <w:color w:val="auto"/>
          <w:sz w:val="24"/>
          <w:szCs w:val="24"/>
          <w:highlight w:val="none"/>
          <w:lang w:val="en-US" w:eastAsia="zh-CN"/>
        </w:rPr>
        <w:t>人员费用34.7万元/年（不少于6人）；运行费用2.2元/公里，年约运行17万公里，服务期为1年。</w:t>
      </w:r>
    </w:p>
    <w:p w14:paraId="6F7446D7">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二、医院现有救护车情况</w:t>
      </w:r>
    </w:p>
    <w:tbl>
      <w:tblPr>
        <w:tblStyle w:val="5"/>
        <w:tblpPr w:leftFromText="180" w:rightFromText="180" w:vertAnchor="text" w:horzAnchor="page" w:tblpX="1171" w:tblpY="488"/>
        <w:tblOverlap w:val="never"/>
        <w:tblW w:w="100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0"/>
        <w:gridCol w:w="885"/>
        <w:gridCol w:w="1515"/>
        <w:gridCol w:w="1005"/>
        <w:gridCol w:w="1290"/>
        <w:gridCol w:w="1800"/>
        <w:gridCol w:w="1440"/>
        <w:gridCol w:w="930"/>
      </w:tblGrid>
      <w:tr w14:paraId="4814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1230" w:type="dxa"/>
            <w:noWrap w:val="0"/>
            <w:vAlign w:val="center"/>
          </w:tcPr>
          <w:p w14:paraId="02698FC9">
            <w:pPr>
              <w:bidi w:val="0"/>
              <w:jc w:val="center"/>
              <w:rPr>
                <w:rFonts w:hint="eastAsia" w:ascii="宋体" w:hAnsi="宋体" w:eastAsia="宋体" w:cs="宋体"/>
                <w:sz w:val="24"/>
                <w:szCs w:val="24"/>
              </w:rPr>
            </w:pPr>
            <w:r>
              <w:rPr>
                <w:rFonts w:hint="eastAsia" w:ascii="宋体" w:hAnsi="宋体" w:eastAsia="宋体" w:cs="宋体"/>
                <w:sz w:val="24"/>
                <w:szCs w:val="24"/>
              </w:rPr>
              <w:t>车牌号</w:t>
            </w:r>
          </w:p>
        </w:tc>
        <w:tc>
          <w:tcPr>
            <w:tcW w:w="885" w:type="dxa"/>
            <w:noWrap w:val="0"/>
            <w:vAlign w:val="center"/>
          </w:tcPr>
          <w:p w14:paraId="0AC19580">
            <w:pPr>
              <w:bidi w:val="0"/>
              <w:jc w:val="center"/>
              <w:rPr>
                <w:rFonts w:hint="eastAsia" w:ascii="宋体" w:hAnsi="宋体" w:eastAsia="宋体" w:cs="宋体"/>
                <w:sz w:val="24"/>
                <w:szCs w:val="24"/>
              </w:rPr>
            </w:pPr>
            <w:r>
              <w:rPr>
                <w:rFonts w:hint="eastAsia" w:ascii="宋体" w:hAnsi="宋体" w:eastAsia="宋体" w:cs="宋体"/>
                <w:sz w:val="24"/>
                <w:szCs w:val="24"/>
              </w:rPr>
              <w:t>品牌</w:t>
            </w:r>
          </w:p>
        </w:tc>
        <w:tc>
          <w:tcPr>
            <w:tcW w:w="1515" w:type="dxa"/>
            <w:noWrap w:val="0"/>
            <w:vAlign w:val="center"/>
          </w:tcPr>
          <w:p w14:paraId="10EF3728">
            <w:pPr>
              <w:bidi w:val="0"/>
              <w:jc w:val="center"/>
              <w:rPr>
                <w:rFonts w:hint="eastAsia" w:ascii="宋体" w:hAnsi="宋体" w:eastAsia="宋体" w:cs="宋体"/>
                <w:sz w:val="24"/>
                <w:szCs w:val="24"/>
              </w:rPr>
            </w:pPr>
            <w:r>
              <w:rPr>
                <w:rFonts w:hint="eastAsia" w:ascii="宋体" w:hAnsi="宋体" w:eastAsia="宋体" w:cs="宋体"/>
                <w:sz w:val="24"/>
                <w:szCs w:val="24"/>
              </w:rPr>
              <w:t>生产厂商</w:t>
            </w:r>
          </w:p>
        </w:tc>
        <w:tc>
          <w:tcPr>
            <w:tcW w:w="1005" w:type="dxa"/>
            <w:noWrap w:val="0"/>
            <w:vAlign w:val="center"/>
          </w:tcPr>
          <w:p w14:paraId="7753304D">
            <w:pPr>
              <w:bidi w:val="0"/>
              <w:jc w:val="center"/>
              <w:rPr>
                <w:rFonts w:hint="eastAsia" w:ascii="宋体" w:hAnsi="宋体" w:eastAsia="宋体" w:cs="宋体"/>
                <w:sz w:val="24"/>
                <w:szCs w:val="24"/>
              </w:rPr>
            </w:pPr>
            <w:r>
              <w:rPr>
                <w:rFonts w:hint="eastAsia" w:ascii="宋体" w:hAnsi="宋体" w:eastAsia="宋体" w:cs="宋体"/>
                <w:sz w:val="24"/>
                <w:szCs w:val="24"/>
              </w:rPr>
              <w:t>排气量</w:t>
            </w:r>
          </w:p>
        </w:tc>
        <w:tc>
          <w:tcPr>
            <w:tcW w:w="1290" w:type="dxa"/>
            <w:noWrap w:val="0"/>
            <w:vAlign w:val="center"/>
          </w:tcPr>
          <w:p w14:paraId="1EC41BCE">
            <w:pPr>
              <w:bidi w:val="0"/>
              <w:jc w:val="center"/>
              <w:rPr>
                <w:rFonts w:hint="eastAsia" w:ascii="宋体" w:hAnsi="宋体" w:eastAsia="宋体" w:cs="宋体"/>
                <w:sz w:val="24"/>
                <w:szCs w:val="24"/>
              </w:rPr>
            </w:pPr>
            <w:r>
              <w:rPr>
                <w:rFonts w:hint="eastAsia" w:ascii="宋体" w:hAnsi="宋体" w:eastAsia="宋体" w:cs="宋体"/>
                <w:sz w:val="24"/>
                <w:szCs w:val="24"/>
              </w:rPr>
              <w:t>购置日期</w:t>
            </w:r>
          </w:p>
        </w:tc>
        <w:tc>
          <w:tcPr>
            <w:tcW w:w="1800" w:type="dxa"/>
            <w:noWrap w:val="0"/>
            <w:vAlign w:val="center"/>
          </w:tcPr>
          <w:p w14:paraId="3E79BF46">
            <w:pPr>
              <w:bidi w:val="0"/>
              <w:jc w:val="center"/>
              <w:rPr>
                <w:rFonts w:hint="eastAsia" w:ascii="宋体" w:hAnsi="宋体" w:eastAsia="宋体" w:cs="宋体"/>
                <w:sz w:val="24"/>
                <w:szCs w:val="24"/>
                <w:lang w:eastAsia="zh-CN"/>
              </w:rPr>
            </w:pPr>
            <w:r>
              <w:rPr>
                <w:rFonts w:hint="eastAsia" w:ascii="宋体" w:hAnsi="宋体" w:eastAsia="宋体" w:cs="宋体"/>
                <w:sz w:val="24"/>
                <w:szCs w:val="24"/>
              </w:rPr>
              <w:t>行驶里</w:t>
            </w:r>
            <w:r>
              <w:rPr>
                <w:rFonts w:hint="eastAsia" w:ascii="宋体" w:hAnsi="宋体" w:eastAsia="宋体" w:cs="宋体"/>
                <w:sz w:val="24"/>
                <w:szCs w:val="24"/>
                <w:lang w:eastAsia="zh-CN"/>
              </w:rPr>
              <w:t>程（截止</w:t>
            </w:r>
            <w:r>
              <w:rPr>
                <w:rFonts w:hint="eastAsia" w:ascii="宋体" w:hAnsi="宋体" w:eastAsia="宋体" w:cs="宋体"/>
                <w:sz w:val="24"/>
                <w:szCs w:val="24"/>
                <w:lang w:val="en-US" w:eastAsia="zh-CN"/>
              </w:rPr>
              <w:t>12月1日</w:t>
            </w:r>
            <w:r>
              <w:rPr>
                <w:rFonts w:hint="eastAsia" w:ascii="宋体" w:hAnsi="宋体" w:eastAsia="宋体" w:cs="宋体"/>
                <w:sz w:val="24"/>
                <w:szCs w:val="24"/>
                <w:lang w:eastAsia="zh-CN"/>
              </w:rPr>
              <w:t>）</w:t>
            </w:r>
          </w:p>
        </w:tc>
        <w:tc>
          <w:tcPr>
            <w:tcW w:w="1440" w:type="dxa"/>
            <w:noWrap w:val="0"/>
            <w:vAlign w:val="center"/>
          </w:tcPr>
          <w:p w14:paraId="09E4FD23">
            <w:pPr>
              <w:bidi w:val="0"/>
              <w:jc w:val="center"/>
              <w:rPr>
                <w:rFonts w:hint="eastAsia" w:ascii="宋体" w:hAnsi="宋体" w:eastAsia="宋体" w:cs="宋体"/>
                <w:sz w:val="24"/>
                <w:szCs w:val="24"/>
              </w:rPr>
            </w:pPr>
            <w:r>
              <w:rPr>
                <w:rFonts w:hint="eastAsia" w:ascii="宋体" w:hAnsi="宋体" w:eastAsia="宋体" w:cs="宋体"/>
                <w:sz w:val="24"/>
                <w:szCs w:val="24"/>
              </w:rPr>
              <w:t>驾驶证要求</w:t>
            </w:r>
          </w:p>
        </w:tc>
        <w:tc>
          <w:tcPr>
            <w:tcW w:w="930" w:type="dxa"/>
            <w:noWrap w:val="0"/>
            <w:vAlign w:val="center"/>
          </w:tcPr>
          <w:p w14:paraId="12DE076D">
            <w:pPr>
              <w:bidi w:val="0"/>
              <w:jc w:val="center"/>
              <w:rPr>
                <w:rFonts w:hint="eastAsia" w:ascii="宋体" w:hAnsi="宋体" w:eastAsia="宋体" w:cs="宋体"/>
                <w:sz w:val="24"/>
                <w:szCs w:val="24"/>
              </w:rPr>
            </w:pPr>
            <w:r>
              <w:rPr>
                <w:rFonts w:hint="eastAsia" w:ascii="宋体" w:hAnsi="宋体" w:eastAsia="宋体" w:cs="宋体"/>
                <w:sz w:val="24"/>
                <w:szCs w:val="24"/>
              </w:rPr>
              <w:t>用途</w:t>
            </w:r>
          </w:p>
        </w:tc>
      </w:tr>
      <w:tr w14:paraId="7558F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230" w:type="dxa"/>
            <w:noWrap w:val="0"/>
            <w:vAlign w:val="center"/>
          </w:tcPr>
          <w:p w14:paraId="4F759317">
            <w:pPr>
              <w:bidi w:val="0"/>
              <w:jc w:val="center"/>
              <w:rPr>
                <w:rFonts w:hint="eastAsia" w:ascii="宋体" w:hAnsi="宋体" w:eastAsia="宋体" w:cs="宋体"/>
                <w:sz w:val="24"/>
                <w:szCs w:val="24"/>
                <w:lang w:eastAsia="zh-CN"/>
              </w:rPr>
            </w:pPr>
            <w:r>
              <w:rPr>
                <w:rFonts w:hint="eastAsia" w:ascii="宋体" w:hAnsi="宋体" w:eastAsia="宋体" w:cs="宋体"/>
                <w:sz w:val="24"/>
                <w:szCs w:val="24"/>
              </w:rPr>
              <w:t>鲁</w:t>
            </w:r>
            <w:r>
              <w:rPr>
                <w:rFonts w:hint="eastAsia" w:ascii="宋体" w:hAnsi="宋体" w:eastAsia="宋体" w:cs="宋体"/>
                <w:sz w:val="24"/>
                <w:szCs w:val="24"/>
                <w:lang w:eastAsia="zh-CN"/>
              </w:rPr>
              <w:t>PV120T</w:t>
            </w:r>
          </w:p>
        </w:tc>
        <w:tc>
          <w:tcPr>
            <w:tcW w:w="885" w:type="dxa"/>
            <w:noWrap w:val="0"/>
            <w:vAlign w:val="center"/>
          </w:tcPr>
          <w:p w14:paraId="5693D8DA">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宇通</w:t>
            </w:r>
          </w:p>
        </w:tc>
        <w:tc>
          <w:tcPr>
            <w:tcW w:w="1515" w:type="dxa"/>
            <w:noWrap w:val="0"/>
            <w:vAlign w:val="center"/>
          </w:tcPr>
          <w:p w14:paraId="6571608A">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江铃汽车股份有限公司</w:t>
            </w:r>
          </w:p>
        </w:tc>
        <w:tc>
          <w:tcPr>
            <w:tcW w:w="1005" w:type="dxa"/>
            <w:noWrap w:val="0"/>
            <w:vAlign w:val="center"/>
          </w:tcPr>
          <w:p w14:paraId="33BCFF76">
            <w:pPr>
              <w:bidi w:val="0"/>
              <w:jc w:val="center"/>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eastAsia="宋体" w:cs="宋体"/>
                <w:sz w:val="24"/>
                <w:szCs w:val="24"/>
                <w:lang w:eastAsia="zh-CN"/>
              </w:rPr>
              <w:t>2</w:t>
            </w:r>
          </w:p>
        </w:tc>
        <w:tc>
          <w:tcPr>
            <w:tcW w:w="1290" w:type="dxa"/>
            <w:noWrap w:val="0"/>
            <w:vAlign w:val="center"/>
          </w:tcPr>
          <w:p w14:paraId="38FE7654">
            <w:pPr>
              <w:bidi w:val="0"/>
              <w:jc w:val="center"/>
              <w:rPr>
                <w:rFonts w:hint="eastAsia" w:ascii="宋体" w:hAnsi="宋体" w:eastAsia="宋体" w:cs="宋体"/>
                <w:sz w:val="24"/>
                <w:szCs w:val="24"/>
              </w:rPr>
            </w:pPr>
            <w:r>
              <w:rPr>
                <w:rFonts w:hint="eastAsia" w:ascii="宋体" w:hAnsi="宋体" w:eastAsia="宋体" w:cs="宋体"/>
                <w:sz w:val="24"/>
                <w:szCs w:val="24"/>
              </w:rPr>
              <w:t>201</w:t>
            </w:r>
            <w:r>
              <w:rPr>
                <w:rFonts w:hint="eastAsia" w:ascii="宋体" w:hAnsi="宋体" w:eastAsia="宋体" w:cs="宋体"/>
                <w:sz w:val="24"/>
                <w:szCs w:val="24"/>
                <w:lang w:eastAsia="zh-CN"/>
              </w:rPr>
              <w:t>9</w:t>
            </w:r>
            <w:r>
              <w:rPr>
                <w:rFonts w:hint="eastAsia" w:ascii="宋体" w:hAnsi="宋体" w:eastAsia="宋体" w:cs="宋体"/>
                <w:sz w:val="24"/>
                <w:szCs w:val="24"/>
              </w:rPr>
              <w:t>年</w:t>
            </w:r>
          </w:p>
        </w:tc>
        <w:tc>
          <w:tcPr>
            <w:tcW w:w="1800" w:type="dxa"/>
            <w:noWrap w:val="0"/>
            <w:vAlign w:val="center"/>
          </w:tcPr>
          <w:p w14:paraId="10371334">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250114</w:t>
            </w:r>
          </w:p>
        </w:tc>
        <w:tc>
          <w:tcPr>
            <w:tcW w:w="1440" w:type="dxa"/>
            <w:noWrap w:val="0"/>
            <w:vAlign w:val="center"/>
          </w:tcPr>
          <w:p w14:paraId="4BE5048C">
            <w:pPr>
              <w:bidi w:val="0"/>
              <w:jc w:val="center"/>
              <w:rPr>
                <w:rFonts w:hint="eastAsia" w:ascii="宋体" w:hAnsi="宋体" w:eastAsia="宋体" w:cs="宋体"/>
                <w:sz w:val="24"/>
                <w:szCs w:val="24"/>
              </w:rPr>
            </w:pPr>
            <w:r>
              <w:rPr>
                <w:rFonts w:hint="eastAsia" w:ascii="宋体" w:hAnsi="宋体" w:eastAsia="宋体" w:cs="宋体"/>
                <w:sz w:val="24"/>
                <w:szCs w:val="24"/>
              </w:rPr>
              <w:t>C1及以上</w:t>
            </w:r>
          </w:p>
        </w:tc>
        <w:tc>
          <w:tcPr>
            <w:tcW w:w="930" w:type="dxa"/>
            <w:noWrap w:val="0"/>
            <w:vAlign w:val="center"/>
          </w:tcPr>
          <w:p w14:paraId="5BAFD129">
            <w:pPr>
              <w:bidi w:val="0"/>
              <w:jc w:val="center"/>
              <w:rPr>
                <w:rFonts w:hint="eastAsia" w:ascii="宋体" w:hAnsi="宋体" w:eastAsia="宋体" w:cs="宋体"/>
                <w:sz w:val="24"/>
                <w:szCs w:val="24"/>
              </w:rPr>
            </w:pPr>
            <w:r>
              <w:rPr>
                <w:rFonts w:hint="eastAsia" w:ascii="宋体" w:hAnsi="宋体" w:eastAsia="宋体" w:cs="宋体"/>
                <w:sz w:val="24"/>
                <w:szCs w:val="24"/>
              </w:rPr>
              <w:t>急救</w:t>
            </w:r>
          </w:p>
        </w:tc>
      </w:tr>
      <w:tr w14:paraId="01FB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230" w:type="dxa"/>
            <w:noWrap w:val="0"/>
            <w:vAlign w:val="center"/>
          </w:tcPr>
          <w:p w14:paraId="4BAB0545">
            <w:pPr>
              <w:bidi w:val="0"/>
              <w:jc w:val="center"/>
              <w:rPr>
                <w:rFonts w:hint="eastAsia" w:ascii="宋体" w:hAnsi="宋体" w:eastAsia="宋体" w:cs="宋体"/>
                <w:sz w:val="24"/>
                <w:szCs w:val="24"/>
              </w:rPr>
            </w:pPr>
            <w:r>
              <w:rPr>
                <w:rFonts w:hint="eastAsia" w:ascii="宋体" w:hAnsi="宋体" w:eastAsia="宋体" w:cs="宋体"/>
                <w:sz w:val="24"/>
                <w:szCs w:val="24"/>
              </w:rPr>
              <w:t>鲁P120ZH</w:t>
            </w:r>
          </w:p>
        </w:tc>
        <w:tc>
          <w:tcPr>
            <w:tcW w:w="885" w:type="dxa"/>
            <w:noWrap w:val="0"/>
            <w:vAlign w:val="center"/>
          </w:tcPr>
          <w:p w14:paraId="563922BC">
            <w:pPr>
              <w:bidi w:val="0"/>
              <w:jc w:val="center"/>
              <w:rPr>
                <w:rFonts w:hint="eastAsia" w:ascii="宋体" w:hAnsi="宋体" w:eastAsia="宋体" w:cs="宋体"/>
                <w:sz w:val="24"/>
                <w:szCs w:val="24"/>
              </w:rPr>
            </w:pPr>
            <w:r>
              <w:rPr>
                <w:rFonts w:hint="eastAsia" w:ascii="宋体" w:hAnsi="宋体" w:eastAsia="宋体" w:cs="宋体"/>
                <w:sz w:val="24"/>
                <w:szCs w:val="24"/>
              </w:rPr>
              <w:t>东风</w:t>
            </w:r>
          </w:p>
        </w:tc>
        <w:tc>
          <w:tcPr>
            <w:tcW w:w="1515" w:type="dxa"/>
            <w:noWrap w:val="0"/>
            <w:vAlign w:val="center"/>
          </w:tcPr>
          <w:p w14:paraId="529A59EC">
            <w:pPr>
              <w:bidi w:val="0"/>
              <w:jc w:val="center"/>
              <w:rPr>
                <w:rFonts w:hint="eastAsia" w:ascii="宋体" w:hAnsi="宋体" w:eastAsia="宋体" w:cs="宋体"/>
                <w:sz w:val="24"/>
                <w:szCs w:val="24"/>
              </w:rPr>
            </w:pPr>
            <w:r>
              <w:rPr>
                <w:rFonts w:hint="eastAsia" w:ascii="宋体" w:hAnsi="宋体" w:eastAsia="宋体" w:cs="宋体"/>
                <w:sz w:val="24"/>
                <w:szCs w:val="24"/>
              </w:rPr>
              <w:t>东风汽车</w:t>
            </w:r>
          </w:p>
        </w:tc>
        <w:tc>
          <w:tcPr>
            <w:tcW w:w="1005" w:type="dxa"/>
            <w:noWrap w:val="0"/>
            <w:vAlign w:val="center"/>
          </w:tcPr>
          <w:p w14:paraId="1E18E8D3">
            <w:pPr>
              <w:bidi w:val="0"/>
              <w:jc w:val="center"/>
              <w:rPr>
                <w:rFonts w:hint="eastAsia" w:ascii="宋体" w:hAnsi="宋体" w:eastAsia="宋体" w:cs="宋体"/>
                <w:sz w:val="24"/>
                <w:szCs w:val="24"/>
              </w:rPr>
            </w:pPr>
            <w:r>
              <w:rPr>
                <w:rFonts w:hint="eastAsia" w:ascii="宋体" w:hAnsi="宋体" w:eastAsia="宋体" w:cs="宋体"/>
                <w:sz w:val="24"/>
                <w:szCs w:val="24"/>
              </w:rPr>
              <w:t>3.0</w:t>
            </w:r>
          </w:p>
        </w:tc>
        <w:tc>
          <w:tcPr>
            <w:tcW w:w="1290" w:type="dxa"/>
            <w:noWrap w:val="0"/>
            <w:vAlign w:val="center"/>
          </w:tcPr>
          <w:p w14:paraId="2CE1B198">
            <w:pPr>
              <w:bidi w:val="0"/>
              <w:jc w:val="center"/>
              <w:rPr>
                <w:rFonts w:hint="eastAsia" w:ascii="宋体" w:hAnsi="宋体" w:eastAsia="宋体" w:cs="宋体"/>
                <w:sz w:val="24"/>
                <w:szCs w:val="24"/>
              </w:rPr>
            </w:pPr>
            <w:r>
              <w:rPr>
                <w:rFonts w:hint="eastAsia" w:ascii="宋体" w:hAnsi="宋体" w:eastAsia="宋体" w:cs="宋体"/>
                <w:sz w:val="24"/>
                <w:szCs w:val="24"/>
              </w:rPr>
              <w:t>2015年</w:t>
            </w:r>
          </w:p>
        </w:tc>
        <w:tc>
          <w:tcPr>
            <w:tcW w:w="1800" w:type="dxa"/>
            <w:noWrap w:val="0"/>
            <w:vAlign w:val="center"/>
          </w:tcPr>
          <w:p w14:paraId="62EA3C6F">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339510</w:t>
            </w:r>
          </w:p>
        </w:tc>
        <w:tc>
          <w:tcPr>
            <w:tcW w:w="1440" w:type="dxa"/>
            <w:noWrap w:val="0"/>
            <w:vAlign w:val="center"/>
          </w:tcPr>
          <w:p w14:paraId="42BF3372">
            <w:pPr>
              <w:bidi w:val="0"/>
              <w:jc w:val="center"/>
              <w:rPr>
                <w:rFonts w:hint="eastAsia" w:ascii="宋体" w:hAnsi="宋体" w:eastAsia="宋体" w:cs="宋体"/>
                <w:sz w:val="24"/>
                <w:szCs w:val="24"/>
              </w:rPr>
            </w:pPr>
            <w:r>
              <w:rPr>
                <w:rFonts w:hint="eastAsia" w:ascii="宋体" w:hAnsi="宋体" w:eastAsia="宋体" w:cs="宋体"/>
                <w:sz w:val="24"/>
                <w:szCs w:val="24"/>
              </w:rPr>
              <w:t>C1及以上</w:t>
            </w:r>
          </w:p>
        </w:tc>
        <w:tc>
          <w:tcPr>
            <w:tcW w:w="930" w:type="dxa"/>
            <w:noWrap w:val="0"/>
            <w:vAlign w:val="center"/>
          </w:tcPr>
          <w:p w14:paraId="1CBA4F27">
            <w:pPr>
              <w:bidi w:val="0"/>
              <w:jc w:val="center"/>
              <w:rPr>
                <w:rFonts w:hint="eastAsia" w:ascii="宋体" w:hAnsi="宋体" w:eastAsia="宋体" w:cs="宋体"/>
                <w:sz w:val="24"/>
                <w:szCs w:val="24"/>
              </w:rPr>
            </w:pPr>
            <w:r>
              <w:rPr>
                <w:rFonts w:hint="eastAsia" w:ascii="宋体" w:hAnsi="宋体" w:eastAsia="宋体" w:cs="宋体"/>
                <w:sz w:val="24"/>
                <w:szCs w:val="24"/>
              </w:rPr>
              <w:t>急救</w:t>
            </w:r>
          </w:p>
        </w:tc>
      </w:tr>
      <w:tr w14:paraId="1FAB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230" w:type="dxa"/>
            <w:noWrap w:val="0"/>
            <w:vAlign w:val="center"/>
          </w:tcPr>
          <w:p w14:paraId="5B092558">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鲁P3JZ65</w:t>
            </w:r>
          </w:p>
        </w:tc>
        <w:tc>
          <w:tcPr>
            <w:tcW w:w="885" w:type="dxa"/>
            <w:noWrap w:val="0"/>
            <w:vAlign w:val="center"/>
          </w:tcPr>
          <w:p w14:paraId="77F051E7">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广泰</w:t>
            </w:r>
          </w:p>
        </w:tc>
        <w:tc>
          <w:tcPr>
            <w:tcW w:w="1515" w:type="dxa"/>
            <w:noWrap w:val="0"/>
            <w:vAlign w:val="center"/>
          </w:tcPr>
          <w:p w14:paraId="6D95A41F">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威海广泰空港设备股份有限公司</w:t>
            </w:r>
          </w:p>
        </w:tc>
        <w:tc>
          <w:tcPr>
            <w:tcW w:w="1005" w:type="dxa"/>
            <w:noWrap w:val="0"/>
            <w:vAlign w:val="center"/>
          </w:tcPr>
          <w:p w14:paraId="016F6BCC">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3.0</w:t>
            </w:r>
          </w:p>
        </w:tc>
        <w:tc>
          <w:tcPr>
            <w:tcW w:w="1290" w:type="dxa"/>
            <w:noWrap w:val="0"/>
            <w:vAlign w:val="center"/>
          </w:tcPr>
          <w:p w14:paraId="7DC88A11">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2022年</w:t>
            </w:r>
          </w:p>
        </w:tc>
        <w:tc>
          <w:tcPr>
            <w:tcW w:w="1800" w:type="dxa"/>
            <w:noWrap w:val="0"/>
            <w:vAlign w:val="center"/>
          </w:tcPr>
          <w:p w14:paraId="5524D6F9">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4421</w:t>
            </w:r>
          </w:p>
        </w:tc>
        <w:tc>
          <w:tcPr>
            <w:tcW w:w="1440" w:type="dxa"/>
            <w:noWrap w:val="0"/>
            <w:vAlign w:val="center"/>
          </w:tcPr>
          <w:p w14:paraId="4CE51E8D">
            <w:pPr>
              <w:bidi w:val="0"/>
              <w:jc w:val="center"/>
              <w:rPr>
                <w:rFonts w:hint="eastAsia" w:ascii="宋体" w:hAnsi="宋体" w:eastAsia="宋体" w:cs="宋体"/>
                <w:sz w:val="24"/>
                <w:szCs w:val="24"/>
              </w:rPr>
            </w:pPr>
            <w:r>
              <w:rPr>
                <w:rFonts w:hint="eastAsia" w:ascii="宋体" w:hAnsi="宋体" w:eastAsia="宋体" w:cs="宋体"/>
                <w:sz w:val="24"/>
                <w:szCs w:val="24"/>
                <w:lang w:eastAsia="zh-CN"/>
              </w:rPr>
              <w:t>B</w:t>
            </w:r>
            <w:r>
              <w:rPr>
                <w:rFonts w:hint="eastAsia" w:ascii="宋体" w:hAnsi="宋体" w:eastAsia="宋体" w:cs="宋体"/>
                <w:sz w:val="24"/>
                <w:szCs w:val="24"/>
              </w:rPr>
              <w:t>1及以上</w:t>
            </w:r>
          </w:p>
        </w:tc>
        <w:tc>
          <w:tcPr>
            <w:tcW w:w="930" w:type="dxa"/>
            <w:noWrap w:val="0"/>
            <w:vAlign w:val="center"/>
          </w:tcPr>
          <w:p w14:paraId="1A2AAE8E">
            <w:pPr>
              <w:bidi w:val="0"/>
              <w:jc w:val="center"/>
              <w:rPr>
                <w:rFonts w:hint="eastAsia" w:ascii="宋体" w:hAnsi="宋体" w:eastAsia="宋体" w:cs="宋体"/>
                <w:sz w:val="24"/>
                <w:szCs w:val="24"/>
              </w:rPr>
            </w:pPr>
            <w:r>
              <w:rPr>
                <w:rFonts w:hint="eastAsia" w:ascii="宋体" w:hAnsi="宋体" w:eastAsia="宋体" w:cs="宋体"/>
                <w:sz w:val="24"/>
                <w:szCs w:val="24"/>
              </w:rPr>
              <w:t>急救</w:t>
            </w:r>
          </w:p>
        </w:tc>
      </w:tr>
      <w:tr w14:paraId="4D56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230" w:type="dxa"/>
            <w:noWrap w:val="0"/>
            <w:vAlign w:val="center"/>
          </w:tcPr>
          <w:p w14:paraId="4D44CB66">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鲁PY1H20</w:t>
            </w:r>
          </w:p>
        </w:tc>
        <w:tc>
          <w:tcPr>
            <w:tcW w:w="885" w:type="dxa"/>
            <w:noWrap w:val="0"/>
            <w:vAlign w:val="center"/>
          </w:tcPr>
          <w:p w14:paraId="51464A20">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宇通</w:t>
            </w:r>
          </w:p>
        </w:tc>
        <w:tc>
          <w:tcPr>
            <w:tcW w:w="1515" w:type="dxa"/>
            <w:noWrap w:val="0"/>
            <w:vAlign w:val="center"/>
          </w:tcPr>
          <w:p w14:paraId="4D33C3F5">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江铃汽车股份有限公司</w:t>
            </w:r>
          </w:p>
        </w:tc>
        <w:tc>
          <w:tcPr>
            <w:tcW w:w="1005" w:type="dxa"/>
            <w:noWrap w:val="0"/>
            <w:vAlign w:val="center"/>
          </w:tcPr>
          <w:p w14:paraId="6FAAD4E1">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2.2</w:t>
            </w:r>
          </w:p>
        </w:tc>
        <w:tc>
          <w:tcPr>
            <w:tcW w:w="1290" w:type="dxa"/>
            <w:noWrap w:val="0"/>
            <w:vAlign w:val="center"/>
          </w:tcPr>
          <w:p w14:paraId="69E73722">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2021年</w:t>
            </w:r>
          </w:p>
        </w:tc>
        <w:tc>
          <w:tcPr>
            <w:tcW w:w="1800" w:type="dxa"/>
            <w:noWrap w:val="0"/>
            <w:vAlign w:val="center"/>
          </w:tcPr>
          <w:p w14:paraId="3DCFA007">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232236</w:t>
            </w:r>
          </w:p>
        </w:tc>
        <w:tc>
          <w:tcPr>
            <w:tcW w:w="1440" w:type="dxa"/>
            <w:noWrap w:val="0"/>
            <w:vAlign w:val="center"/>
          </w:tcPr>
          <w:p w14:paraId="16AE0718">
            <w:pPr>
              <w:bidi w:val="0"/>
              <w:jc w:val="center"/>
              <w:rPr>
                <w:rFonts w:hint="eastAsia" w:ascii="宋体" w:hAnsi="宋体" w:eastAsia="宋体" w:cs="宋体"/>
                <w:sz w:val="24"/>
                <w:szCs w:val="24"/>
              </w:rPr>
            </w:pPr>
            <w:r>
              <w:rPr>
                <w:rFonts w:hint="eastAsia" w:ascii="宋体" w:hAnsi="宋体" w:eastAsia="宋体" w:cs="宋体"/>
                <w:sz w:val="24"/>
                <w:szCs w:val="24"/>
              </w:rPr>
              <w:t>C1及以上</w:t>
            </w:r>
          </w:p>
        </w:tc>
        <w:tc>
          <w:tcPr>
            <w:tcW w:w="930" w:type="dxa"/>
            <w:noWrap w:val="0"/>
            <w:vAlign w:val="center"/>
          </w:tcPr>
          <w:p w14:paraId="59FEE502">
            <w:pPr>
              <w:bidi w:val="0"/>
              <w:jc w:val="center"/>
              <w:rPr>
                <w:rFonts w:hint="eastAsia" w:ascii="宋体" w:hAnsi="宋体" w:eastAsia="宋体" w:cs="宋体"/>
                <w:sz w:val="24"/>
                <w:szCs w:val="24"/>
              </w:rPr>
            </w:pPr>
            <w:r>
              <w:rPr>
                <w:rFonts w:hint="eastAsia" w:ascii="宋体" w:hAnsi="宋体" w:eastAsia="宋体" w:cs="宋体"/>
                <w:sz w:val="24"/>
                <w:szCs w:val="24"/>
              </w:rPr>
              <w:t>急救</w:t>
            </w:r>
          </w:p>
        </w:tc>
      </w:tr>
      <w:tr w14:paraId="2810D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230" w:type="dxa"/>
            <w:noWrap w:val="0"/>
            <w:vAlign w:val="center"/>
          </w:tcPr>
          <w:p w14:paraId="41441F24">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鲁P3BY89</w:t>
            </w:r>
          </w:p>
        </w:tc>
        <w:tc>
          <w:tcPr>
            <w:tcW w:w="885" w:type="dxa"/>
            <w:noWrap w:val="0"/>
            <w:vAlign w:val="center"/>
          </w:tcPr>
          <w:p w14:paraId="19BE9626">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宇通</w:t>
            </w:r>
          </w:p>
        </w:tc>
        <w:tc>
          <w:tcPr>
            <w:tcW w:w="1515" w:type="dxa"/>
            <w:noWrap w:val="0"/>
            <w:vAlign w:val="center"/>
          </w:tcPr>
          <w:p w14:paraId="08C98F19">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江铃汽车股份有限公司</w:t>
            </w:r>
          </w:p>
        </w:tc>
        <w:tc>
          <w:tcPr>
            <w:tcW w:w="1005" w:type="dxa"/>
            <w:noWrap w:val="0"/>
            <w:vAlign w:val="center"/>
          </w:tcPr>
          <w:p w14:paraId="720A2150">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2.2</w:t>
            </w:r>
          </w:p>
        </w:tc>
        <w:tc>
          <w:tcPr>
            <w:tcW w:w="1290" w:type="dxa"/>
            <w:noWrap w:val="0"/>
            <w:vAlign w:val="center"/>
          </w:tcPr>
          <w:p w14:paraId="2148D3E6">
            <w:pPr>
              <w:bidi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2023年</w:t>
            </w:r>
          </w:p>
        </w:tc>
        <w:tc>
          <w:tcPr>
            <w:tcW w:w="1800" w:type="dxa"/>
            <w:noWrap w:val="0"/>
            <w:vAlign w:val="center"/>
          </w:tcPr>
          <w:p w14:paraId="55E61B3B">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165784</w:t>
            </w:r>
          </w:p>
        </w:tc>
        <w:tc>
          <w:tcPr>
            <w:tcW w:w="1440" w:type="dxa"/>
            <w:noWrap w:val="0"/>
            <w:vAlign w:val="center"/>
          </w:tcPr>
          <w:p w14:paraId="24E4AEBD">
            <w:pPr>
              <w:bidi w:val="0"/>
              <w:jc w:val="center"/>
              <w:rPr>
                <w:rFonts w:hint="eastAsia" w:ascii="宋体" w:hAnsi="宋体" w:eastAsia="宋体" w:cs="宋体"/>
                <w:sz w:val="24"/>
                <w:szCs w:val="24"/>
              </w:rPr>
            </w:pPr>
            <w:r>
              <w:rPr>
                <w:rFonts w:hint="eastAsia" w:ascii="宋体" w:hAnsi="宋体" w:eastAsia="宋体" w:cs="宋体"/>
                <w:sz w:val="24"/>
                <w:szCs w:val="24"/>
              </w:rPr>
              <w:t>C1及以上</w:t>
            </w:r>
          </w:p>
        </w:tc>
        <w:tc>
          <w:tcPr>
            <w:tcW w:w="930" w:type="dxa"/>
            <w:noWrap w:val="0"/>
            <w:vAlign w:val="center"/>
          </w:tcPr>
          <w:p w14:paraId="4A70A7C7">
            <w:pPr>
              <w:bidi w:val="0"/>
              <w:jc w:val="center"/>
              <w:rPr>
                <w:rFonts w:hint="eastAsia" w:ascii="宋体" w:hAnsi="宋体" w:eastAsia="宋体" w:cs="宋体"/>
                <w:sz w:val="24"/>
                <w:szCs w:val="24"/>
              </w:rPr>
            </w:pPr>
            <w:r>
              <w:rPr>
                <w:rFonts w:hint="eastAsia" w:ascii="宋体" w:hAnsi="宋体" w:eastAsia="宋体" w:cs="宋体"/>
                <w:sz w:val="24"/>
                <w:szCs w:val="24"/>
              </w:rPr>
              <w:t>急救</w:t>
            </w:r>
          </w:p>
        </w:tc>
      </w:tr>
    </w:tbl>
    <w:p w14:paraId="5B927112">
      <w:pPr>
        <w:spacing w:line="360" w:lineRule="auto"/>
        <w:rPr>
          <w:rFonts w:hint="eastAsia" w:ascii="宋体" w:hAnsi="宋体" w:eastAsia="宋体" w:cs="宋体"/>
          <w:b/>
          <w:bCs/>
          <w:color w:val="auto"/>
          <w:sz w:val="24"/>
          <w:szCs w:val="24"/>
          <w:highlight w:val="none"/>
          <w:lang w:val="en-US" w:eastAsia="zh-CN"/>
        </w:rPr>
      </w:pPr>
    </w:p>
    <w:p w14:paraId="1960C1C4">
      <w:pPr>
        <w:spacing w:line="360" w:lineRule="auto"/>
        <w:rPr>
          <w:rFonts w:hint="eastAsia" w:ascii="宋体" w:hAnsi="宋体" w:eastAsia="宋体" w:cs="宋体"/>
          <w:b/>
          <w:bCs/>
          <w:color w:val="auto"/>
          <w:sz w:val="24"/>
          <w:szCs w:val="24"/>
          <w:highlight w:val="none"/>
        </w:rPr>
      </w:pPr>
      <w:bookmarkStart w:id="0" w:name="_GoBack"/>
      <w:bookmarkEnd w:id="0"/>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、采购内容及要求：</w:t>
      </w:r>
    </w:p>
    <w:p w14:paraId="3CCAE33A">
      <w:pPr>
        <w:spacing w:line="360" w:lineRule="auto"/>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none"/>
        </w:rPr>
        <w:t>（一）服务内容及要求</w:t>
      </w:r>
    </w:p>
    <w:p w14:paraId="719C8C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1、甲方提供救护车辆5辆，拥有车辆的所有权、使用权。乙方负责派出服务人员，由甲乙双方共同管理。</w:t>
      </w:r>
    </w:p>
    <w:p w14:paraId="564322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2、乙方负责救护车辆的维修、保养、年审及车辆用油及所派服务人员的工资及其他待遇。</w:t>
      </w:r>
    </w:p>
    <w:p w14:paraId="34513D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3、乙方应派出符合要求的服务人员、保障甲方全年24小时急救出车，乙方服务人员要严格遵守医院的各项规章制度，坚守岗位,不得擅离职守。出车期间要自觉遵守交通法规，严禁违章开车，酒后驾驶。</w:t>
      </w:r>
    </w:p>
    <w:p w14:paraId="1CBF03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救护车出车由120指挥调度中心、急诊科主任、护士长或当班医务人员派车，其他人员无权调动救护车。救护车辆应按照规定停放在指定位置，接到出车任务时要在规定的时间内及时出车，执行任务途中及任务完成后不得随意改变行车路线。</w:t>
      </w:r>
    </w:p>
    <w:p w14:paraId="214A56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按照医院要求保证救护车辆车况良好，满足医院工作需要；乙方服务人员要每天检查救护车的车况、车容。车内禁止吸烟、摆放杂物和与急救病人无关的物品，在执行出车任务时要协助医护人员抢救病人。   </w:t>
      </w:r>
    </w:p>
    <w:p w14:paraId="1A95AE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6、救护车原则上不承担医疗救援工作以外的出车任务，特殊情况用车，如突发事件、大型活动医疗保障等政府指令性任务，在不影响急救用车的情况下，经请示分管领导后，由院长办公室、急诊科统一安排。  </w:t>
      </w:r>
    </w:p>
    <w:p w14:paraId="0704F3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7、救护车辆运行8000-10000公里时，乙方需对车辆进行保养，因车辆维修、保养不及时造成损失的，从乙方总费用中扣除。</w:t>
      </w:r>
    </w:p>
    <w:p w14:paraId="442EAC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8、私自派车、私自出车，每次按1000元处罚，从乙方总费用中扣除。</w:t>
      </w:r>
    </w:p>
    <w:p w14:paraId="6BD35B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9、因乙方原因引发事故的，后果由乙方承担。给甲方造成损失的，由乙方赔偿。 </w:t>
      </w:r>
    </w:p>
    <w:p w14:paraId="12EA912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（二）服务人员要求：</w:t>
      </w:r>
    </w:p>
    <w:p w14:paraId="6A5852EE">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1、年龄要求：男性，年龄≦55岁。</w:t>
      </w:r>
    </w:p>
    <w:p w14:paraId="605B4FD7">
      <w:pPr>
        <w:spacing w:line="360" w:lineRule="auto"/>
        <w:ind w:firstLine="480" w:firstLineChars="200"/>
        <w:rPr>
          <w:rFonts w:hint="eastAsia" w:ascii="宋体" w:hAnsi="宋体" w:eastAsia="宋体" w:cs="宋体"/>
          <w:b/>
          <w:bCs/>
          <w:color w:val="auto"/>
          <w:sz w:val="24"/>
          <w:szCs w:val="24"/>
          <w:highlight w:val="yellow"/>
          <w:lang w:val="en-US" w:eastAsia="zh-CN"/>
        </w:rPr>
      </w:pPr>
      <w:r>
        <w:rPr>
          <w:rFonts w:hint="eastAsia" w:ascii="宋体" w:hAnsi="宋体" w:eastAsia="宋体" w:cs="宋体"/>
          <w:b w:val="0"/>
          <w:bCs w:val="0"/>
          <w:color w:val="auto"/>
          <w:sz w:val="24"/>
          <w:szCs w:val="24"/>
          <w:lang w:val="en-US" w:eastAsia="zh-CN"/>
        </w:rPr>
        <w:t>2、资质要求：驾驶鲁PV120T、鲁P120ZH、鲁PYIH20、鲁P3BY89需具备C1及以上驾驶证，驾驶鲁P3JZ65需具备B1及以上驾驶证，有救护车驾驶经验者</w:t>
      </w:r>
      <w:r>
        <w:rPr>
          <w:rFonts w:hint="eastAsia" w:ascii="宋体" w:hAnsi="宋体" w:eastAsia="宋体" w:cs="宋体"/>
          <w:b w:val="0"/>
          <w:bCs w:val="0"/>
          <w:color w:val="auto"/>
          <w:sz w:val="24"/>
          <w:szCs w:val="24"/>
          <w:highlight w:val="none"/>
          <w:lang w:val="en-US" w:eastAsia="zh-CN"/>
        </w:rPr>
        <w:t>优先。</w:t>
      </w:r>
      <w:r>
        <w:rPr>
          <w:rFonts w:hint="eastAsia" w:ascii="宋体" w:hAnsi="宋体" w:eastAsia="宋体" w:cs="宋体"/>
          <w:b/>
          <w:bCs/>
          <w:color w:val="auto"/>
          <w:sz w:val="24"/>
          <w:szCs w:val="24"/>
          <w:highlight w:val="none"/>
          <w:lang w:val="en-US" w:eastAsia="zh-CN"/>
        </w:rPr>
        <w:t>（投标文件中需提供拟配备人员身份证及驾驶证）。</w:t>
      </w:r>
    </w:p>
    <w:p w14:paraId="5281923B">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3、身体健康，相貌端正，无犯罪记录。</w:t>
      </w:r>
    </w:p>
    <w:p w14:paraId="2DB3DEBC">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4、遵守医院规章制度，尊重领导和服务对象，服从安排，听从指挥，无违法犯罪记录等。爱岗敬业，恪尽职守，遵纪守法，礼貌待人，严禁私下收受病人及病人家属钱物、礼品。</w:t>
      </w:r>
    </w:p>
    <w:p w14:paraId="07C90101">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5、发现迟到、早退、空岗每次按1人/次罚100元，从乙方总费用中扣除。</w:t>
      </w:r>
    </w:p>
    <w:p w14:paraId="47F0E837">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6、乙方服务人员受到病人及病人家属投诉每次按1人/次罚100元，从乙方总费用中扣除。</w:t>
      </w:r>
    </w:p>
    <w:p w14:paraId="48A2A75E">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7、乙方服务人员值班期间不服从管理，不按时出车，延误抢救病人的，酒后驾驶的，按1人/次罚200元，从乙方总费用中扣除。</w:t>
      </w:r>
    </w:p>
    <w:p w14:paraId="79703B2B">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乙方应严格按照合同约定的服务内容制定值班工作制度，并按要求配备值班人员，医院检查中发现人员配备人数不足时，按1人/次罚200元，发现值班人员为无证人员替班的，按1人/次罚200元，从乙方总费用中扣除。</w:t>
      </w:r>
    </w:p>
    <w:p w14:paraId="471AEFBD">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9、乙方服务人员上班期间及上下班途中发生的安全问题均由乙方承担。</w:t>
      </w:r>
    </w:p>
    <w:p w14:paraId="26341AA1">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权利和义务</w:t>
      </w:r>
    </w:p>
    <w:p w14:paraId="40E7D1DE">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甲方的权利和义务</w:t>
      </w:r>
    </w:p>
    <w:p w14:paraId="73B1FB07">
      <w:pPr>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甲方根据制订的相关制度对乙方及派遣的驾驶员进行监督与考核。</w:t>
      </w:r>
    </w:p>
    <w:p w14:paraId="3FCDF6FE">
      <w:pPr>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甲方对驾驶员有调配使用权，如乙方派遣的驾驶员违反甲方有关规定，甲方有权对乙方进行合同金额的扣款，并要求更换驾驶员。乙方应在甲方提出要</w:t>
      </w:r>
      <w:r>
        <w:rPr>
          <w:rFonts w:hint="eastAsia" w:ascii="宋体" w:hAnsi="宋体" w:eastAsia="宋体" w:cs="宋体"/>
          <w:color w:val="auto"/>
          <w:sz w:val="24"/>
          <w:szCs w:val="24"/>
          <w:lang w:eastAsia="zh-CN"/>
        </w:rPr>
        <w:t>求的</w:t>
      </w:r>
      <w:r>
        <w:rPr>
          <w:rFonts w:hint="eastAsia" w:ascii="宋体" w:hAnsi="宋体" w:eastAsia="宋体" w:cs="宋体"/>
          <w:color w:val="auto"/>
          <w:sz w:val="24"/>
          <w:szCs w:val="24"/>
        </w:rPr>
        <w:t>24小时内更换符合要求的驾驶员。</w:t>
      </w:r>
    </w:p>
    <w:p w14:paraId="69A6998C">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3、甲方</w:t>
      </w:r>
      <w:r>
        <w:rPr>
          <w:rFonts w:hint="eastAsia" w:ascii="宋体" w:hAnsi="宋体" w:eastAsia="宋体" w:cs="宋体"/>
          <w:color w:val="auto"/>
          <w:sz w:val="24"/>
          <w:szCs w:val="24"/>
          <w:highlight w:val="none"/>
        </w:rPr>
        <w:t>按照协议规定向乙方支付车辆运行服务费用，提供驾驶员休息室。</w:t>
      </w:r>
    </w:p>
    <w:p w14:paraId="10C29CE2">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甲方有权监督乙方薪资</w:t>
      </w:r>
      <w:r>
        <w:rPr>
          <w:rFonts w:hint="eastAsia" w:ascii="宋体" w:hAnsi="宋体" w:eastAsia="宋体" w:cs="宋体"/>
          <w:color w:val="auto"/>
          <w:sz w:val="24"/>
          <w:szCs w:val="24"/>
          <w:highlight w:val="none"/>
          <w:lang w:val="en-US" w:eastAsia="zh-CN"/>
        </w:rPr>
        <w:t>是否</w:t>
      </w:r>
      <w:r>
        <w:rPr>
          <w:rFonts w:hint="eastAsia" w:ascii="宋体" w:hAnsi="宋体" w:eastAsia="宋体" w:cs="宋体"/>
          <w:color w:val="auto"/>
          <w:sz w:val="24"/>
          <w:szCs w:val="24"/>
          <w:highlight w:val="none"/>
        </w:rPr>
        <w:t>足额发放给驾驶员。</w:t>
      </w:r>
    </w:p>
    <w:p w14:paraId="222A1DBE">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派遣的驾驶员如发生劳动争议与甲方无关，由此造成的甲方损失，乙方予以赔偿。</w:t>
      </w:r>
    </w:p>
    <w:p w14:paraId="05FD7E20">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乙方的权利和义务</w:t>
      </w:r>
    </w:p>
    <w:p w14:paraId="7D4323FD">
      <w:pPr>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乙方派遣的驾驶员应熟悉相关交通法律法规，按时年审、体检，应爱岗敬业、爱护车辆具备基本车辆故障的判断能力，能独立完成车辆的日常清洁、维护检查、保养维修工作，保证车况良好。</w:t>
      </w:r>
    </w:p>
    <w:p w14:paraId="486AE361">
      <w:pPr>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乙方需储备备用驾驶员，随时可以替补及调配，应设专职管理人员与甲方对接，并对驾驶员进行日常管理及班次调整、纪律考核、安全教育、事故处理及其他相关工作。</w:t>
      </w:r>
    </w:p>
    <w:p w14:paraId="45EAE378">
      <w:pPr>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乙方派遣的驾驶员应服从甲方的领导，熟悉并遵守甲方的各项规章制度，遵守关于救护车驾驶员工作职责的相关规定。</w:t>
      </w:r>
    </w:p>
    <w:p w14:paraId="51F136AC">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乙方派遣到甲方的驾驶员为乙方员工，由乙方与驾驶员签订劳动合同或劳务合同、发放工资、绩效，并办理国家规定的各项社会保险。</w:t>
      </w:r>
    </w:p>
    <w:p w14:paraId="5B4D6EA3">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乙方派遣的驾驶员在工作期间，发生工伤、意外或因驾驶员原因造成的违章、交通事故、车载人员或第三人的人身损害、引起的医疗纠纷以及车辆损坏，除保险公司赔偿外，均由乙方承担全部责任及赔偿费用。如甲方对外承担相关责任后有权向乙方进行追偿。</w:t>
      </w:r>
    </w:p>
    <w:p w14:paraId="45547F7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CA568D"/>
    <w:rsid w:val="051E41F2"/>
    <w:rsid w:val="0E29680E"/>
    <w:rsid w:val="0F5A22CA"/>
    <w:rsid w:val="183747B4"/>
    <w:rsid w:val="1FE02E01"/>
    <w:rsid w:val="2D126E1A"/>
    <w:rsid w:val="4E297CB1"/>
    <w:rsid w:val="54A61F6F"/>
    <w:rsid w:val="5D564930"/>
    <w:rsid w:val="6DCA568D"/>
    <w:rsid w:val="6F556011"/>
    <w:rsid w:val="75EC3738"/>
    <w:rsid w:val="77052C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220" w:beforeLines="0" w:beforeAutospacing="0" w:after="210" w:afterLines="0" w:afterAutospacing="0" w:line="360" w:lineRule="auto"/>
      <w:jc w:val="center"/>
      <w:outlineLvl w:val="0"/>
    </w:pPr>
    <w:rPr>
      <w:rFonts w:asciiTheme="minorAscii" w:hAnsiTheme="minorAscii"/>
      <w:b/>
      <w:kern w:val="44"/>
      <w:sz w:val="32"/>
    </w:rPr>
  </w:style>
  <w:style w:type="paragraph" w:styleId="4">
    <w:name w:val="heading 2"/>
    <w:basedOn w:val="1"/>
    <w:next w:val="1"/>
    <w:semiHidden/>
    <w:unhideWhenUsed/>
    <w:qFormat/>
    <w:uiPriority w:val="0"/>
    <w:pPr>
      <w:keepNext/>
      <w:keepLines/>
      <w:spacing w:before="260" w:beforeLines="0" w:beforeAutospacing="0" w:after="260" w:afterLines="0" w:afterAutospacing="0" w:line="240" w:lineRule="auto"/>
      <w:jc w:val="center"/>
      <w:outlineLvl w:val="1"/>
    </w:pPr>
    <w:rPr>
      <w:rFonts w:ascii="Arial" w:hAnsi="Arial" w:eastAsia="宋体"/>
      <w:b/>
      <w:sz w:val="28"/>
    </w:rPr>
  </w:style>
  <w:style w:type="paragraph" w:styleId="2">
    <w:name w:val="heading 3"/>
    <w:basedOn w:val="1"/>
    <w:next w:val="1"/>
    <w:semiHidden/>
    <w:unhideWhenUsed/>
    <w:qFormat/>
    <w:uiPriority w:val="0"/>
    <w:pPr>
      <w:keepNext/>
      <w:keepLines/>
      <w:spacing w:before="260" w:beforeLines="0" w:beforeAutospacing="0" w:after="260" w:afterLines="0" w:afterAutospacing="0" w:line="413" w:lineRule="auto"/>
      <w:jc w:val="center"/>
      <w:outlineLvl w:val="2"/>
    </w:pPr>
    <w:rPr>
      <w:rFonts w:eastAsia="宋体" w:asciiTheme="minorAscii" w:hAnsiTheme="minorAscii"/>
      <w:b/>
      <w:sz w:val="28"/>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2026-03-19T06:04:00Z</dcterms:created>
  <dc:creator>asrf</dc:creator>
  <cp:lastModifiedBy>asrf</cp:lastModifiedBy>
  <dcterms:modified xsi:type="dcterms:W3CDTF">2026-03-19T06:04:51Z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8AF545059B3446F69A2AB562F4AC250B_11</vt:lpwstr>
  </property>
  <property fmtid="{D5CDD505-2E9C-101B-9397-08002B2CF9AE}" pid="4" name="KSOTemplateDocerSaveRecord">
    <vt:lpwstr>eyJoZGlkIjoiOWQ2OTk4YjU3ZDc1YzdmNzIzY2FlYThhMTQ3MTliNGQiLCJ1c2VySWQiOiIyOTY0NjU5MjAifQ==</vt:lpwstr>
  </property>
</Properties>
</file>