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2015BD">
      <w:pPr>
        <w:pStyle w:val="93"/>
        <w:ind w:left="0" w:leftChars="0" w:firstLine="0" w:firstLineChars="0"/>
        <w:jc w:val="center"/>
        <w:rPr>
          <w:rFonts w:hint="eastAsia" w:ascii="宋体" w:hAnsi="宋体" w:eastAsia="宋体" w:cs="宋体"/>
          <w:color w:val="000000" w:themeColor="text1"/>
          <w:highlight w:val="none"/>
          <w14:textFill>
            <w14:solidFill>
              <w14:schemeClr w14:val="tx1"/>
            </w14:solidFill>
          </w14:textFill>
        </w:rPr>
      </w:pPr>
      <w:r>
        <w:rPr>
          <w:rFonts w:hint="eastAsia" w:cs="宋体"/>
          <w:b/>
          <w:color w:val="000000" w:themeColor="text1"/>
          <w:sz w:val="56"/>
          <w:szCs w:val="56"/>
          <w:highlight w:val="none"/>
          <w:lang w:val="en-US" w:eastAsia="zh-CN"/>
          <w14:textFill>
            <w14:solidFill>
              <w14:schemeClr w14:val="tx1"/>
            </w14:solidFill>
          </w14:textFill>
        </w:rPr>
        <w:t>聊城市公安局交通巡逻警察支队直属二大队食材采购项目</w:t>
      </w:r>
    </w:p>
    <w:p w14:paraId="0090364B">
      <w:pPr>
        <w:tabs>
          <w:tab w:val="left" w:pos="5190"/>
        </w:tabs>
        <w:jc w:val="center"/>
        <w:rPr>
          <w:rFonts w:hint="eastAsia" w:ascii="宋体" w:hAnsi="宋体" w:eastAsia="宋体" w:cs="宋体"/>
          <w:b/>
          <w:color w:val="000000" w:themeColor="text1"/>
          <w:spacing w:val="-20"/>
          <w:sz w:val="110"/>
          <w:szCs w:val="110"/>
          <w:highlight w:val="none"/>
          <w14:textFill>
            <w14:solidFill>
              <w14:schemeClr w14:val="tx1"/>
            </w14:solidFill>
          </w14:textFill>
        </w:rPr>
      </w:pPr>
      <w:r>
        <w:rPr>
          <w:rFonts w:hint="eastAsia" w:ascii="宋体" w:hAnsi="宋体" w:eastAsia="宋体" w:cs="宋体"/>
          <w:b/>
          <w:color w:val="000000" w:themeColor="text1"/>
          <w:spacing w:val="-20"/>
          <w:sz w:val="110"/>
          <w:szCs w:val="110"/>
          <w:highlight w:val="none"/>
          <w14:textFill>
            <w14:solidFill>
              <w14:schemeClr w14:val="tx1"/>
            </w14:solidFill>
          </w14:textFill>
        </w:rPr>
        <w:t>招 标 文 件</w:t>
      </w:r>
    </w:p>
    <w:p w14:paraId="20EBEFC3">
      <w:pPr>
        <w:tabs>
          <w:tab w:val="left" w:pos="5190"/>
        </w:tabs>
        <w:jc w:val="center"/>
        <w:rPr>
          <w:rFonts w:hint="eastAsia" w:ascii="楷体_GB2312" w:eastAsia="楷体_GB2312"/>
          <w:b/>
          <w:color w:val="000000" w:themeColor="text1"/>
          <w:sz w:val="32"/>
          <w:szCs w:val="32"/>
          <w:highlight w:val="none"/>
          <w14:textFill>
            <w14:solidFill>
              <w14:schemeClr w14:val="tx1"/>
            </w14:solidFill>
          </w14:textFill>
        </w:rPr>
      </w:pPr>
    </w:p>
    <w:p w14:paraId="6FCED964">
      <w:pPr>
        <w:tabs>
          <w:tab w:val="left" w:pos="5190"/>
        </w:tabs>
        <w:jc w:val="center"/>
        <w:rPr>
          <w:rFonts w:hint="eastAsia" w:ascii="楷体_GB2312" w:eastAsia="楷体_GB2312"/>
          <w:b/>
          <w:color w:val="000000" w:themeColor="text1"/>
          <w:sz w:val="32"/>
          <w:szCs w:val="32"/>
          <w:highlight w:val="none"/>
          <w14:textFill>
            <w14:solidFill>
              <w14:schemeClr w14:val="tx1"/>
            </w14:solidFill>
          </w14:textFill>
        </w:rPr>
      </w:pPr>
      <w:r>
        <w:rPr>
          <w:rFonts w:hint="eastAsia" w:ascii="楷体_GB2312" w:eastAsia="楷体_GB2312"/>
          <w:b/>
          <w:color w:val="000000" w:themeColor="text1"/>
          <w:sz w:val="32"/>
          <w:szCs w:val="32"/>
          <w:highlight w:val="none"/>
          <w14:textFill>
            <w14:solidFill>
              <w14:schemeClr w14:val="tx1"/>
            </w14:solidFill>
          </w14:textFill>
        </w:rPr>
        <w:t>（采购项目编号：SDGP371502000202402000215）</w:t>
      </w:r>
    </w:p>
    <w:p w14:paraId="48F855D3">
      <w:pPr>
        <w:tabs>
          <w:tab w:val="left" w:pos="5190"/>
        </w:tabs>
        <w:jc w:val="both"/>
        <w:rPr>
          <w:rFonts w:eastAsia="楷体_GB2312"/>
          <w:b/>
          <w:color w:val="000000" w:themeColor="text1"/>
          <w:sz w:val="30"/>
          <w:szCs w:val="30"/>
          <w:highlight w:val="none"/>
          <w14:textFill>
            <w14:solidFill>
              <w14:schemeClr w14:val="tx1"/>
            </w14:solidFill>
          </w14:textFill>
        </w:rPr>
      </w:pPr>
    </w:p>
    <w:p w14:paraId="09E0663A">
      <w:pPr>
        <w:adjustRightInd w:val="0"/>
        <w:snapToGrid w:val="0"/>
        <w:jc w:val="center"/>
        <w:rPr>
          <w:rFonts w:eastAsia="楷体_GB2312"/>
          <w:color w:val="000000" w:themeColor="text1"/>
          <w:highlight w:val="none"/>
          <w14:textFill>
            <w14:solidFill>
              <w14:schemeClr w14:val="tx1"/>
            </w14:solidFill>
          </w14:textFill>
        </w:rPr>
      </w:pPr>
    </w:p>
    <w:p w14:paraId="334A4D97">
      <w:pPr>
        <w:spacing w:line="360" w:lineRule="auto"/>
        <w:ind w:leftChars="500"/>
        <w:rPr>
          <w:rFonts w:hint="eastAsia"/>
          <w:b/>
          <w:bCs/>
          <w:sz w:val="32"/>
          <w:szCs w:val="22"/>
          <w:lang w:val="en-US" w:eastAsia="zh-CN"/>
        </w:rPr>
      </w:pPr>
    </w:p>
    <w:p w14:paraId="63745229">
      <w:pPr>
        <w:spacing w:line="360" w:lineRule="auto"/>
        <w:jc w:val="center"/>
        <w:rPr>
          <w:rFonts w:hint="eastAsia"/>
          <w:b/>
          <w:bCs/>
          <w:sz w:val="32"/>
          <w:szCs w:val="22"/>
          <w:lang w:val="en-US" w:eastAsia="zh-CN"/>
        </w:rPr>
      </w:pPr>
      <w:r>
        <w:rPr>
          <w:rFonts w:hint="eastAsia"/>
          <w:bCs/>
          <w:sz w:val="84"/>
          <w:highlight w:val="none"/>
        </w:rPr>
        <w:drawing>
          <wp:inline distT="0" distB="0" distL="114300" distR="114300">
            <wp:extent cx="3007995" cy="2708275"/>
            <wp:effectExtent l="0" t="0" r="1905" b="15875"/>
            <wp:docPr id="11" name="图片 1" descr="69635325c9c7ed726952b1fe30866b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69635325c9c7ed726952b1fe30866b1b"/>
                    <pic:cNvPicPr>
                      <a:picLocks noChangeAspect="1"/>
                    </pic:cNvPicPr>
                  </pic:nvPicPr>
                  <pic:blipFill>
                    <a:blip r:embed="rId12"/>
                    <a:stretch>
                      <a:fillRect/>
                    </a:stretch>
                  </pic:blipFill>
                  <pic:spPr>
                    <a:xfrm>
                      <a:off x="0" y="0"/>
                      <a:ext cx="3007995" cy="2708275"/>
                    </a:xfrm>
                    <a:prstGeom prst="rect">
                      <a:avLst/>
                    </a:prstGeom>
                    <a:noFill/>
                    <a:ln>
                      <a:noFill/>
                    </a:ln>
                  </pic:spPr>
                </pic:pic>
              </a:graphicData>
            </a:graphic>
          </wp:inline>
        </w:drawing>
      </w:r>
    </w:p>
    <w:p w14:paraId="5582D8DA">
      <w:pPr>
        <w:spacing w:line="360" w:lineRule="auto"/>
        <w:rPr>
          <w:rFonts w:hint="eastAsia"/>
          <w:b/>
          <w:bCs/>
          <w:sz w:val="32"/>
          <w:szCs w:val="22"/>
          <w:lang w:val="en-US" w:eastAsia="zh-CN"/>
        </w:rPr>
      </w:pPr>
    </w:p>
    <w:p w14:paraId="69EED3FC">
      <w:pPr>
        <w:spacing w:line="360" w:lineRule="auto"/>
        <w:ind w:firstLine="1285" w:firstLineChars="400"/>
        <w:rPr>
          <w:rFonts w:hint="eastAsia"/>
          <w:b/>
          <w:bCs/>
          <w:sz w:val="32"/>
          <w:szCs w:val="22"/>
          <w:lang w:val="en-US" w:eastAsia="zh-CN"/>
        </w:rPr>
      </w:pPr>
    </w:p>
    <w:p w14:paraId="465DA2BB">
      <w:pPr>
        <w:spacing w:line="480" w:lineRule="auto"/>
        <w:ind w:firstLine="1205" w:firstLineChars="400"/>
        <w:rPr>
          <w:rFonts w:hint="eastAsia" w:ascii="宋体" w:hAnsi="宋体" w:eastAsia="宋体" w:cs="宋体"/>
          <w:b/>
          <w:bCs/>
          <w:sz w:val="30"/>
          <w:szCs w:val="30"/>
        </w:rPr>
      </w:pPr>
      <w:r>
        <w:rPr>
          <w:rFonts w:hint="eastAsia" w:ascii="宋体" w:hAnsi="宋体" w:eastAsia="宋体" w:cs="宋体"/>
          <w:b/>
          <w:bCs/>
          <w:sz w:val="30"/>
          <w:szCs w:val="30"/>
          <w:lang w:val="en-US" w:eastAsia="zh-CN"/>
        </w:rPr>
        <w:t xml:space="preserve">招   标  </w:t>
      </w:r>
      <w:r>
        <w:rPr>
          <w:rFonts w:hint="eastAsia" w:ascii="宋体" w:hAnsi="宋体" w:eastAsia="宋体" w:cs="宋体"/>
          <w:b/>
          <w:bCs/>
          <w:sz w:val="30"/>
          <w:szCs w:val="30"/>
        </w:rPr>
        <w:t xml:space="preserve"> 人：</w:t>
      </w:r>
      <w:r>
        <w:rPr>
          <w:rFonts w:hint="eastAsia" w:ascii="宋体" w:hAnsi="宋体" w:eastAsia="宋体" w:cs="宋体"/>
          <w:b/>
          <w:bCs/>
          <w:sz w:val="30"/>
          <w:szCs w:val="30"/>
          <w:u w:val="single"/>
          <w:lang w:eastAsia="zh-CN"/>
        </w:rPr>
        <w:t>聊城市公安局交通巡逻警察支队直属二大队</w:t>
      </w:r>
    </w:p>
    <w:p w14:paraId="6CF9D04D">
      <w:pPr>
        <w:spacing w:line="480" w:lineRule="auto"/>
        <w:ind w:firstLine="1205" w:firstLineChars="400"/>
        <w:rPr>
          <w:rFonts w:hint="eastAsia" w:ascii="宋体" w:hAnsi="宋体" w:eastAsia="宋体" w:cs="宋体"/>
          <w:b/>
          <w:bCs/>
          <w:sz w:val="30"/>
          <w:szCs w:val="30"/>
          <w:lang w:eastAsia="zh-CN"/>
        </w:rPr>
      </w:pPr>
      <w:r>
        <w:rPr>
          <w:rFonts w:hint="eastAsia" w:ascii="宋体" w:hAnsi="宋体" w:eastAsia="宋体" w:cs="宋体"/>
          <w:b/>
          <w:bCs/>
          <w:sz w:val="30"/>
          <w:szCs w:val="30"/>
          <w:lang w:val="en-US" w:eastAsia="zh-CN"/>
        </w:rPr>
        <w:t>招标</w:t>
      </w:r>
      <w:r>
        <w:rPr>
          <w:rFonts w:hint="eastAsia" w:ascii="宋体" w:hAnsi="宋体" w:eastAsia="宋体" w:cs="宋体"/>
          <w:b/>
          <w:bCs/>
          <w:sz w:val="30"/>
          <w:szCs w:val="30"/>
        </w:rPr>
        <w:t>代理机构：</w:t>
      </w:r>
      <w:r>
        <w:rPr>
          <w:rFonts w:hint="eastAsia" w:ascii="宋体" w:hAnsi="宋体" w:eastAsia="宋体" w:cs="宋体"/>
          <w:b/>
          <w:bCs/>
          <w:sz w:val="30"/>
          <w:szCs w:val="30"/>
          <w:highlight w:val="none"/>
          <w:u w:val="single"/>
          <w:lang w:eastAsia="zh-CN"/>
        </w:rPr>
        <w:t>中凡建设项目管理（山东）有限公司</w:t>
      </w:r>
    </w:p>
    <w:p w14:paraId="3B55828C">
      <w:pPr>
        <w:tabs>
          <w:tab w:val="left" w:pos="6660"/>
        </w:tabs>
        <w:adjustRightInd w:val="0"/>
        <w:snapToGrid w:val="0"/>
        <w:spacing w:line="480" w:lineRule="auto"/>
        <w:ind w:right="1134" w:rightChars="540" w:firstLine="1205" w:firstLineChars="400"/>
        <w:jc w:val="left"/>
        <w:rPr>
          <w:rFonts w:hint="eastAsia" w:ascii="宋体" w:hAnsi="宋体" w:eastAsia="宋体" w:cs="宋体"/>
          <w:b w:val="0"/>
          <w:color w:val="000000" w:themeColor="text1"/>
          <w:sz w:val="30"/>
          <w:szCs w:val="30"/>
          <w:highlight w:val="none"/>
          <w:u w:val="single"/>
          <w14:textFill>
            <w14:solidFill>
              <w14:schemeClr w14:val="tx1"/>
            </w14:solidFill>
          </w14:textFill>
        </w:rPr>
        <w:sectPr>
          <w:headerReference r:id="rId4" w:type="first"/>
          <w:headerReference r:id="rId3" w:type="default"/>
          <w:footerReference r:id="rId5" w:type="default"/>
          <w:pgSz w:w="11905" w:h="16838"/>
          <w:pgMar w:top="1440" w:right="1083" w:bottom="1440" w:left="1083" w:header="1191" w:footer="1077" w:gutter="0"/>
          <w:cols w:space="0" w:num="1"/>
          <w:titlePg/>
          <w:rtlGutter w:val="0"/>
          <w:docGrid w:linePitch="312" w:charSpace="0"/>
        </w:sectPr>
      </w:pPr>
      <w:r>
        <w:rPr>
          <w:rFonts w:hint="eastAsia" w:ascii="宋体" w:hAnsi="宋体" w:eastAsia="宋体" w:cs="宋体"/>
          <w:b/>
          <w:bCs/>
          <w:sz w:val="30"/>
          <w:szCs w:val="30"/>
        </w:rPr>
        <w:t xml:space="preserve">日  </w:t>
      </w:r>
      <w:r>
        <w:rPr>
          <w:rFonts w:hint="eastAsia" w:ascii="宋体" w:hAnsi="宋体" w:eastAsia="宋体" w:cs="宋体"/>
          <w:b/>
          <w:bCs/>
          <w:sz w:val="30"/>
          <w:szCs w:val="30"/>
          <w:lang w:val="en-US" w:eastAsia="zh-CN"/>
        </w:rPr>
        <w:t xml:space="preserve">    </w:t>
      </w:r>
      <w:r>
        <w:rPr>
          <w:rFonts w:hint="eastAsia" w:ascii="宋体" w:hAnsi="宋体" w:eastAsia="宋体" w:cs="宋体"/>
          <w:b/>
          <w:bCs/>
          <w:sz w:val="30"/>
          <w:szCs w:val="30"/>
        </w:rPr>
        <w:t xml:space="preserve">  期:</w:t>
      </w:r>
      <w:r>
        <w:rPr>
          <w:rFonts w:hint="eastAsia" w:ascii="宋体" w:hAnsi="宋体" w:eastAsia="宋体" w:cs="宋体"/>
          <w:b/>
          <w:bCs/>
          <w:sz w:val="30"/>
          <w:szCs w:val="30"/>
          <w:lang w:val="en-US" w:eastAsia="zh-CN"/>
        </w:rPr>
        <w:t xml:space="preserve"> </w:t>
      </w:r>
      <w:r>
        <w:rPr>
          <w:rFonts w:hint="eastAsia" w:ascii="宋体" w:hAnsi="宋体" w:eastAsia="宋体" w:cs="宋体"/>
          <w:b/>
          <w:bCs/>
          <w:sz w:val="30"/>
          <w:szCs w:val="30"/>
          <w:u w:val="single"/>
          <w:lang w:val="en-US" w:eastAsia="zh-CN"/>
        </w:rPr>
        <w:t xml:space="preserve"> </w:t>
      </w:r>
      <w:r>
        <w:rPr>
          <w:rFonts w:hint="eastAsia" w:ascii="宋体" w:hAnsi="宋体" w:eastAsia="宋体" w:cs="宋体"/>
          <w:b/>
          <w:bCs/>
          <w:sz w:val="30"/>
          <w:szCs w:val="30"/>
          <w:u w:val="single"/>
        </w:rPr>
        <w:t>二〇二</w:t>
      </w:r>
      <w:r>
        <w:rPr>
          <w:rFonts w:hint="eastAsia" w:ascii="宋体" w:hAnsi="宋体" w:eastAsia="宋体" w:cs="宋体"/>
          <w:b/>
          <w:bCs/>
          <w:sz w:val="30"/>
          <w:szCs w:val="30"/>
          <w:u w:val="single"/>
          <w:lang w:val="en-US" w:eastAsia="zh-CN"/>
        </w:rPr>
        <w:t>四</w:t>
      </w:r>
      <w:r>
        <w:rPr>
          <w:rFonts w:hint="eastAsia" w:ascii="宋体" w:hAnsi="宋体" w:eastAsia="宋体" w:cs="宋体"/>
          <w:b/>
          <w:bCs/>
          <w:sz w:val="30"/>
          <w:szCs w:val="30"/>
          <w:u w:val="single"/>
        </w:rPr>
        <w:t>年</w:t>
      </w:r>
      <w:r>
        <w:rPr>
          <w:rFonts w:hint="eastAsia" w:ascii="宋体" w:hAnsi="宋体" w:eastAsia="宋体" w:cs="宋体"/>
          <w:b/>
          <w:bCs/>
          <w:sz w:val="30"/>
          <w:szCs w:val="30"/>
          <w:u w:val="single"/>
          <w:lang w:val="en-US" w:eastAsia="zh-CN"/>
        </w:rPr>
        <w:t>十一</w:t>
      </w:r>
      <w:r>
        <w:rPr>
          <w:rFonts w:hint="eastAsia" w:ascii="宋体" w:hAnsi="宋体" w:eastAsia="宋体" w:cs="宋体"/>
          <w:b/>
          <w:bCs/>
          <w:sz w:val="30"/>
          <w:szCs w:val="30"/>
          <w:u w:val="single"/>
        </w:rPr>
        <w:t>月</w:t>
      </w:r>
    </w:p>
    <w:p w14:paraId="5ADD39CB">
      <w:pPr>
        <w:rPr>
          <w:highlight w:val="none"/>
        </w:rPr>
      </w:pPr>
    </w:p>
    <w:p w14:paraId="5E950E49">
      <w:pPr>
        <w:pStyle w:val="52"/>
        <w:spacing w:after="0" w:line="700" w:lineRule="exact"/>
        <w:ind w:left="0" w:leftChars="0" w:firstLine="0" w:firstLineChars="0"/>
        <w:jc w:val="center"/>
        <w:textAlignment w:val="center"/>
        <w:rPr>
          <w:b w:val="0"/>
          <w:color w:val="000000" w:themeColor="text1"/>
          <w:sz w:val="32"/>
          <w:szCs w:val="28"/>
          <w:highlight w:val="none"/>
          <w14:textFill>
            <w14:solidFill>
              <w14:schemeClr w14:val="tx1"/>
            </w14:solidFill>
          </w14:textFill>
        </w:rPr>
      </w:pPr>
      <w:r>
        <w:rPr>
          <w:rFonts w:ascii="Times New Roman" w:hAnsi="Times New Roman"/>
          <w:color w:val="000000" w:themeColor="text1"/>
          <w:sz w:val="52"/>
          <w:szCs w:val="52"/>
          <w:highlight w:val="none"/>
          <w14:textFill>
            <w14:solidFill>
              <w14:schemeClr w14:val="tx1"/>
            </w14:solidFill>
          </w14:textFill>
        </w:rPr>
        <w:t>目录</w:t>
      </w:r>
    </w:p>
    <w:p w14:paraId="0C913A9C">
      <w:pPr>
        <w:pStyle w:val="52"/>
        <w:tabs>
          <w:tab w:val="right" w:leader="dot" w:pos="9184"/>
          <w:tab w:val="clear" w:pos="9060"/>
        </w:tabs>
        <w:spacing w:line="360" w:lineRule="auto"/>
        <w:ind w:left="0" w:leftChars="0" w:firstLine="0" w:firstLineChars="0"/>
        <w:jc w:val="both"/>
        <w:rPr>
          <w:highlight w:val="none"/>
        </w:rPr>
      </w:pPr>
      <w:r>
        <w:rPr>
          <w:b w:val="0"/>
          <w:color w:val="000000" w:themeColor="text1"/>
          <w:highlight w:val="none"/>
          <w14:textFill>
            <w14:solidFill>
              <w14:schemeClr w14:val="tx1"/>
            </w14:solidFill>
          </w14:textFill>
        </w:rPr>
        <w:fldChar w:fldCharType="begin"/>
      </w:r>
      <w:r>
        <w:rPr>
          <w:b w:val="0"/>
          <w:color w:val="000000" w:themeColor="text1"/>
          <w:highlight w:val="none"/>
          <w14:textFill>
            <w14:solidFill>
              <w14:schemeClr w14:val="tx1"/>
            </w14:solidFill>
          </w14:textFill>
        </w:rPr>
        <w:instrText xml:space="preserve"> TOC \o "1-2" \h \z \u </w:instrText>
      </w:r>
      <w:r>
        <w:rPr>
          <w:b w:val="0"/>
          <w:color w:val="000000" w:themeColor="text1"/>
          <w:highlight w:val="none"/>
          <w14:textFill>
            <w14:solidFill>
              <w14:schemeClr w14:val="tx1"/>
            </w14:solidFill>
          </w14:textFill>
        </w:rPr>
        <w:fldChar w:fldCharType="separate"/>
      </w:r>
    </w:p>
    <w:p w14:paraId="2F4C1C2A">
      <w:pPr>
        <w:pStyle w:val="3"/>
        <w:tabs>
          <w:tab w:val="right" w:leader="dot" w:pos="8640"/>
        </w:tabs>
        <w:spacing w:before="0" w:after="0" w:line="600" w:lineRule="exact"/>
        <w:jc w:val="center"/>
        <w:textAlignment w:val="center"/>
        <w:outlineLvl w:val="9"/>
        <w:rPr>
          <w:rFonts w:ascii="宋体" w:hAnsi="宋体"/>
          <w:b w:val="0"/>
          <w:color w:val="000000" w:themeColor="text1"/>
          <w:szCs w:val="24"/>
          <w:highlight w:val="none"/>
          <w14:textFill>
            <w14:solidFill>
              <w14:schemeClr w14:val="tx1"/>
            </w14:solidFill>
          </w14:textFill>
        </w:rPr>
      </w:pPr>
      <w:r>
        <w:rPr>
          <w:rFonts w:ascii="宋体" w:hAnsi="宋体"/>
          <w:b w:val="0"/>
          <w:color w:val="000000" w:themeColor="text1"/>
          <w:szCs w:val="24"/>
          <w:highlight w:val="none"/>
          <w14:textFill>
            <w14:solidFill>
              <w14:schemeClr w14:val="tx1"/>
            </w14:solidFill>
          </w14:textFill>
        </w:rPr>
        <w:fldChar w:fldCharType="end"/>
      </w:r>
      <w:bookmarkStart w:id="0" w:name="_Toc24525"/>
      <w:bookmarkStart w:id="1" w:name="_Toc353257255"/>
    </w:p>
    <w:sdt>
      <w:sdtPr>
        <w:rPr>
          <w:rFonts w:ascii="宋体" w:hAnsi="宋体" w:eastAsia="宋体" w:cs="Times New Roman"/>
          <w:kern w:val="2"/>
          <w:sz w:val="36"/>
          <w:szCs w:val="36"/>
          <w:highlight w:val="none"/>
          <w:lang w:val="en-US" w:eastAsia="zh-CN" w:bidi="ar-SA"/>
        </w:rPr>
        <w:id w:val="147483372"/>
        <w15:color w:val="DBDBDB"/>
        <w:docPartObj>
          <w:docPartGallery w:val="Table of Contents"/>
          <w:docPartUnique/>
        </w:docPartObj>
      </w:sdtPr>
      <w:sdtEndPr>
        <w:rPr>
          <w:rFonts w:ascii="宋体" w:hAnsi="宋体" w:eastAsia="宋体" w:cs="Times New Roman"/>
          <w:kern w:val="2"/>
          <w:sz w:val="36"/>
          <w:szCs w:val="36"/>
          <w:highlight w:val="none"/>
          <w:lang w:val="en-US" w:eastAsia="zh-CN" w:bidi="ar-SA"/>
        </w:rPr>
      </w:sdtEndPr>
      <w:sdtContent>
        <w:p w14:paraId="21424C9C">
          <w:pPr>
            <w:spacing w:before="0" w:beforeLines="0" w:after="0" w:afterLines="0" w:line="240" w:lineRule="auto"/>
            <w:ind w:left="0" w:leftChars="0" w:right="0" w:rightChars="0" w:firstLine="0" w:firstLineChars="0"/>
            <w:jc w:val="center"/>
            <w:rPr>
              <w:sz w:val="36"/>
              <w:szCs w:val="36"/>
              <w:highlight w:val="none"/>
            </w:rPr>
          </w:pPr>
        </w:p>
        <w:p w14:paraId="63718390">
          <w:pPr>
            <w:pStyle w:val="713"/>
            <w:tabs>
              <w:tab w:val="right" w:leader="dot" w:pos="9718"/>
            </w:tabs>
            <w:spacing w:line="480" w:lineRule="auto"/>
            <w:rPr>
              <w:sz w:val="30"/>
              <w:szCs w:val="30"/>
              <w:highlight w:val="none"/>
            </w:rPr>
          </w:pPr>
          <w:r>
            <w:rPr>
              <w:highlight w:val="none"/>
            </w:rPr>
            <w:fldChar w:fldCharType="begin"/>
          </w:r>
          <w:r>
            <w:rPr>
              <w:highlight w:val="none"/>
            </w:rPr>
            <w:instrText xml:space="preserve">TOC \o "1-1" \h \u </w:instrText>
          </w:r>
          <w:r>
            <w:rPr>
              <w:highlight w:val="none"/>
            </w:rPr>
            <w:fldChar w:fldCharType="separate"/>
          </w:r>
          <w:r>
            <w:rPr>
              <w:sz w:val="30"/>
              <w:szCs w:val="30"/>
              <w:highlight w:val="none"/>
            </w:rPr>
            <w:fldChar w:fldCharType="begin"/>
          </w:r>
          <w:r>
            <w:rPr>
              <w:sz w:val="30"/>
              <w:szCs w:val="30"/>
              <w:highlight w:val="none"/>
            </w:rPr>
            <w:instrText xml:space="preserve"> HYPERLINK \l _Toc16602 </w:instrText>
          </w:r>
          <w:r>
            <w:rPr>
              <w:sz w:val="30"/>
              <w:szCs w:val="30"/>
              <w:highlight w:val="none"/>
            </w:rPr>
            <w:fldChar w:fldCharType="separate"/>
          </w:r>
          <w:r>
            <w:rPr>
              <w:sz w:val="30"/>
              <w:szCs w:val="30"/>
              <w:highlight w:val="none"/>
            </w:rPr>
            <w:t>第一部分</w:t>
          </w:r>
          <w:r>
            <w:rPr>
              <w:rFonts w:hint="eastAsia"/>
              <w:sz w:val="30"/>
              <w:szCs w:val="30"/>
              <w:highlight w:val="none"/>
              <w:lang w:val="en-US" w:eastAsia="zh-CN"/>
            </w:rPr>
            <w:t xml:space="preserve">  </w:t>
          </w:r>
          <w:r>
            <w:rPr>
              <w:sz w:val="30"/>
              <w:szCs w:val="30"/>
              <w:highlight w:val="none"/>
            </w:rPr>
            <w:t>招标公告</w:t>
          </w:r>
          <w:r>
            <w:rPr>
              <w:sz w:val="30"/>
              <w:szCs w:val="30"/>
              <w:highlight w:val="none"/>
            </w:rPr>
            <w:tab/>
          </w:r>
          <w:r>
            <w:rPr>
              <w:sz w:val="30"/>
              <w:szCs w:val="30"/>
              <w:highlight w:val="none"/>
            </w:rPr>
            <w:fldChar w:fldCharType="begin"/>
          </w:r>
          <w:r>
            <w:rPr>
              <w:sz w:val="30"/>
              <w:szCs w:val="30"/>
              <w:highlight w:val="none"/>
            </w:rPr>
            <w:instrText xml:space="preserve"> PAGEREF _Toc16602 </w:instrText>
          </w:r>
          <w:r>
            <w:rPr>
              <w:sz w:val="30"/>
              <w:szCs w:val="30"/>
              <w:highlight w:val="none"/>
            </w:rPr>
            <w:fldChar w:fldCharType="separate"/>
          </w:r>
          <w:r>
            <w:rPr>
              <w:sz w:val="30"/>
              <w:szCs w:val="30"/>
              <w:highlight w:val="none"/>
            </w:rPr>
            <w:t>6</w:t>
          </w:r>
          <w:r>
            <w:rPr>
              <w:sz w:val="30"/>
              <w:szCs w:val="30"/>
              <w:highlight w:val="none"/>
            </w:rPr>
            <w:fldChar w:fldCharType="end"/>
          </w:r>
          <w:r>
            <w:rPr>
              <w:sz w:val="30"/>
              <w:szCs w:val="30"/>
              <w:highlight w:val="none"/>
            </w:rPr>
            <w:fldChar w:fldCharType="end"/>
          </w:r>
        </w:p>
        <w:p w14:paraId="65BC4982">
          <w:pPr>
            <w:pStyle w:val="713"/>
            <w:tabs>
              <w:tab w:val="right" w:leader="dot" w:pos="9718"/>
            </w:tabs>
            <w:spacing w:line="480" w:lineRule="auto"/>
            <w:rPr>
              <w:sz w:val="30"/>
              <w:szCs w:val="30"/>
              <w:highlight w:val="none"/>
            </w:rPr>
          </w:pPr>
          <w:r>
            <w:rPr>
              <w:sz w:val="30"/>
              <w:szCs w:val="30"/>
              <w:highlight w:val="none"/>
            </w:rPr>
            <w:fldChar w:fldCharType="begin"/>
          </w:r>
          <w:r>
            <w:rPr>
              <w:sz w:val="30"/>
              <w:szCs w:val="30"/>
              <w:highlight w:val="none"/>
            </w:rPr>
            <w:instrText xml:space="preserve"> HYPERLINK \l _Toc3399 </w:instrText>
          </w:r>
          <w:r>
            <w:rPr>
              <w:sz w:val="30"/>
              <w:szCs w:val="30"/>
              <w:highlight w:val="none"/>
            </w:rPr>
            <w:fldChar w:fldCharType="separate"/>
          </w:r>
          <w:r>
            <w:rPr>
              <w:sz w:val="30"/>
              <w:szCs w:val="30"/>
              <w:highlight w:val="none"/>
            </w:rPr>
            <w:t>第二部分  投标人须知</w:t>
          </w:r>
          <w:r>
            <w:rPr>
              <w:sz w:val="30"/>
              <w:szCs w:val="30"/>
              <w:highlight w:val="none"/>
            </w:rPr>
            <w:tab/>
          </w:r>
          <w:r>
            <w:rPr>
              <w:rFonts w:hint="eastAsia"/>
              <w:sz w:val="30"/>
              <w:szCs w:val="30"/>
              <w:highlight w:val="none"/>
              <w:lang w:val="en-US" w:eastAsia="zh-CN"/>
            </w:rPr>
            <w:t>6</w:t>
          </w:r>
          <w:r>
            <w:rPr>
              <w:sz w:val="30"/>
              <w:szCs w:val="30"/>
              <w:highlight w:val="none"/>
            </w:rPr>
            <w:fldChar w:fldCharType="end"/>
          </w:r>
        </w:p>
        <w:p w14:paraId="4895BED0">
          <w:pPr>
            <w:pStyle w:val="713"/>
            <w:tabs>
              <w:tab w:val="right" w:leader="dot" w:pos="9718"/>
            </w:tabs>
            <w:spacing w:line="480" w:lineRule="auto"/>
            <w:rPr>
              <w:sz w:val="30"/>
              <w:szCs w:val="30"/>
              <w:highlight w:val="none"/>
            </w:rPr>
          </w:pPr>
          <w:r>
            <w:rPr>
              <w:sz w:val="30"/>
              <w:szCs w:val="30"/>
              <w:highlight w:val="none"/>
            </w:rPr>
            <w:fldChar w:fldCharType="begin"/>
          </w:r>
          <w:r>
            <w:rPr>
              <w:sz w:val="30"/>
              <w:szCs w:val="30"/>
              <w:highlight w:val="none"/>
            </w:rPr>
            <w:instrText xml:space="preserve"> HYPERLINK \l _Toc28331 </w:instrText>
          </w:r>
          <w:r>
            <w:rPr>
              <w:sz w:val="30"/>
              <w:szCs w:val="30"/>
              <w:highlight w:val="none"/>
            </w:rPr>
            <w:fldChar w:fldCharType="separate"/>
          </w:r>
          <w:r>
            <w:rPr>
              <w:sz w:val="30"/>
              <w:szCs w:val="30"/>
              <w:highlight w:val="none"/>
            </w:rPr>
            <w:t>第三部分  项目说明</w:t>
          </w:r>
          <w:r>
            <w:rPr>
              <w:sz w:val="30"/>
              <w:szCs w:val="30"/>
              <w:highlight w:val="none"/>
            </w:rPr>
            <w:tab/>
          </w:r>
          <w:r>
            <w:rPr>
              <w:sz w:val="30"/>
              <w:szCs w:val="30"/>
              <w:highlight w:val="none"/>
            </w:rPr>
            <w:fldChar w:fldCharType="begin"/>
          </w:r>
          <w:r>
            <w:rPr>
              <w:sz w:val="30"/>
              <w:szCs w:val="30"/>
              <w:highlight w:val="none"/>
            </w:rPr>
            <w:instrText xml:space="preserve"> PAGEREF _Toc28331 </w:instrText>
          </w:r>
          <w:r>
            <w:rPr>
              <w:sz w:val="30"/>
              <w:szCs w:val="30"/>
              <w:highlight w:val="none"/>
            </w:rPr>
            <w:fldChar w:fldCharType="separate"/>
          </w:r>
          <w:r>
            <w:rPr>
              <w:sz w:val="30"/>
              <w:szCs w:val="30"/>
              <w:highlight w:val="none"/>
            </w:rPr>
            <w:t>24</w:t>
          </w:r>
          <w:r>
            <w:rPr>
              <w:sz w:val="30"/>
              <w:szCs w:val="30"/>
              <w:highlight w:val="none"/>
            </w:rPr>
            <w:fldChar w:fldCharType="end"/>
          </w:r>
          <w:r>
            <w:rPr>
              <w:sz w:val="30"/>
              <w:szCs w:val="30"/>
              <w:highlight w:val="none"/>
            </w:rPr>
            <w:fldChar w:fldCharType="end"/>
          </w:r>
        </w:p>
        <w:p w14:paraId="069DD641">
          <w:pPr>
            <w:pStyle w:val="713"/>
            <w:tabs>
              <w:tab w:val="right" w:leader="dot" w:pos="9718"/>
            </w:tabs>
            <w:spacing w:line="480" w:lineRule="auto"/>
            <w:rPr>
              <w:rFonts w:hint="eastAsia" w:eastAsia="宋体"/>
              <w:sz w:val="30"/>
              <w:szCs w:val="30"/>
              <w:highlight w:val="none"/>
              <w:lang w:val="en-US" w:eastAsia="zh-CN"/>
            </w:rPr>
          </w:pPr>
          <w:r>
            <w:rPr>
              <w:sz w:val="30"/>
              <w:szCs w:val="30"/>
              <w:highlight w:val="none"/>
            </w:rPr>
            <w:fldChar w:fldCharType="begin"/>
          </w:r>
          <w:r>
            <w:rPr>
              <w:sz w:val="30"/>
              <w:szCs w:val="30"/>
              <w:highlight w:val="none"/>
            </w:rPr>
            <w:instrText xml:space="preserve"> HYPERLINK \l _Toc4256 </w:instrText>
          </w:r>
          <w:r>
            <w:rPr>
              <w:sz w:val="30"/>
              <w:szCs w:val="30"/>
              <w:highlight w:val="none"/>
            </w:rPr>
            <w:fldChar w:fldCharType="separate"/>
          </w:r>
          <w:r>
            <w:rPr>
              <w:sz w:val="30"/>
              <w:szCs w:val="30"/>
              <w:highlight w:val="none"/>
            </w:rPr>
            <w:t>第四部分  开标、评标、定标</w:t>
          </w:r>
          <w:r>
            <w:rPr>
              <w:sz w:val="30"/>
              <w:szCs w:val="30"/>
              <w:highlight w:val="none"/>
            </w:rPr>
            <w:tab/>
          </w:r>
          <w:r>
            <w:rPr>
              <w:rFonts w:hint="eastAsia"/>
              <w:sz w:val="30"/>
              <w:szCs w:val="30"/>
              <w:highlight w:val="none"/>
              <w:lang w:val="en-US" w:eastAsia="zh-CN"/>
            </w:rPr>
            <w:t>3</w:t>
          </w:r>
          <w:r>
            <w:rPr>
              <w:sz w:val="30"/>
              <w:szCs w:val="30"/>
              <w:highlight w:val="none"/>
            </w:rPr>
            <w:fldChar w:fldCharType="end"/>
          </w:r>
          <w:r>
            <w:rPr>
              <w:rFonts w:hint="eastAsia"/>
              <w:sz w:val="30"/>
              <w:szCs w:val="30"/>
              <w:highlight w:val="none"/>
              <w:lang w:val="en-US" w:eastAsia="zh-CN"/>
            </w:rPr>
            <w:t>0</w:t>
          </w:r>
        </w:p>
        <w:p w14:paraId="0BB23A53">
          <w:pPr>
            <w:pStyle w:val="713"/>
            <w:tabs>
              <w:tab w:val="right" w:leader="dot" w:pos="9718"/>
            </w:tabs>
            <w:spacing w:line="480" w:lineRule="auto"/>
            <w:rPr>
              <w:rFonts w:hint="eastAsia" w:eastAsia="宋体"/>
              <w:sz w:val="30"/>
              <w:szCs w:val="30"/>
              <w:highlight w:val="none"/>
              <w:lang w:val="en-US" w:eastAsia="zh-CN"/>
            </w:rPr>
          </w:pPr>
          <w:r>
            <w:rPr>
              <w:sz w:val="30"/>
              <w:szCs w:val="30"/>
              <w:highlight w:val="none"/>
            </w:rPr>
            <w:fldChar w:fldCharType="begin"/>
          </w:r>
          <w:r>
            <w:rPr>
              <w:sz w:val="30"/>
              <w:szCs w:val="30"/>
              <w:highlight w:val="none"/>
            </w:rPr>
            <w:instrText xml:space="preserve"> HYPERLINK \l _Toc22919 </w:instrText>
          </w:r>
          <w:r>
            <w:rPr>
              <w:sz w:val="30"/>
              <w:szCs w:val="30"/>
              <w:highlight w:val="none"/>
            </w:rPr>
            <w:fldChar w:fldCharType="separate"/>
          </w:r>
          <w:r>
            <w:rPr>
              <w:sz w:val="30"/>
              <w:szCs w:val="30"/>
              <w:highlight w:val="none"/>
            </w:rPr>
            <w:t>第五部分  合同格式</w:t>
          </w:r>
          <w:r>
            <w:rPr>
              <w:sz w:val="30"/>
              <w:szCs w:val="30"/>
              <w:highlight w:val="none"/>
            </w:rPr>
            <w:tab/>
          </w:r>
          <w:r>
            <w:rPr>
              <w:rFonts w:hint="eastAsia"/>
              <w:sz w:val="30"/>
              <w:szCs w:val="30"/>
              <w:highlight w:val="none"/>
              <w:lang w:val="en-US" w:eastAsia="zh-CN"/>
            </w:rPr>
            <w:t>4</w:t>
          </w:r>
          <w:r>
            <w:rPr>
              <w:sz w:val="30"/>
              <w:szCs w:val="30"/>
              <w:highlight w:val="none"/>
            </w:rPr>
            <w:fldChar w:fldCharType="end"/>
          </w:r>
          <w:r>
            <w:rPr>
              <w:rFonts w:hint="eastAsia"/>
              <w:sz w:val="30"/>
              <w:szCs w:val="30"/>
              <w:highlight w:val="none"/>
              <w:lang w:val="en-US" w:eastAsia="zh-CN"/>
            </w:rPr>
            <w:t>0</w:t>
          </w:r>
        </w:p>
        <w:p w14:paraId="7B348C11">
          <w:pPr>
            <w:pStyle w:val="713"/>
            <w:tabs>
              <w:tab w:val="right" w:leader="dot" w:pos="9718"/>
            </w:tabs>
            <w:spacing w:line="480" w:lineRule="auto"/>
            <w:rPr>
              <w:rFonts w:hint="eastAsia" w:eastAsia="宋体"/>
              <w:sz w:val="30"/>
              <w:szCs w:val="30"/>
              <w:highlight w:val="none"/>
              <w:lang w:val="en-US" w:eastAsia="zh-CN"/>
            </w:rPr>
          </w:pPr>
          <w:r>
            <w:rPr>
              <w:sz w:val="30"/>
              <w:szCs w:val="30"/>
              <w:highlight w:val="none"/>
            </w:rPr>
            <w:fldChar w:fldCharType="begin"/>
          </w:r>
          <w:r>
            <w:rPr>
              <w:sz w:val="30"/>
              <w:szCs w:val="30"/>
              <w:highlight w:val="none"/>
            </w:rPr>
            <w:instrText xml:space="preserve"> HYPERLINK \l _Toc21421 </w:instrText>
          </w:r>
          <w:r>
            <w:rPr>
              <w:sz w:val="30"/>
              <w:szCs w:val="30"/>
              <w:highlight w:val="none"/>
            </w:rPr>
            <w:fldChar w:fldCharType="separate"/>
          </w:r>
          <w:r>
            <w:rPr>
              <w:sz w:val="30"/>
              <w:szCs w:val="30"/>
              <w:highlight w:val="none"/>
            </w:rPr>
            <w:t>第六部分  投标书格式</w:t>
          </w:r>
          <w:r>
            <w:rPr>
              <w:sz w:val="30"/>
              <w:szCs w:val="30"/>
              <w:highlight w:val="none"/>
            </w:rPr>
            <w:tab/>
          </w:r>
          <w:r>
            <w:rPr>
              <w:rFonts w:hint="eastAsia"/>
              <w:sz w:val="30"/>
              <w:szCs w:val="30"/>
              <w:highlight w:val="none"/>
              <w:lang w:val="en-US" w:eastAsia="zh-CN"/>
            </w:rPr>
            <w:t>4</w:t>
          </w:r>
          <w:r>
            <w:rPr>
              <w:sz w:val="30"/>
              <w:szCs w:val="30"/>
              <w:highlight w:val="none"/>
            </w:rPr>
            <w:fldChar w:fldCharType="end"/>
          </w:r>
          <w:r>
            <w:rPr>
              <w:rFonts w:hint="eastAsia"/>
              <w:sz w:val="30"/>
              <w:szCs w:val="30"/>
              <w:highlight w:val="none"/>
              <w:lang w:val="en-US" w:eastAsia="zh-CN"/>
            </w:rPr>
            <w:t>5</w:t>
          </w:r>
        </w:p>
        <w:p w14:paraId="22F09B4E">
          <w:pPr>
            <w:pStyle w:val="713"/>
            <w:tabs>
              <w:tab w:val="right" w:leader="dot" w:pos="9718"/>
            </w:tabs>
            <w:spacing w:line="480" w:lineRule="auto"/>
            <w:rPr>
              <w:rFonts w:hint="eastAsia" w:eastAsia="宋体"/>
              <w:highlight w:val="none"/>
              <w:lang w:val="en-US" w:eastAsia="zh-CN"/>
            </w:rPr>
          </w:pPr>
          <w:r>
            <w:rPr>
              <w:sz w:val="30"/>
              <w:szCs w:val="30"/>
              <w:highlight w:val="none"/>
            </w:rPr>
            <w:fldChar w:fldCharType="begin"/>
          </w:r>
          <w:r>
            <w:rPr>
              <w:sz w:val="30"/>
              <w:szCs w:val="30"/>
              <w:highlight w:val="none"/>
            </w:rPr>
            <w:instrText xml:space="preserve"> HYPERLINK \l _Toc31789 </w:instrText>
          </w:r>
          <w:r>
            <w:rPr>
              <w:sz w:val="30"/>
              <w:szCs w:val="30"/>
              <w:highlight w:val="none"/>
            </w:rPr>
            <w:fldChar w:fldCharType="separate"/>
          </w:r>
          <w:r>
            <w:rPr>
              <w:rFonts w:ascii="Times New Roman" w:hAnsi="Times New Roman" w:eastAsia="宋体" w:cs="Times New Roman"/>
              <w:sz w:val="30"/>
              <w:szCs w:val="30"/>
              <w:highlight w:val="none"/>
            </w:rPr>
            <w:t>操作手册</w:t>
          </w:r>
          <w:r>
            <w:rPr>
              <w:sz w:val="30"/>
              <w:szCs w:val="30"/>
              <w:highlight w:val="none"/>
            </w:rPr>
            <w:tab/>
          </w:r>
          <w:r>
            <w:rPr>
              <w:rFonts w:hint="eastAsia"/>
              <w:sz w:val="30"/>
              <w:szCs w:val="30"/>
              <w:highlight w:val="none"/>
              <w:lang w:val="en-US" w:eastAsia="zh-CN"/>
            </w:rPr>
            <w:t>9</w:t>
          </w:r>
          <w:r>
            <w:rPr>
              <w:sz w:val="30"/>
              <w:szCs w:val="30"/>
              <w:highlight w:val="none"/>
            </w:rPr>
            <w:fldChar w:fldCharType="end"/>
          </w:r>
          <w:r>
            <w:rPr>
              <w:rFonts w:hint="eastAsia"/>
              <w:sz w:val="30"/>
              <w:szCs w:val="30"/>
              <w:highlight w:val="none"/>
              <w:lang w:val="en-US" w:eastAsia="zh-CN"/>
            </w:rPr>
            <w:t>2</w:t>
          </w:r>
        </w:p>
        <w:p w14:paraId="03664E50">
          <w:pPr>
            <w:pStyle w:val="713"/>
            <w:tabs>
              <w:tab w:val="right" w:leader="dot" w:pos="9718"/>
            </w:tabs>
            <w:rPr>
              <w:highlight w:val="none"/>
            </w:rPr>
          </w:pPr>
        </w:p>
        <w:p w14:paraId="4D3A5CBE">
          <w:pPr>
            <w:rPr>
              <w:rFonts w:ascii="宋体" w:hAnsi="宋体" w:eastAsia="宋体" w:cs="Times New Roman"/>
              <w:kern w:val="2"/>
              <w:sz w:val="36"/>
              <w:szCs w:val="36"/>
              <w:highlight w:val="none"/>
              <w:lang w:val="en-US" w:eastAsia="zh-CN" w:bidi="ar-SA"/>
            </w:rPr>
          </w:pPr>
          <w:r>
            <w:rPr>
              <w:highlight w:val="none"/>
            </w:rPr>
            <w:fldChar w:fldCharType="end"/>
          </w:r>
        </w:p>
      </w:sdtContent>
    </w:sdt>
    <w:p w14:paraId="4D6C3AA9">
      <w:pPr>
        <w:bidi w:val="0"/>
        <w:rPr>
          <w:rFonts w:ascii="Times New Roman" w:hAnsi="Times New Roman" w:eastAsia="宋体" w:cs="Times New Roman"/>
          <w:kern w:val="2"/>
          <w:sz w:val="21"/>
          <w:highlight w:val="none"/>
          <w:lang w:val="en-US" w:eastAsia="zh-CN" w:bidi="ar-SA"/>
        </w:rPr>
      </w:pPr>
    </w:p>
    <w:p w14:paraId="6F1D8A4C">
      <w:pPr>
        <w:bidi w:val="0"/>
        <w:rPr>
          <w:highlight w:val="none"/>
          <w:lang w:val="en-US" w:eastAsia="zh-CN"/>
        </w:rPr>
      </w:pPr>
    </w:p>
    <w:p w14:paraId="25B0C7AA">
      <w:pPr>
        <w:bidi w:val="0"/>
        <w:rPr>
          <w:highlight w:val="none"/>
          <w:lang w:val="en-US" w:eastAsia="zh-CN"/>
        </w:rPr>
      </w:pPr>
    </w:p>
    <w:p w14:paraId="6E804589">
      <w:pPr>
        <w:bidi w:val="0"/>
        <w:rPr>
          <w:highlight w:val="none"/>
          <w:lang w:val="en-US" w:eastAsia="zh-CN"/>
        </w:rPr>
      </w:pPr>
    </w:p>
    <w:p w14:paraId="575D3986">
      <w:pPr>
        <w:bidi w:val="0"/>
        <w:rPr>
          <w:highlight w:val="none"/>
          <w:lang w:val="en-US" w:eastAsia="zh-CN"/>
        </w:rPr>
      </w:pPr>
    </w:p>
    <w:p w14:paraId="65F222ED">
      <w:pPr>
        <w:bidi w:val="0"/>
        <w:rPr>
          <w:highlight w:val="none"/>
          <w:lang w:val="en-US" w:eastAsia="zh-CN"/>
        </w:rPr>
      </w:pPr>
    </w:p>
    <w:p w14:paraId="0C8453AC">
      <w:pPr>
        <w:bidi w:val="0"/>
        <w:rPr>
          <w:highlight w:val="none"/>
          <w:lang w:val="en-US" w:eastAsia="zh-CN"/>
        </w:rPr>
      </w:pPr>
    </w:p>
    <w:p w14:paraId="429B0A69">
      <w:pPr>
        <w:bidi w:val="0"/>
        <w:rPr>
          <w:highlight w:val="none"/>
          <w:lang w:val="en-US" w:eastAsia="zh-CN"/>
        </w:rPr>
      </w:pPr>
    </w:p>
    <w:p w14:paraId="113ED315">
      <w:pPr>
        <w:bidi w:val="0"/>
        <w:rPr>
          <w:highlight w:val="none"/>
          <w:lang w:val="en-US" w:eastAsia="zh-CN"/>
        </w:rPr>
      </w:pPr>
    </w:p>
    <w:p w14:paraId="32A19A4D">
      <w:pPr>
        <w:rPr>
          <w:rFonts w:hint="eastAsia"/>
          <w:highlight w:val="none"/>
          <w:lang w:val="en-US" w:eastAsia="zh-CN"/>
        </w:rPr>
      </w:pPr>
      <w:r>
        <w:rPr>
          <w:rFonts w:hint="eastAsia"/>
          <w:highlight w:val="none"/>
          <w:lang w:val="en-US" w:eastAsia="zh-CN"/>
        </w:rPr>
        <w:br w:type="page"/>
      </w:r>
    </w:p>
    <w:p w14:paraId="22217890">
      <w:pPr>
        <w:pStyle w:val="3"/>
        <w:tabs>
          <w:tab w:val="right" w:leader="dot" w:pos="8640"/>
        </w:tabs>
        <w:spacing w:before="0" w:after="0" w:line="600" w:lineRule="exact"/>
        <w:jc w:val="center"/>
        <w:textAlignment w:val="center"/>
        <w:outlineLvl w:val="0"/>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第一部分招标公告</w:t>
      </w:r>
    </w:p>
    <w:p w14:paraId="38277BAD">
      <w:pPr>
        <w:spacing w:line="360" w:lineRule="auto"/>
        <w:jc w:val="center"/>
        <w:rPr>
          <w:rFonts w:hint="eastAsia" w:eastAsia="宋体"/>
          <w:highlight w:val="none"/>
          <w:lang w:val="en-US" w:eastAsia="zh-CN"/>
        </w:rPr>
      </w:pPr>
      <w:r>
        <w:rPr>
          <w:rFonts w:hint="eastAsia" w:ascii="宋体" w:hAnsi="宋体" w:cs="宋体"/>
          <w:i w:val="0"/>
          <w:iCs w:val="0"/>
          <w:sz w:val="24"/>
          <w:szCs w:val="24"/>
          <w:highlight w:val="none"/>
          <w:u w:val="none"/>
          <w:lang w:eastAsia="zh-CN"/>
        </w:rPr>
        <w:t>聊城市公安局交通巡逻警察支队直属二大队食材采购项目</w:t>
      </w:r>
      <w:r>
        <w:rPr>
          <w:rFonts w:hint="eastAsia" w:ascii="宋体" w:hAnsi="宋体" w:cs="宋体"/>
          <w:sz w:val="24"/>
          <w:szCs w:val="24"/>
          <w:highlight w:val="none"/>
          <w:lang w:eastAsia="zh-CN"/>
        </w:rPr>
        <w:t>招标公告</w:t>
      </w:r>
    </w:p>
    <w:p w14:paraId="0A66DA76">
      <w:pPr>
        <w:pageBreakBefore w:val="0"/>
        <w:pBdr>
          <w:top w:val="single" w:color="auto" w:sz="4" w:space="1"/>
          <w:left w:val="single" w:color="auto" w:sz="4" w:space="4"/>
          <w:bottom w:val="single" w:color="auto" w:sz="4" w:space="1"/>
          <w:right w:val="single" w:color="auto" w:sz="4" w:space="4"/>
        </w:pBdr>
        <w:kinsoku/>
        <w:wordWrap w:val="0"/>
        <w:overflowPunct/>
        <w:topLinePunct w:val="0"/>
        <w:bidi w:val="0"/>
        <w:snapToGrid/>
        <w:spacing w:line="360" w:lineRule="auto"/>
        <w:textAlignment w:val="auto"/>
        <w:rPr>
          <w:rFonts w:hint="eastAsia" w:ascii="宋体" w:hAnsi="宋体" w:eastAsia="宋体" w:cs="宋体"/>
          <w:sz w:val="24"/>
          <w:szCs w:val="24"/>
          <w:highlight w:val="none"/>
        </w:rPr>
      </w:pPr>
      <w:bookmarkStart w:id="2" w:name="_Toc35393790"/>
      <w:bookmarkStart w:id="3" w:name="_Toc35393621"/>
      <w:bookmarkStart w:id="4" w:name="_Toc28359002"/>
      <w:bookmarkStart w:id="5" w:name="_Toc28359079"/>
      <w:bookmarkStart w:id="6" w:name="_Hlk24379207"/>
      <w:bookmarkStart w:id="7" w:name="_Toc172020880"/>
      <w:bookmarkStart w:id="8" w:name="_Toc353257256"/>
      <w:r>
        <w:rPr>
          <w:rFonts w:hint="eastAsia" w:ascii="宋体" w:hAnsi="宋体" w:eastAsia="宋体" w:cs="宋体"/>
          <w:sz w:val="24"/>
          <w:szCs w:val="24"/>
          <w:highlight w:val="none"/>
        </w:rPr>
        <w:t>项目概况</w:t>
      </w:r>
    </w:p>
    <w:p w14:paraId="1F75F1D7">
      <w:pPr>
        <w:pageBreakBefore w:val="0"/>
        <w:pBdr>
          <w:top w:val="single" w:color="auto" w:sz="4" w:space="1"/>
          <w:left w:val="single" w:color="auto" w:sz="4" w:space="4"/>
          <w:bottom w:val="single" w:color="auto" w:sz="4" w:space="1"/>
          <w:right w:val="single" w:color="auto" w:sz="4" w:space="4"/>
        </w:pBdr>
        <w:kinsoku/>
        <w:wordWrap w:val="0"/>
        <w:overflowPunct/>
        <w:topLinePunct w:val="0"/>
        <w:bidi w:val="0"/>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i w:val="0"/>
          <w:iCs w:val="0"/>
          <w:sz w:val="24"/>
          <w:szCs w:val="24"/>
          <w:highlight w:val="none"/>
          <w:u w:val="single"/>
          <w:lang w:eastAsia="zh-CN"/>
        </w:rPr>
        <w:t>聊城市公安局交通巡逻警察支队直属二大队食材采购项目</w:t>
      </w:r>
      <w:r>
        <w:rPr>
          <w:rFonts w:hint="eastAsia" w:ascii="宋体" w:hAnsi="宋体" w:eastAsia="宋体" w:cs="宋体"/>
          <w:sz w:val="24"/>
          <w:szCs w:val="24"/>
          <w:highlight w:val="none"/>
        </w:rPr>
        <w:t>的潜在投标人应在</w:t>
      </w:r>
      <w:r>
        <w:rPr>
          <w:rFonts w:hint="eastAsia" w:ascii="宋体" w:hAnsi="宋体" w:eastAsia="宋体" w:cs="宋体"/>
          <w:color w:val="000000" w:themeColor="text1"/>
          <w:sz w:val="24"/>
          <w:szCs w:val="24"/>
          <w:highlight w:val="none"/>
          <w:u w:val="single"/>
          <w14:textFill>
            <w14:solidFill>
              <w14:schemeClr w14:val="tx1"/>
            </w14:solidFill>
          </w14:textFill>
        </w:rPr>
        <w:t>聊城市公共资源交易中心网（</w:t>
      </w:r>
      <w:r>
        <w:rPr>
          <w:rFonts w:hint="eastAsia" w:ascii="宋体" w:hAnsi="宋体" w:cs="宋体"/>
          <w:color w:val="000000" w:themeColor="text1"/>
          <w:sz w:val="24"/>
          <w:szCs w:val="24"/>
          <w:highlight w:val="none"/>
          <w:u w:val="single"/>
          <w:lang w:eastAsia="zh-CN"/>
          <w14:textFill>
            <w14:solidFill>
              <w14:schemeClr w14:val="tx1"/>
            </w14:solidFill>
          </w14:textFill>
        </w:rPr>
        <w:t>http://ggzyjy.liaocheng.gov.cn</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sz w:val="24"/>
          <w:szCs w:val="24"/>
          <w:highlight w:val="none"/>
        </w:rPr>
        <w:t>获取招标文件，并于</w:t>
      </w:r>
      <w:r>
        <w:rPr>
          <w:rFonts w:hint="eastAsia" w:ascii="宋体" w:hAnsi="宋体" w:cs="宋体"/>
          <w:sz w:val="24"/>
          <w:szCs w:val="24"/>
          <w:highlight w:val="none"/>
          <w:u w:val="single"/>
          <w:lang w:val="en-US" w:eastAsia="zh-CN"/>
        </w:rPr>
        <w:t>2024</w:t>
      </w:r>
      <w:r>
        <w:rPr>
          <w:rFonts w:hint="eastAsia" w:ascii="宋体" w:hAnsi="宋体" w:eastAsia="宋体" w:cs="宋体"/>
          <w:bCs/>
          <w:sz w:val="24"/>
          <w:szCs w:val="24"/>
          <w:highlight w:val="none"/>
          <w:u w:val="single"/>
        </w:rPr>
        <w:t>年</w:t>
      </w:r>
      <w:r>
        <w:rPr>
          <w:rFonts w:hint="eastAsia" w:ascii="宋体" w:hAnsi="宋体" w:cs="宋体"/>
          <w:bCs/>
          <w:sz w:val="24"/>
          <w:szCs w:val="24"/>
          <w:highlight w:val="none"/>
          <w:u w:val="single"/>
          <w:lang w:val="en-US" w:eastAsia="zh-CN"/>
        </w:rPr>
        <w:t>11</w:t>
      </w:r>
      <w:r>
        <w:rPr>
          <w:rFonts w:hint="eastAsia" w:ascii="宋体" w:hAnsi="宋体" w:eastAsia="宋体" w:cs="宋体"/>
          <w:bCs/>
          <w:sz w:val="24"/>
          <w:szCs w:val="24"/>
          <w:highlight w:val="none"/>
          <w:u w:val="single"/>
        </w:rPr>
        <w:t>月</w:t>
      </w:r>
      <w:r>
        <w:rPr>
          <w:rFonts w:hint="eastAsia" w:ascii="宋体" w:hAnsi="宋体" w:cs="宋体"/>
          <w:bCs/>
          <w:sz w:val="24"/>
          <w:szCs w:val="24"/>
          <w:highlight w:val="none"/>
          <w:u w:val="single"/>
          <w:lang w:val="en-US" w:eastAsia="zh-CN"/>
        </w:rPr>
        <w:t>26</w:t>
      </w:r>
      <w:r>
        <w:rPr>
          <w:rFonts w:hint="eastAsia" w:ascii="宋体" w:hAnsi="宋体" w:eastAsia="宋体" w:cs="宋体"/>
          <w:bCs/>
          <w:sz w:val="24"/>
          <w:szCs w:val="24"/>
          <w:highlight w:val="none"/>
          <w:u w:val="single"/>
        </w:rPr>
        <w:t>日</w:t>
      </w:r>
      <w:r>
        <w:rPr>
          <w:rFonts w:hint="eastAsia" w:ascii="宋体" w:hAnsi="宋体" w:cs="宋体"/>
          <w:bCs/>
          <w:sz w:val="24"/>
          <w:szCs w:val="24"/>
          <w:highlight w:val="none"/>
          <w:u w:val="single"/>
          <w:lang w:val="en-US" w:eastAsia="zh-CN"/>
        </w:rPr>
        <w:t>09</w:t>
      </w:r>
      <w:r>
        <w:rPr>
          <w:rFonts w:hint="eastAsia" w:ascii="宋体" w:hAnsi="宋体" w:eastAsia="宋体" w:cs="宋体"/>
          <w:bCs/>
          <w:sz w:val="24"/>
          <w:szCs w:val="24"/>
          <w:highlight w:val="none"/>
          <w:u w:val="single"/>
        </w:rPr>
        <w:t>点</w:t>
      </w:r>
      <w:r>
        <w:rPr>
          <w:rFonts w:hint="eastAsia" w:ascii="宋体" w:hAnsi="宋体" w:cs="宋体"/>
          <w:bCs/>
          <w:sz w:val="24"/>
          <w:szCs w:val="24"/>
          <w:highlight w:val="none"/>
          <w:u w:val="single"/>
          <w:lang w:val="en-US" w:eastAsia="zh-CN"/>
        </w:rPr>
        <w:t>00</w:t>
      </w:r>
      <w:r>
        <w:rPr>
          <w:rFonts w:hint="eastAsia" w:ascii="宋体" w:hAnsi="宋体" w:eastAsia="宋体" w:cs="宋体"/>
          <w:bCs/>
          <w:sz w:val="24"/>
          <w:szCs w:val="24"/>
          <w:highlight w:val="none"/>
          <w:u w:val="single"/>
        </w:rPr>
        <w:t>分</w:t>
      </w:r>
      <w:r>
        <w:rPr>
          <w:rFonts w:hint="eastAsia" w:ascii="宋体" w:hAnsi="宋体" w:eastAsia="宋体" w:cs="宋体"/>
          <w:bCs/>
          <w:sz w:val="24"/>
          <w:szCs w:val="24"/>
          <w:highlight w:val="none"/>
          <w:u w:val="single"/>
        </w:rPr>
        <w:t>（</w:t>
      </w:r>
      <w:r>
        <w:rPr>
          <w:rFonts w:hint="eastAsia" w:ascii="宋体" w:hAnsi="宋体" w:eastAsia="宋体" w:cs="宋体"/>
          <w:bCs/>
          <w:sz w:val="24"/>
          <w:szCs w:val="24"/>
          <w:highlight w:val="none"/>
        </w:rPr>
        <w:t>北京时间）前递交投标文件</w:t>
      </w:r>
      <w:r>
        <w:rPr>
          <w:rFonts w:hint="eastAsia" w:ascii="宋体" w:hAnsi="宋体" w:eastAsia="宋体" w:cs="宋体"/>
          <w:sz w:val="24"/>
          <w:szCs w:val="24"/>
          <w:highlight w:val="none"/>
        </w:rPr>
        <w:t>。</w:t>
      </w:r>
    </w:p>
    <w:p w14:paraId="78A72D5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一、项目基本情况</w:t>
      </w:r>
      <w:bookmarkEnd w:id="2"/>
      <w:bookmarkEnd w:id="3"/>
      <w:bookmarkEnd w:id="4"/>
      <w:bookmarkEnd w:id="5"/>
    </w:p>
    <w:p w14:paraId="5A3C8145">
      <w:pP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项目编号：</w:t>
      </w:r>
      <w:r>
        <w:rPr>
          <w:rFonts w:hint="eastAsia" w:ascii="宋体" w:hAnsi="宋体" w:cs="宋体"/>
          <w:sz w:val="24"/>
          <w:szCs w:val="24"/>
          <w:highlight w:val="none"/>
          <w:lang w:eastAsia="zh-CN"/>
        </w:rPr>
        <w:t>SDGP371502000202402000215</w:t>
      </w:r>
      <w:r>
        <w:rPr>
          <w:rFonts w:hint="eastAsia" w:ascii="宋体" w:hAnsi="宋体" w:cs="宋体"/>
          <w:sz w:val="24"/>
          <w:szCs w:val="24"/>
          <w:highlight w:val="none"/>
          <w:lang w:val="en-US" w:eastAsia="zh-CN"/>
        </w:rPr>
        <w:t>/DCGK2024-H-023</w:t>
      </w:r>
    </w:p>
    <w:p w14:paraId="3CBB24F5">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聊城市公共资源交易中心系统内编号：</w:t>
      </w:r>
      <w:r>
        <w:rPr>
          <w:rFonts w:hint="eastAsia" w:ascii="宋体" w:hAnsi="宋体" w:cs="宋体"/>
          <w:sz w:val="24"/>
          <w:szCs w:val="24"/>
          <w:highlight w:val="none"/>
          <w:lang w:eastAsia="zh-CN"/>
        </w:rPr>
        <w:t xml:space="preserve">XLCZFCG-2024-1133 </w:t>
      </w:r>
    </w:p>
    <w:p w14:paraId="0143561F">
      <w:pPr>
        <w:spacing w:line="360" w:lineRule="auto"/>
        <w:rPr>
          <w:rFonts w:hint="eastAsia" w:ascii="宋体" w:hAnsi="宋体" w:cs="宋体"/>
          <w:sz w:val="24"/>
          <w:szCs w:val="24"/>
          <w:highlight w:val="none"/>
          <w:lang w:eastAsia="zh-CN"/>
        </w:rPr>
      </w:pPr>
      <w:r>
        <w:rPr>
          <w:rFonts w:hint="eastAsia" w:ascii="宋体" w:hAnsi="宋体" w:eastAsia="宋体" w:cs="宋体"/>
          <w:sz w:val="24"/>
          <w:szCs w:val="24"/>
          <w:highlight w:val="none"/>
        </w:rPr>
        <w:t>项目名称：</w:t>
      </w:r>
      <w:bookmarkEnd w:id="6"/>
      <w:r>
        <w:rPr>
          <w:rFonts w:hint="eastAsia" w:ascii="宋体" w:hAnsi="宋体" w:cs="宋体"/>
          <w:sz w:val="24"/>
          <w:szCs w:val="24"/>
          <w:highlight w:val="none"/>
          <w:lang w:eastAsia="zh-CN"/>
        </w:rPr>
        <w:t xml:space="preserve">聊城市公安局交通巡逻警察支队直属二大队食材采购项目 </w:t>
      </w:r>
    </w:p>
    <w:p w14:paraId="36160061">
      <w:pPr>
        <w:spacing w:line="360" w:lineRule="auto"/>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预算金额：</w:t>
      </w:r>
      <w:r>
        <w:rPr>
          <w:rFonts w:hint="eastAsia" w:ascii="宋体" w:hAnsi="宋体" w:cs="宋体"/>
          <w:b w:val="0"/>
          <w:bCs w:val="0"/>
          <w:color w:val="auto"/>
          <w:sz w:val="24"/>
          <w:szCs w:val="24"/>
          <w:highlight w:val="none"/>
          <w:lang w:val="en-US" w:eastAsia="zh-CN"/>
        </w:rPr>
        <w:t>标段一：60万元；标段二：50万元</w:t>
      </w:r>
      <w:r>
        <w:rPr>
          <w:rFonts w:hint="default" w:ascii="宋体" w:hAnsi="宋体" w:eastAsia="宋体" w:cs="宋体"/>
          <w:b w:val="0"/>
          <w:bCs w:val="0"/>
          <w:color w:val="auto"/>
          <w:sz w:val="24"/>
          <w:szCs w:val="24"/>
          <w:highlight w:val="none"/>
          <w:lang w:val="en-US" w:eastAsia="zh-CN"/>
        </w:rPr>
        <w:t>。</w:t>
      </w:r>
    </w:p>
    <w:p w14:paraId="1B1B902E">
      <w:pPr>
        <w:spacing w:line="360" w:lineRule="auto"/>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最高限价：</w:t>
      </w:r>
      <w:r>
        <w:rPr>
          <w:rFonts w:hint="eastAsia" w:ascii="宋体" w:hAnsi="宋体" w:cs="宋体"/>
          <w:b w:val="0"/>
          <w:bCs w:val="0"/>
          <w:color w:val="auto"/>
          <w:sz w:val="24"/>
          <w:szCs w:val="24"/>
          <w:highlight w:val="none"/>
          <w:lang w:val="en-US" w:eastAsia="zh-CN"/>
        </w:rPr>
        <w:t>标段一：</w:t>
      </w:r>
      <w:r>
        <w:rPr>
          <w:rFonts w:hint="eastAsia"/>
          <w:sz w:val="24"/>
          <w:szCs w:val="24"/>
          <w:highlight w:val="none"/>
          <w:vertAlign w:val="baseline"/>
          <w:lang w:eastAsia="zh-CN"/>
        </w:rPr>
        <w:t>大型商超价格的95%</w:t>
      </w:r>
      <w:r>
        <w:rPr>
          <w:rFonts w:hint="eastAsia" w:ascii="宋体" w:hAnsi="宋体" w:cs="宋体"/>
          <w:b w:val="0"/>
          <w:bCs w:val="0"/>
          <w:color w:val="auto"/>
          <w:sz w:val="24"/>
          <w:szCs w:val="24"/>
          <w:highlight w:val="none"/>
          <w:lang w:val="en-US" w:eastAsia="zh-CN"/>
        </w:rPr>
        <w:t>；标段二：大型商超价格的95%</w:t>
      </w:r>
    </w:p>
    <w:p w14:paraId="1C0A8C78">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采购需求：</w:t>
      </w:r>
    </w:p>
    <w:tbl>
      <w:tblPr>
        <w:tblStyle w:val="77"/>
        <w:tblW w:w="101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3000"/>
        <w:gridCol w:w="2625"/>
        <w:gridCol w:w="1613"/>
        <w:gridCol w:w="2106"/>
      </w:tblGrid>
      <w:tr w14:paraId="5DE6F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vAlign w:val="center"/>
          </w:tcPr>
          <w:p w14:paraId="3A10FE59">
            <w:pPr>
              <w:pStyle w:val="93"/>
              <w:ind w:left="0" w:leftChars="0" w:firstLine="0" w:firstLineChars="0"/>
              <w:jc w:val="center"/>
              <w:rPr>
                <w:rFonts w:hint="default"/>
                <w:vertAlign w:val="baseline"/>
                <w:lang w:val="en-US" w:eastAsia="zh-CN"/>
              </w:rPr>
            </w:pPr>
            <w:r>
              <w:rPr>
                <w:rFonts w:hint="eastAsia"/>
                <w:vertAlign w:val="baseline"/>
                <w:lang w:val="en-US" w:eastAsia="zh-CN"/>
              </w:rPr>
              <w:t>标包</w:t>
            </w:r>
          </w:p>
        </w:tc>
        <w:tc>
          <w:tcPr>
            <w:tcW w:w="3000" w:type="dxa"/>
            <w:vAlign w:val="center"/>
          </w:tcPr>
          <w:p w14:paraId="220CABB0">
            <w:pPr>
              <w:pStyle w:val="93"/>
              <w:ind w:left="0" w:leftChars="0" w:firstLine="0" w:firstLineChars="0"/>
              <w:jc w:val="center"/>
              <w:rPr>
                <w:rFonts w:hint="default"/>
                <w:vertAlign w:val="baseline"/>
                <w:lang w:val="en-US" w:eastAsia="zh-CN"/>
              </w:rPr>
            </w:pPr>
            <w:r>
              <w:rPr>
                <w:rFonts w:hint="eastAsia"/>
                <w:vertAlign w:val="baseline"/>
                <w:lang w:val="en-US" w:eastAsia="zh-CN"/>
              </w:rPr>
              <w:t>标的名称</w:t>
            </w:r>
          </w:p>
        </w:tc>
        <w:tc>
          <w:tcPr>
            <w:tcW w:w="2625" w:type="dxa"/>
            <w:vAlign w:val="center"/>
          </w:tcPr>
          <w:p w14:paraId="441595D3">
            <w:pPr>
              <w:pStyle w:val="93"/>
              <w:ind w:left="0" w:leftChars="0" w:firstLine="0" w:firstLineChars="0"/>
              <w:jc w:val="center"/>
              <w:rPr>
                <w:rFonts w:hint="default"/>
                <w:vertAlign w:val="baseline"/>
                <w:lang w:val="en-US" w:eastAsia="zh-CN"/>
              </w:rPr>
            </w:pPr>
            <w:r>
              <w:rPr>
                <w:rFonts w:hint="eastAsia"/>
                <w:vertAlign w:val="baseline"/>
                <w:lang w:val="en-US" w:eastAsia="zh-CN"/>
              </w:rPr>
              <w:t>简要技术参数</w:t>
            </w:r>
          </w:p>
        </w:tc>
        <w:tc>
          <w:tcPr>
            <w:tcW w:w="1613" w:type="dxa"/>
            <w:vAlign w:val="center"/>
          </w:tcPr>
          <w:p w14:paraId="6C29882B">
            <w:pPr>
              <w:pStyle w:val="93"/>
              <w:ind w:left="0" w:leftChars="0" w:firstLine="0" w:firstLineChars="0"/>
              <w:jc w:val="center"/>
              <w:rPr>
                <w:rFonts w:hint="default"/>
                <w:vertAlign w:val="baseline"/>
                <w:lang w:val="en-US" w:eastAsia="zh-CN"/>
              </w:rPr>
            </w:pPr>
            <w:r>
              <w:rPr>
                <w:rFonts w:hint="eastAsia"/>
                <w:vertAlign w:val="baseline"/>
                <w:lang w:val="en-US" w:eastAsia="zh-CN"/>
              </w:rPr>
              <w:t>预算金额</w:t>
            </w:r>
          </w:p>
        </w:tc>
        <w:tc>
          <w:tcPr>
            <w:tcW w:w="2106" w:type="dxa"/>
            <w:vAlign w:val="center"/>
          </w:tcPr>
          <w:p w14:paraId="625BBFB5">
            <w:pPr>
              <w:pStyle w:val="93"/>
              <w:ind w:left="0" w:leftChars="0" w:firstLine="0" w:firstLineChars="0"/>
              <w:jc w:val="center"/>
              <w:rPr>
                <w:rFonts w:hint="default"/>
                <w:vertAlign w:val="baseline"/>
                <w:lang w:val="en-US" w:eastAsia="zh-CN"/>
              </w:rPr>
            </w:pPr>
            <w:r>
              <w:rPr>
                <w:rFonts w:hint="eastAsia"/>
                <w:vertAlign w:val="baseline"/>
                <w:lang w:val="en-US" w:eastAsia="zh-CN"/>
              </w:rPr>
              <w:t>最高限价</w:t>
            </w:r>
          </w:p>
        </w:tc>
      </w:tr>
      <w:tr w14:paraId="47CA2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vAlign w:val="center"/>
          </w:tcPr>
          <w:p w14:paraId="2868EF7C">
            <w:pPr>
              <w:pStyle w:val="93"/>
              <w:ind w:left="0" w:leftChars="0" w:firstLine="0" w:firstLineChars="0"/>
              <w:jc w:val="center"/>
              <w:rPr>
                <w:rFonts w:hint="default"/>
                <w:vertAlign w:val="baseline"/>
                <w:lang w:val="en-US" w:eastAsia="zh-CN"/>
              </w:rPr>
            </w:pPr>
            <w:r>
              <w:rPr>
                <w:rFonts w:hint="eastAsia"/>
                <w:vertAlign w:val="baseline"/>
                <w:lang w:val="en-US" w:eastAsia="zh-CN"/>
              </w:rPr>
              <w:t>一</w:t>
            </w:r>
          </w:p>
        </w:tc>
        <w:tc>
          <w:tcPr>
            <w:tcW w:w="3000" w:type="dxa"/>
            <w:vAlign w:val="center"/>
          </w:tcPr>
          <w:p w14:paraId="1DABCCE7">
            <w:pPr>
              <w:pStyle w:val="93"/>
              <w:ind w:left="0" w:leftChars="0" w:firstLine="0" w:firstLineChars="0"/>
              <w:jc w:val="center"/>
              <w:rPr>
                <w:rFonts w:hint="eastAsia"/>
                <w:vertAlign w:val="baseline"/>
                <w:lang w:eastAsia="zh-CN"/>
              </w:rPr>
            </w:pPr>
            <w:r>
              <w:rPr>
                <w:rFonts w:hint="eastAsia" w:ascii="宋体" w:hAnsi="宋体" w:eastAsia="宋体" w:cs="宋体"/>
                <w:i w:val="0"/>
                <w:iCs w:val="0"/>
                <w:caps w:val="0"/>
                <w:color w:val="000000"/>
                <w:spacing w:val="0"/>
                <w:sz w:val="24"/>
                <w:szCs w:val="24"/>
                <w:shd w:val="clear" w:fill="FFFFFF"/>
              </w:rPr>
              <w:t>肉类、水产品、米面粮油类</w:t>
            </w:r>
            <w:r>
              <w:rPr>
                <w:rFonts w:hint="eastAsia" w:ascii="宋体" w:hAnsi="宋体" w:eastAsia="宋体" w:cs="宋体"/>
                <w:i w:val="0"/>
                <w:iCs w:val="0"/>
                <w:caps w:val="0"/>
                <w:color w:val="000000"/>
                <w:spacing w:val="0"/>
                <w:sz w:val="24"/>
                <w:szCs w:val="24"/>
                <w:shd w:val="clear" w:fill="FFFFFF"/>
                <w:lang w:val="en-US" w:eastAsia="zh-CN"/>
              </w:rPr>
              <w:t>等</w:t>
            </w:r>
            <w:r>
              <w:rPr>
                <w:rFonts w:hint="eastAsia" w:ascii="宋体" w:hAnsi="宋体" w:eastAsia="宋体" w:cs="宋体"/>
                <w:i w:val="0"/>
                <w:iCs w:val="0"/>
                <w:caps w:val="0"/>
                <w:color w:val="000000"/>
                <w:spacing w:val="0"/>
                <w:sz w:val="24"/>
                <w:szCs w:val="24"/>
                <w:shd w:val="clear" w:fill="FFFFFF"/>
              </w:rPr>
              <w:t>食材供应</w:t>
            </w:r>
          </w:p>
        </w:tc>
        <w:tc>
          <w:tcPr>
            <w:tcW w:w="2625" w:type="dxa"/>
            <w:vAlign w:val="center"/>
          </w:tcPr>
          <w:p w14:paraId="75C37493">
            <w:pPr>
              <w:pStyle w:val="93"/>
              <w:ind w:left="0" w:leftChars="0" w:firstLine="0" w:firstLineChars="0"/>
              <w:jc w:val="center"/>
              <w:rPr>
                <w:rFonts w:hint="default"/>
                <w:vertAlign w:val="baseline"/>
                <w:lang w:val="en-US" w:eastAsia="zh-CN"/>
              </w:rPr>
            </w:pPr>
            <w:r>
              <w:rPr>
                <w:rFonts w:hint="eastAsia"/>
                <w:vertAlign w:val="baseline"/>
                <w:lang w:val="en-US" w:eastAsia="zh-CN"/>
              </w:rPr>
              <w:t>详见项目说明</w:t>
            </w:r>
          </w:p>
        </w:tc>
        <w:tc>
          <w:tcPr>
            <w:tcW w:w="1613" w:type="dxa"/>
            <w:vAlign w:val="center"/>
          </w:tcPr>
          <w:p w14:paraId="127890A7">
            <w:pPr>
              <w:pStyle w:val="93"/>
              <w:ind w:left="0" w:leftChars="0" w:firstLine="0" w:firstLineChars="0"/>
              <w:jc w:val="center"/>
              <w:rPr>
                <w:rFonts w:hint="default"/>
                <w:vertAlign w:val="baseline"/>
                <w:lang w:val="en-US" w:eastAsia="zh-CN"/>
              </w:rPr>
            </w:pPr>
            <w:r>
              <w:rPr>
                <w:rFonts w:hint="eastAsia"/>
                <w:vertAlign w:val="baseline"/>
                <w:lang w:val="en-US" w:eastAsia="zh-CN"/>
              </w:rPr>
              <w:t>60万元</w:t>
            </w:r>
          </w:p>
        </w:tc>
        <w:tc>
          <w:tcPr>
            <w:tcW w:w="2106" w:type="dxa"/>
            <w:vAlign w:val="center"/>
          </w:tcPr>
          <w:p w14:paraId="51E2B353">
            <w:pPr>
              <w:pStyle w:val="93"/>
              <w:ind w:left="0" w:leftChars="0" w:firstLine="0" w:firstLineChars="0"/>
              <w:jc w:val="center"/>
              <w:rPr>
                <w:rFonts w:hint="default"/>
                <w:highlight w:val="none"/>
                <w:vertAlign w:val="baseline"/>
                <w:lang w:val="en-US" w:eastAsia="zh-CN"/>
              </w:rPr>
            </w:pPr>
            <w:r>
              <w:rPr>
                <w:rFonts w:hint="eastAsia"/>
                <w:highlight w:val="none"/>
                <w:vertAlign w:val="baseline"/>
                <w:lang w:val="en-US" w:eastAsia="zh-CN"/>
              </w:rPr>
              <w:t>大型商超</w:t>
            </w:r>
            <w:r>
              <w:rPr>
                <w:rFonts w:hint="eastAsia"/>
                <w:highlight w:val="none"/>
                <w:vertAlign w:val="baseline"/>
                <w:lang w:eastAsia="zh-CN"/>
              </w:rPr>
              <w:t>价格</w:t>
            </w:r>
            <w:bookmarkStart w:id="93" w:name="_GoBack"/>
            <w:bookmarkEnd w:id="93"/>
            <w:r>
              <w:rPr>
                <w:rFonts w:hint="eastAsia"/>
                <w:highlight w:val="none"/>
                <w:vertAlign w:val="baseline"/>
                <w:lang w:eastAsia="zh-CN"/>
              </w:rPr>
              <w:t>的</w:t>
            </w:r>
            <w:r>
              <w:rPr>
                <w:rFonts w:hint="eastAsia"/>
                <w:highlight w:val="none"/>
                <w:vertAlign w:val="baseline"/>
                <w:lang w:val="en-US" w:eastAsia="zh-CN"/>
              </w:rPr>
              <w:t>95%</w:t>
            </w:r>
          </w:p>
        </w:tc>
      </w:tr>
      <w:tr w14:paraId="632E3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vAlign w:val="center"/>
          </w:tcPr>
          <w:p w14:paraId="67073BF6">
            <w:pPr>
              <w:pStyle w:val="93"/>
              <w:ind w:left="0" w:leftChars="0" w:firstLine="0" w:firstLineChars="0"/>
              <w:jc w:val="center"/>
              <w:rPr>
                <w:rFonts w:hint="default"/>
                <w:vertAlign w:val="baseline"/>
                <w:lang w:val="en-US" w:eastAsia="zh-CN"/>
              </w:rPr>
            </w:pPr>
            <w:r>
              <w:rPr>
                <w:rFonts w:hint="eastAsia"/>
                <w:vertAlign w:val="baseline"/>
                <w:lang w:val="en-US" w:eastAsia="zh-CN"/>
              </w:rPr>
              <w:t>二</w:t>
            </w:r>
          </w:p>
        </w:tc>
        <w:tc>
          <w:tcPr>
            <w:tcW w:w="3000" w:type="dxa"/>
            <w:vAlign w:val="center"/>
          </w:tcPr>
          <w:p w14:paraId="02D2E4C7">
            <w:pPr>
              <w:pStyle w:val="93"/>
              <w:ind w:left="0" w:leftChars="0" w:firstLine="0" w:firstLineChars="0"/>
              <w:jc w:val="center"/>
              <w:rPr>
                <w:rFonts w:hint="eastAsia"/>
                <w:vertAlign w:val="baseline"/>
                <w:lang w:eastAsia="zh-CN"/>
              </w:rPr>
            </w:pPr>
            <w:r>
              <w:rPr>
                <w:rFonts w:hint="eastAsia" w:ascii="宋体" w:hAnsi="宋体" w:eastAsia="宋体" w:cs="宋体"/>
                <w:i w:val="0"/>
                <w:iCs w:val="0"/>
                <w:caps w:val="0"/>
                <w:color w:val="000000"/>
                <w:spacing w:val="0"/>
                <w:sz w:val="24"/>
                <w:szCs w:val="24"/>
                <w:shd w:val="clear" w:fill="FFFFFF"/>
              </w:rPr>
              <w:t>蔬菜水果类、蛋类、奶制品类、调味品</w:t>
            </w:r>
            <w:r>
              <w:rPr>
                <w:rFonts w:hint="eastAsia" w:ascii="宋体" w:hAnsi="宋体" w:eastAsia="宋体" w:cs="宋体"/>
                <w:i w:val="0"/>
                <w:iCs w:val="0"/>
                <w:caps w:val="0"/>
                <w:color w:val="000000"/>
                <w:spacing w:val="0"/>
                <w:sz w:val="24"/>
                <w:szCs w:val="24"/>
                <w:shd w:val="clear" w:fill="FFFFFF"/>
                <w:lang w:val="en-US" w:eastAsia="zh-CN"/>
              </w:rPr>
              <w:t>等</w:t>
            </w:r>
            <w:r>
              <w:rPr>
                <w:rFonts w:hint="eastAsia" w:ascii="宋体" w:hAnsi="宋体" w:eastAsia="宋体" w:cs="宋体"/>
                <w:i w:val="0"/>
                <w:iCs w:val="0"/>
                <w:caps w:val="0"/>
                <w:color w:val="000000"/>
                <w:spacing w:val="0"/>
                <w:sz w:val="24"/>
                <w:szCs w:val="24"/>
                <w:shd w:val="clear" w:fill="FFFFFF"/>
              </w:rPr>
              <w:t>食材供应</w:t>
            </w:r>
          </w:p>
        </w:tc>
        <w:tc>
          <w:tcPr>
            <w:tcW w:w="2625" w:type="dxa"/>
            <w:vAlign w:val="center"/>
          </w:tcPr>
          <w:p w14:paraId="1D1134CF">
            <w:pPr>
              <w:pStyle w:val="93"/>
              <w:ind w:left="0" w:leftChars="0" w:firstLine="0" w:firstLineChars="0"/>
              <w:jc w:val="center"/>
              <w:rPr>
                <w:rFonts w:hint="eastAsia"/>
                <w:vertAlign w:val="baseline"/>
                <w:lang w:eastAsia="zh-CN"/>
              </w:rPr>
            </w:pPr>
            <w:r>
              <w:rPr>
                <w:rFonts w:hint="eastAsia"/>
                <w:vertAlign w:val="baseline"/>
                <w:lang w:val="en-US" w:eastAsia="zh-CN"/>
              </w:rPr>
              <w:t>详见项目说明</w:t>
            </w:r>
          </w:p>
        </w:tc>
        <w:tc>
          <w:tcPr>
            <w:tcW w:w="1613" w:type="dxa"/>
            <w:vAlign w:val="center"/>
          </w:tcPr>
          <w:p w14:paraId="79FC2539">
            <w:pPr>
              <w:pStyle w:val="93"/>
              <w:ind w:left="0" w:leftChars="0" w:firstLine="0" w:firstLineChars="0"/>
              <w:jc w:val="center"/>
              <w:rPr>
                <w:rFonts w:hint="default"/>
                <w:vertAlign w:val="baseline"/>
                <w:lang w:val="en-US" w:eastAsia="zh-CN"/>
              </w:rPr>
            </w:pPr>
            <w:r>
              <w:rPr>
                <w:rFonts w:hint="eastAsia"/>
                <w:vertAlign w:val="baseline"/>
                <w:lang w:val="en-US" w:eastAsia="zh-CN"/>
              </w:rPr>
              <w:t>50万元</w:t>
            </w:r>
          </w:p>
        </w:tc>
        <w:tc>
          <w:tcPr>
            <w:tcW w:w="2106" w:type="dxa"/>
            <w:vAlign w:val="center"/>
          </w:tcPr>
          <w:p w14:paraId="0D33C50C">
            <w:pPr>
              <w:pStyle w:val="93"/>
              <w:ind w:left="0" w:leftChars="0" w:firstLine="0" w:firstLineChars="0"/>
              <w:jc w:val="center"/>
              <w:rPr>
                <w:rFonts w:hint="eastAsia"/>
                <w:highlight w:val="none"/>
                <w:vertAlign w:val="baseline"/>
                <w:lang w:eastAsia="zh-CN"/>
              </w:rPr>
            </w:pPr>
            <w:r>
              <w:rPr>
                <w:rFonts w:hint="eastAsia"/>
                <w:highlight w:val="none"/>
                <w:vertAlign w:val="baseline"/>
                <w:lang w:val="en-US" w:eastAsia="zh-CN"/>
              </w:rPr>
              <w:t>大型商超</w:t>
            </w:r>
            <w:r>
              <w:rPr>
                <w:rFonts w:hint="eastAsia"/>
                <w:highlight w:val="none"/>
                <w:vertAlign w:val="baseline"/>
                <w:lang w:eastAsia="zh-CN"/>
              </w:rPr>
              <w:t>价格的</w:t>
            </w:r>
            <w:r>
              <w:rPr>
                <w:rFonts w:hint="eastAsia"/>
                <w:highlight w:val="none"/>
                <w:vertAlign w:val="baseline"/>
                <w:lang w:val="en-US" w:eastAsia="zh-CN"/>
              </w:rPr>
              <w:t>95%</w:t>
            </w:r>
          </w:p>
        </w:tc>
      </w:tr>
    </w:tbl>
    <w:p w14:paraId="43F15EE9">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合同履行期限：</w:t>
      </w:r>
      <w:r>
        <w:rPr>
          <w:rFonts w:hint="eastAsia" w:ascii="宋体" w:hAnsi="宋体" w:eastAsia="宋体" w:cs="宋体"/>
          <w:i w:val="0"/>
          <w:iCs w:val="0"/>
          <w:caps w:val="0"/>
          <w:color w:val="000000"/>
          <w:spacing w:val="0"/>
          <w:sz w:val="24"/>
          <w:szCs w:val="24"/>
          <w:shd w:val="clear" w:fill="FFFFFF"/>
        </w:rPr>
        <w:t>自合同约定之日起满一年</w:t>
      </w:r>
      <w:r>
        <w:rPr>
          <w:rFonts w:hint="eastAsia" w:ascii="宋体" w:hAnsi="宋体" w:eastAsia="宋体" w:cs="宋体"/>
          <w:sz w:val="24"/>
          <w:szCs w:val="24"/>
          <w:highlight w:val="none"/>
          <w:lang w:eastAsia="zh-CN"/>
        </w:rPr>
        <w:t>；</w:t>
      </w:r>
    </w:p>
    <w:p w14:paraId="409E42B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w:t>
      </w:r>
      <w:r>
        <w:rPr>
          <w:rFonts w:hint="eastAsia" w:ascii="宋体" w:hAnsi="宋体" w:eastAsia="宋体" w:cs="宋体"/>
          <w:sz w:val="24"/>
          <w:szCs w:val="24"/>
          <w:highlight w:val="none"/>
          <w:lang w:eastAsia="zh-CN"/>
        </w:rPr>
        <w:t>不</w:t>
      </w:r>
      <w:r>
        <w:rPr>
          <w:rFonts w:hint="eastAsia" w:ascii="宋体" w:hAnsi="宋体" w:eastAsia="宋体" w:cs="宋体"/>
          <w:sz w:val="24"/>
          <w:szCs w:val="24"/>
          <w:highlight w:val="none"/>
        </w:rPr>
        <w:t>接受联合体投标。</w:t>
      </w:r>
      <w:bookmarkStart w:id="9" w:name="_Toc28359080"/>
      <w:bookmarkStart w:id="10" w:name="_Toc35393622"/>
      <w:bookmarkStart w:id="11" w:name="_Toc35393791"/>
      <w:bookmarkStart w:id="12" w:name="_Toc28359003"/>
    </w:p>
    <w:p w14:paraId="6CA3EFE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本项目监督单位：聊城市</w:t>
      </w:r>
      <w:r>
        <w:rPr>
          <w:rFonts w:hint="eastAsia" w:ascii="宋体" w:hAnsi="宋体" w:cs="宋体"/>
          <w:sz w:val="24"/>
          <w:szCs w:val="24"/>
          <w:highlight w:val="none"/>
          <w:lang w:val="en-US" w:eastAsia="zh-CN"/>
        </w:rPr>
        <w:t>东昌府区</w:t>
      </w:r>
      <w:r>
        <w:rPr>
          <w:rFonts w:hint="eastAsia" w:ascii="宋体" w:hAnsi="宋体" w:eastAsia="宋体" w:cs="宋体"/>
          <w:sz w:val="24"/>
          <w:szCs w:val="24"/>
          <w:highlight w:val="none"/>
          <w:lang w:val="en-US" w:eastAsia="zh-CN"/>
        </w:rPr>
        <w:t>财政局政府采购监督管理科</w:t>
      </w:r>
      <w:r>
        <w:rPr>
          <w:rFonts w:hint="eastAsia" w:ascii="宋体" w:hAnsi="宋体" w:cs="宋体"/>
          <w:sz w:val="24"/>
          <w:szCs w:val="24"/>
          <w:highlight w:val="none"/>
          <w:lang w:val="en-US" w:eastAsia="zh-CN"/>
        </w:rPr>
        <w:t>；</w:t>
      </w:r>
    </w:p>
    <w:p w14:paraId="50614F0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二、申请人的资格要求：</w:t>
      </w:r>
      <w:bookmarkEnd w:id="9"/>
      <w:bookmarkEnd w:id="10"/>
      <w:bookmarkEnd w:id="11"/>
      <w:bookmarkEnd w:id="12"/>
    </w:p>
    <w:p w14:paraId="05F83A8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1.满足《中华人民共和国政府采购法》第二十二条规定；</w:t>
      </w:r>
    </w:p>
    <w:p w14:paraId="13514020">
      <w:pPr>
        <w:spacing w:line="360" w:lineRule="auto"/>
        <w:rPr>
          <w:rFonts w:hint="default" w:ascii="宋体" w:hAnsi="宋体" w:eastAsia="宋体" w:cs="宋体"/>
          <w:color w:val="auto"/>
          <w:sz w:val="24"/>
          <w:szCs w:val="24"/>
          <w:highlight w:val="none"/>
          <w:lang w:val="en-US"/>
        </w:rPr>
      </w:pPr>
      <w:bookmarkStart w:id="13" w:name="_Toc28359081"/>
      <w:bookmarkStart w:id="14" w:name="_Toc28359004"/>
      <w:r>
        <w:rPr>
          <w:rFonts w:hint="eastAsia" w:ascii="宋体" w:hAnsi="宋体" w:eastAsia="宋体" w:cs="宋体"/>
          <w:sz w:val="24"/>
          <w:szCs w:val="24"/>
          <w:highlight w:val="none"/>
        </w:rPr>
        <w:t>2.落实政府采购政策需满足的资格要求：</w:t>
      </w:r>
      <w:r>
        <w:rPr>
          <w:rFonts w:hint="eastAsia" w:asciiTheme="majorEastAsia" w:hAnsiTheme="majorEastAsia" w:eastAsiaTheme="majorEastAsia" w:cstheme="majorEastAsia"/>
          <w:color w:val="000000"/>
          <w:kern w:val="0"/>
          <w:sz w:val="24"/>
          <w:szCs w:val="24"/>
          <w:highlight w:val="none"/>
          <w:lang w:val="en-US" w:eastAsia="zh-CN" w:bidi="ar"/>
        </w:rPr>
        <w:t>根据《关于进一步加大政府采购支持中小企业力度的通知》（财库〔2022〕19 号）文件规定，本项目为专门面向中小企业采购，供应商须为中型、小型或微型企业，且必须出具《中小企业声明函》。监狱企业、残疾人福利性单位视同小型、微型企业；</w:t>
      </w:r>
    </w:p>
    <w:p w14:paraId="19B6337B">
      <w:pPr>
        <w:spacing w:line="360" w:lineRule="auto"/>
        <w:rPr>
          <w:rFonts w:hint="eastAsia" w:ascii="宋体" w:hAnsi="宋体" w:cs="宋体"/>
          <w:color w:val="000000"/>
          <w:sz w:val="24"/>
          <w:szCs w:val="24"/>
          <w:highlight w:val="none"/>
          <w:lang w:eastAsia="zh-CN"/>
        </w:rPr>
      </w:pPr>
      <w:r>
        <w:rPr>
          <w:rFonts w:hint="eastAsia" w:ascii="宋体" w:hAnsi="宋体" w:eastAsia="宋体" w:cs="宋体"/>
          <w:sz w:val="24"/>
          <w:szCs w:val="24"/>
          <w:highlight w:val="none"/>
        </w:rPr>
        <w:t>3.本项目的特定资格要求：</w:t>
      </w:r>
      <w:bookmarkStart w:id="15" w:name="_Toc35393792"/>
      <w:bookmarkStart w:id="16" w:name="_Toc35393623"/>
      <w:r>
        <w:rPr>
          <w:rFonts w:hint="eastAsia" w:asciiTheme="majorEastAsia" w:hAnsiTheme="majorEastAsia" w:eastAsiaTheme="majorEastAsia" w:cstheme="majorEastAsia"/>
          <w:sz w:val="24"/>
          <w:szCs w:val="24"/>
          <w:highlight w:val="none"/>
        </w:rPr>
        <w:t>具有有效期内的《食品生产许可证》或《食品经营许可证》或相关部门获准的备案材料</w:t>
      </w:r>
      <w:r>
        <w:rPr>
          <w:rFonts w:hint="eastAsia" w:ascii="宋体" w:hAnsi="宋体" w:cs="宋体"/>
          <w:color w:val="000000"/>
          <w:sz w:val="24"/>
          <w:szCs w:val="24"/>
          <w:highlight w:val="none"/>
          <w:lang w:eastAsia="zh-CN"/>
        </w:rPr>
        <w:t>。</w:t>
      </w:r>
    </w:p>
    <w:p w14:paraId="18CE9A4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三、获取招标文件</w:t>
      </w:r>
      <w:bookmarkEnd w:id="13"/>
      <w:bookmarkEnd w:id="14"/>
      <w:bookmarkEnd w:id="15"/>
      <w:bookmarkEnd w:id="16"/>
    </w:p>
    <w:p w14:paraId="02A270B5">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1.时间：</w:t>
      </w:r>
      <w:r>
        <w:rPr>
          <w:rFonts w:hint="eastAsia" w:ascii="宋体" w:hAnsi="宋体" w:cs="宋体"/>
          <w:sz w:val="24"/>
          <w:szCs w:val="24"/>
          <w:highlight w:val="none"/>
          <w:lang w:val="en-US" w:eastAsia="zh-CN"/>
        </w:rPr>
        <w:t>2024</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11</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06</w:t>
      </w:r>
      <w:r>
        <w:rPr>
          <w:rFonts w:hint="eastAsia" w:ascii="宋体" w:hAnsi="宋体" w:eastAsia="宋体" w:cs="宋体"/>
          <w:sz w:val="24"/>
          <w:szCs w:val="24"/>
          <w:highlight w:val="none"/>
        </w:rPr>
        <w:t>日</w:t>
      </w:r>
      <w:r>
        <w:rPr>
          <w:rFonts w:hint="eastAsia" w:ascii="宋体" w:hAnsi="宋体" w:cs="宋体"/>
          <w:sz w:val="24"/>
          <w:szCs w:val="24"/>
          <w:highlight w:val="none"/>
          <w:lang w:val="en-US" w:eastAsia="zh-CN"/>
        </w:rPr>
        <w:t>09</w:t>
      </w:r>
      <w:r>
        <w:rPr>
          <w:rFonts w:hint="eastAsia" w:ascii="宋体" w:hAnsi="宋体" w:eastAsia="宋体" w:cs="宋体"/>
          <w:sz w:val="24"/>
          <w:szCs w:val="24"/>
          <w:highlight w:val="none"/>
        </w:rPr>
        <w:t>时</w:t>
      </w:r>
      <w:r>
        <w:rPr>
          <w:rFonts w:hint="eastAsia" w:ascii="宋体" w:hAnsi="宋体" w:cs="宋体"/>
          <w:sz w:val="24"/>
          <w:szCs w:val="24"/>
          <w:highlight w:val="none"/>
          <w:lang w:val="en-US" w:eastAsia="zh-CN"/>
        </w:rPr>
        <w:t>00</w:t>
      </w:r>
      <w:r>
        <w:rPr>
          <w:rFonts w:hint="eastAsia" w:ascii="宋体" w:hAnsi="宋体" w:eastAsia="宋体" w:cs="宋体"/>
          <w:sz w:val="24"/>
          <w:szCs w:val="24"/>
          <w:highlight w:val="none"/>
        </w:rPr>
        <w:t>分至</w:t>
      </w:r>
      <w:r>
        <w:rPr>
          <w:rFonts w:hint="eastAsia" w:ascii="宋体" w:hAnsi="宋体" w:cs="宋体"/>
          <w:sz w:val="24"/>
          <w:szCs w:val="24"/>
          <w:highlight w:val="none"/>
          <w:lang w:val="en-US" w:eastAsia="zh-CN"/>
        </w:rPr>
        <w:t>2024</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11</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12</w:t>
      </w:r>
      <w:r>
        <w:rPr>
          <w:rFonts w:hint="eastAsia" w:ascii="宋体" w:hAnsi="宋体" w:eastAsia="宋体" w:cs="宋体"/>
          <w:sz w:val="24"/>
          <w:szCs w:val="24"/>
          <w:highlight w:val="none"/>
        </w:rPr>
        <w:t>日</w:t>
      </w:r>
      <w:r>
        <w:rPr>
          <w:rFonts w:hint="eastAsia" w:ascii="宋体" w:hAnsi="宋体" w:cs="宋体"/>
          <w:sz w:val="24"/>
          <w:szCs w:val="24"/>
          <w:highlight w:val="none"/>
          <w:lang w:val="en-US" w:eastAsia="zh-CN"/>
        </w:rPr>
        <w:t>17</w:t>
      </w:r>
      <w:r>
        <w:rPr>
          <w:rFonts w:hint="eastAsia" w:ascii="宋体" w:hAnsi="宋体" w:eastAsia="宋体" w:cs="宋体"/>
          <w:sz w:val="24"/>
          <w:szCs w:val="24"/>
          <w:highlight w:val="none"/>
        </w:rPr>
        <w:t>时</w:t>
      </w:r>
      <w:r>
        <w:rPr>
          <w:rFonts w:hint="eastAsia" w:ascii="宋体" w:hAnsi="宋体" w:cs="宋体"/>
          <w:sz w:val="24"/>
          <w:szCs w:val="24"/>
          <w:highlight w:val="none"/>
          <w:lang w:val="en-US" w:eastAsia="zh-CN"/>
        </w:rPr>
        <w:t>00</w:t>
      </w:r>
      <w:r>
        <w:rPr>
          <w:rFonts w:hint="eastAsia" w:ascii="宋体" w:hAnsi="宋体" w:eastAsia="宋体" w:cs="宋体"/>
          <w:sz w:val="24"/>
          <w:szCs w:val="24"/>
          <w:highlight w:val="none"/>
        </w:rPr>
        <w:t>分（北京时间）</w:t>
      </w:r>
    </w:p>
    <w:p w14:paraId="014849A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地点：聊城市公共资源交易中心网（</w:t>
      </w:r>
      <w:r>
        <w:rPr>
          <w:rFonts w:hint="eastAsia" w:ascii="宋体" w:hAnsi="宋体" w:cs="宋体"/>
          <w:sz w:val="24"/>
          <w:szCs w:val="24"/>
          <w:highlight w:val="none"/>
          <w:lang w:eastAsia="zh-CN"/>
        </w:rPr>
        <w:t>http://ggzyjy.liaocheng.gov.cn</w:t>
      </w:r>
      <w:r>
        <w:rPr>
          <w:rFonts w:hint="eastAsia" w:ascii="宋体" w:hAnsi="宋体" w:eastAsia="宋体" w:cs="宋体"/>
          <w:sz w:val="24"/>
          <w:szCs w:val="24"/>
          <w:highlight w:val="none"/>
        </w:rPr>
        <w:t>）</w:t>
      </w:r>
    </w:p>
    <w:p w14:paraId="79387B2D">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方式：各</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在规定时间内登录新版公共资源交易平台系统（</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"http://ggzyjy.liaocheng.gov.cn:8601/tpbidder"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http://ggzyjy.liaocheng.gov.cn:8601/tpbidder</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）免费下载招标文件（文件格式为.lczf），逾期未下载招标文件视为放弃投标。</w:t>
      </w:r>
    </w:p>
    <w:p w14:paraId="7BA3ADC7">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注:</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根据山东省政府采购有关规定，各拟参与本项目</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在交易中心系统获取</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rPr>
        <w:t>文件后，务必于</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rPr>
        <w:t>文件提交截止时间前在“</w:t>
      </w:r>
      <w:r>
        <w:rPr>
          <w:rFonts w:hint="eastAsia" w:ascii="宋体" w:hAnsi="宋体" w:eastAsia="宋体" w:cs="宋体"/>
          <w:sz w:val="24"/>
          <w:szCs w:val="24"/>
          <w:highlight w:val="none"/>
          <w:lang w:eastAsia="zh-CN"/>
        </w:rPr>
        <w:t>中国山东政府采购网</w:t>
      </w:r>
      <w:r>
        <w:rPr>
          <w:rFonts w:hint="eastAsia" w:ascii="宋体" w:hAnsi="宋体" w:eastAsia="宋体" w:cs="宋体"/>
          <w:sz w:val="24"/>
          <w:szCs w:val="24"/>
          <w:highlight w:val="none"/>
        </w:rPr>
        <w:t>（http://www.ccgp-shandong.gov.cn）”完成注册（已注册的无需重复注册），由于</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原因造成其在</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rPr>
        <w:t>文件提交截止时间前未完成注册的后果自负。</w:t>
      </w:r>
    </w:p>
    <w:p w14:paraId="11EC514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（2）投标人</w:t>
      </w:r>
      <w:r>
        <w:rPr>
          <w:rFonts w:hint="eastAsia" w:ascii="宋体" w:hAnsi="宋体" w:eastAsia="宋体" w:cs="宋体"/>
          <w:sz w:val="24"/>
          <w:szCs w:val="24"/>
          <w:highlight w:val="none"/>
        </w:rPr>
        <w:t>在聊城公共资源招投标会员网上交易系统诚信入库类型</w:t>
      </w:r>
      <w:r>
        <w:rPr>
          <w:rFonts w:hint="eastAsia" w:ascii="宋体" w:hAnsi="宋体" w:eastAsia="宋体" w:cs="宋体"/>
          <w:sz w:val="24"/>
          <w:szCs w:val="24"/>
          <w:highlight w:val="none"/>
          <w:lang w:eastAsia="zh-CN"/>
        </w:rPr>
        <w:t>：</w:t>
      </w:r>
      <w:r>
        <w:rPr>
          <w:rFonts w:hint="eastAsia" w:ascii="宋体" w:hAnsi="宋体" w:eastAsia="宋体" w:cs="宋体"/>
          <w:color w:val="auto"/>
          <w:sz w:val="24"/>
          <w:highlight w:val="none"/>
        </w:rPr>
        <w:t>交易乙方</w:t>
      </w:r>
      <w:r>
        <w:rPr>
          <w:rFonts w:hint="eastAsia" w:ascii="宋体" w:hAnsi="宋体" w:eastAsia="宋体" w:cs="宋体"/>
          <w:sz w:val="24"/>
          <w:szCs w:val="24"/>
          <w:highlight w:val="none"/>
        </w:rPr>
        <w:t>。</w:t>
      </w:r>
    </w:p>
    <w:p w14:paraId="14F1947A">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售价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0元</w:t>
      </w:r>
    </w:p>
    <w:p w14:paraId="60B2F9CF">
      <w:pPr>
        <w:spacing w:line="360" w:lineRule="auto"/>
        <w:rPr>
          <w:rFonts w:hint="eastAsia" w:ascii="宋体" w:hAnsi="宋体" w:eastAsia="宋体" w:cs="宋体"/>
          <w:sz w:val="24"/>
          <w:szCs w:val="24"/>
          <w:highlight w:val="none"/>
        </w:rPr>
      </w:pPr>
      <w:bookmarkStart w:id="17" w:name="_Toc28359082"/>
      <w:bookmarkStart w:id="18" w:name="_Toc28359005"/>
      <w:bookmarkStart w:id="19" w:name="_Toc35393624"/>
      <w:bookmarkStart w:id="20" w:name="_Toc35393793"/>
      <w:r>
        <w:rPr>
          <w:rFonts w:hint="eastAsia" w:ascii="宋体" w:hAnsi="宋体" w:eastAsia="宋体" w:cs="宋体"/>
          <w:sz w:val="24"/>
          <w:szCs w:val="24"/>
          <w:highlight w:val="none"/>
        </w:rPr>
        <w:t>四、提交投标文件</w:t>
      </w:r>
      <w:bookmarkEnd w:id="17"/>
      <w:bookmarkEnd w:id="18"/>
      <w:r>
        <w:rPr>
          <w:rFonts w:hint="eastAsia" w:ascii="宋体" w:hAnsi="宋体" w:eastAsia="宋体" w:cs="宋体"/>
          <w:sz w:val="24"/>
          <w:szCs w:val="24"/>
          <w:highlight w:val="none"/>
        </w:rPr>
        <w:t>截止时间、开标时间和地点</w:t>
      </w:r>
      <w:bookmarkEnd w:id="19"/>
      <w:bookmarkEnd w:id="20"/>
    </w:p>
    <w:p w14:paraId="0522589E">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截止时间：202</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 xml:space="preserve"> 11</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26</w:t>
      </w:r>
      <w:r>
        <w:rPr>
          <w:rFonts w:hint="eastAsia" w:ascii="宋体" w:hAnsi="宋体" w:eastAsia="宋体" w:cs="宋体"/>
          <w:sz w:val="24"/>
          <w:szCs w:val="24"/>
          <w:highlight w:val="none"/>
        </w:rPr>
        <w:t>日09点00分（北京时间）</w:t>
      </w:r>
    </w:p>
    <w:p w14:paraId="3551B142">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各投标人在投标文件提交截止时间前将电子投标文件上传到聊城公共资源招投标会员网上交易系统（</w:t>
      </w:r>
      <w:r>
        <w:rPr>
          <w:rFonts w:hint="eastAsia" w:ascii="宋体" w:hAnsi="宋体" w:cs="宋体"/>
          <w:sz w:val="24"/>
          <w:szCs w:val="24"/>
          <w:highlight w:val="none"/>
          <w:lang w:eastAsia="zh-CN"/>
        </w:rPr>
        <w:t>http://ggzyjy.liaocheng.gov.cn:8601/tpbidder</w:t>
      </w:r>
      <w:r>
        <w:rPr>
          <w:rFonts w:hint="eastAsia" w:ascii="宋体" w:hAnsi="宋体" w:eastAsia="宋体" w:cs="宋体"/>
          <w:sz w:val="24"/>
          <w:szCs w:val="24"/>
          <w:highlight w:val="none"/>
        </w:rPr>
        <w:t>）</w:t>
      </w:r>
    </w:p>
    <w:p w14:paraId="27432803">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开标时间</w:t>
      </w:r>
      <w:r>
        <w:rPr>
          <w:rFonts w:hint="eastAsia" w:ascii="宋体" w:hAnsi="宋体" w:eastAsia="宋体" w:cs="宋体"/>
          <w:sz w:val="24"/>
          <w:szCs w:val="24"/>
          <w:highlight w:val="none"/>
        </w:rPr>
        <w:t>：202</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11</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26</w:t>
      </w:r>
      <w:r>
        <w:rPr>
          <w:rFonts w:hint="eastAsia" w:ascii="宋体" w:hAnsi="宋体" w:eastAsia="宋体" w:cs="宋体"/>
          <w:sz w:val="24"/>
          <w:szCs w:val="24"/>
          <w:highlight w:val="none"/>
        </w:rPr>
        <w:t>日09点00分（北京时间）</w:t>
      </w:r>
    </w:p>
    <w:p w14:paraId="3B94406A">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地点：</w:t>
      </w:r>
      <w:r>
        <w:rPr>
          <w:rFonts w:hint="eastAsia" w:ascii="宋体" w:hAnsi="宋体" w:eastAsia="宋体" w:cs="宋体"/>
          <w:sz w:val="24"/>
          <w:szCs w:val="24"/>
          <w:highlight w:val="none"/>
        </w:rPr>
        <w:t>本项目采取不见面方式开标，开标当日</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不必抵达现场，仅需登录聊城市公共资源交易中心不见面开标大厅参与会议。各</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应严格按照</w:t>
      </w:r>
      <w:r>
        <w:rPr>
          <w:rFonts w:hint="eastAsia" w:ascii="宋体" w:hAnsi="宋体" w:eastAsia="宋体" w:cs="宋体"/>
          <w:sz w:val="24"/>
          <w:szCs w:val="24"/>
          <w:highlight w:val="none"/>
          <w:lang w:val="en-US" w:eastAsia="zh-CN"/>
        </w:rPr>
        <w:t>招标</w:t>
      </w:r>
      <w:r>
        <w:rPr>
          <w:rFonts w:hint="eastAsia" w:ascii="宋体" w:hAnsi="宋体" w:eastAsia="宋体" w:cs="宋体"/>
          <w:sz w:val="24"/>
          <w:szCs w:val="24"/>
          <w:highlight w:val="none"/>
        </w:rPr>
        <w:t>文件的具体要求在开标前登录网上不见面开标大厅完成相应工作，并安排专人实时在线处理答疑、澄清、报价等事宜。具体详见《聊城不见面开标大厅--操作手册（投标人）》。</w:t>
      </w:r>
    </w:p>
    <w:p w14:paraId="2A402990">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不见面开标大厅登录途径</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1.聊城市公共资源交易中心不见面开标大厅（</w:t>
      </w:r>
      <w:r>
        <w:rPr>
          <w:rFonts w:hint="eastAsia" w:ascii="宋体" w:hAnsi="宋体" w:eastAsia="宋体" w:cs="宋体"/>
          <w:sz w:val="24"/>
          <w:szCs w:val="24"/>
          <w:highlight w:val="none"/>
          <w:lang w:eastAsia="zh-CN"/>
        </w:rPr>
        <w:t>聊城市公共资源交易中心网</w:t>
      </w:r>
      <w:r>
        <w:rPr>
          <w:rFonts w:hint="eastAsia" w:ascii="宋体" w:hAnsi="宋体" w:eastAsia="宋体" w:cs="宋体"/>
          <w:sz w:val="24"/>
          <w:szCs w:val="24"/>
          <w:highlight w:val="none"/>
        </w:rPr>
        <w:t>-平台入口-不见面开标大厅登录入口）</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2.不见面开标大厅网址：</w:t>
      </w:r>
      <w:r>
        <w:rPr>
          <w:rFonts w:hint="eastAsia" w:ascii="宋体" w:hAnsi="宋体" w:cs="宋体"/>
          <w:sz w:val="24"/>
          <w:szCs w:val="24"/>
          <w:highlight w:val="none"/>
          <w:lang w:eastAsia="zh-CN"/>
        </w:rPr>
        <w:t>http://ggzyjy.liaocheng.gov.cn</w:t>
      </w:r>
      <w:r>
        <w:rPr>
          <w:rFonts w:hint="eastAsia" w:ascii="宋体" w:hAnsi="宋体" w:eastAsia="宋体" w:cs="宋体"/>
          <w:sz w:val="24"/>
          <w:szCs w:val="24"/>
          <w:highlight w:val="none"/>
        </w:rPr>
        <w:t>:8093/BidOpening/bidopeninghallaction/hall/login</w:t>
      </w:r>
    </w:p>
    <w:p w14:paraId="5FE1D677">
      <w:pPr>
        <w:spacing w:line="360" w:lineRule="auto"/>
        <w:rPr>
          <w:rFonts w:hint="eastAsia" w:ascii="宋体" w:hAnsi="宋体" w:eastAsia="宋体" w:cs="宋体"/>
          <w:sz w:val="24"/>
          <w:szCs w:val="24"/>
          <w:highlight w:val="none"/>
        </w:rPr>
      </w:pPr>
      <w:bookmarkStart w:id="21" w:name="_Toc35393625"/>
      <w:bookmarkStart w:id="22" w:name="_Toc28359007"/>
      <w:bookmarkStart w:id="23" w:name="_Toc28359084"/>
      <w:bookmarkStart w:id="24" w:name="_Toc35393794"/>
      <w:r>
        <w:rPr>
          <w:rFonts w:hint="eastAsia" w:ascii="宋体" w:hAnsi="宋体" w:eastAsia="宋体" w:cs="宋体"/>
          <w:sz w:val="24"/>
          <w:szCs w:val="24"/>
          <w:highlight w:val="none"/>
        </w:rPr>
        <w:t>五、公告期限</w:t>
      </w:r>
      <w:bookmarkEnd w:id="21"/>
      <w:bookmarkEnd w:id="22"/>
      <w:bookmarkEnd w:id="23"/>
      <w:bookmarkEnd w:id="24"/>
    </w:p>
    <w:p w14:paraId="42E5DB3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自本公告发布之日起5个工作日。</w:t>
      </w:r>
    </w:p>
    <w:p w14:paraId="3943FE3D">
      <w:pPr>
        <w:spacing w:line="360" w:lineRule="auto"/>
        <w:rPr>
          <w:rFonts w:hint="eastAsia" w:ascii="宋体" w:hAnsi="宋体" w:eastAsia="宋体" w:cs="宋体"/>
          <w:sz w:val="24"/>
          <w:szCs w:val="24"/>
          <w:highlight w:val="none"/>
        </w:rPr>
      </w:pPr>
      <w:bookmarkStart w:id="25" w:name="_Toc35393626"/>
      <w:bookmarkStart w:id="26" w:name="_Toc35393795"/>
      <w:r>
        <w:rPr>
          <w:rFonts w:hint="eastAsia" w:ascii="宋体" w:hAnsi="宋体" w:eastAsia="宋体" w:cs="宋体"/>
          <w:sz w:val="24"/>
          <w:szCs w:val="24"/>
          <w:highlight w:val="none"/>
          <w:lang w:eastAsia="zh-CN"/>
        </w:rPr>
        <w:t>六、</w:t>
      </w:r>
      <w:r>
        <w:rPr>
          <w:rFonts w:hint="eastAsia" w:ascii="宋体" w:hAnsi="宋体" w:eastAsia="宋体" w:cs="宋体"/>
          <w:sz w:val="24"/>
          <w:szCs w:val="24"/>
          <w:highlight w:val="none"/>
        </w:rPr>
        <w:t>其他补充事宜</w:t>
      </w:r>
      <w:bookmarkEnd w:id="25"/>
      <w:bookmarkEnd w:id="26"/>
    </w:p>
    <w:p w14:paraId="72A7DAF1">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1.发布公告的媒介：中国山东政府采购网、聊城市公共资源交易中心网。</w:t>
      </w:r>
    </w:p>
    <w:p w14:paraId="3CA75E78">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2.电子交易系统特别注意事项</w:t>
      </w:r>
    </w:p>
    <w:p w14:paraId="09350A5B">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供应商首次在聊城市公共资源交易平台参与项目的，获取采购文件前须办理企业诚信入库，详见聊城市公共资源交易中心网，具体内容详见：http://ggzyjy.liaocheng.gov.cn/lcggzy/tzgg/20230613/d95a44cc-38cc-4176-9ac7-137d9fe765d7.html</w:t>
      </w:r>
    </w:p>
    <w:p w14:paraId="1661717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本项目实行电子评标，供应商需办理CA证书，办理要求详见聊城市公共资源交易中心网右侧快捷入口“CA办理”。因未及时办理CA证书而导致无法提交投标（响应）文件的，责任自负。CA办理咨询电话：0635-8902280 ；移动CA锁（标证通）办理咨询电话：400-823-8788。</w:t>
      </w:r>
    </w:p>
    <w:p w14:paraId="4E67657E">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各供应商应随时关注项目信息并及时登录聊城市公共资源交易平台系统下载采购文件和各类答疑澄清，否则所造成的一切后果由供应商承担，最终文件以答疑澄清后的为准。电子评标的，制作投标（响应）文件需将答疑澄清文件导入投标（响应）文件制作工具。</w:t>
      </w:r>
    </w:p>
    <w:p w14:paraId="5E72062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（4）电子投标（响应）文件制作工具请到聊城市公共资源交易中心网“下载中心-政府采购-政府采购电子标投标文件制作软件以及视频教程”下载。</w:t>
      </w:r>
    </w:p>
    <w:p w14:paraId="41B24F6E">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供应商如遇交易系统软件操作技术问题，请咨询国泰新点软件股份有限公司或聊城市公共资源交易中心交易平台维护室。国泰新点软件股份有限公司：400-998-0000；聊城市公共资源交易中心交易平台维护室：0635-8902702，联系人：黄工、张工。</w:t>
      </w:r>
    </w:p>
    <w:p w14:paraId="41172C67">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采购过程中如遇到网络故障、服务器受损、系统服务异常或停电事故等突发情况，导致项目无法正常进行时，按照中心开评标应急预案处理，详见①聊城市公共资源交易中心采购类项目开评标应急预案（暂行）(聊城市公共资源交易中心网（http://ggzyjy.liaocheng.gov.cn）—办事指南—政府采购）；②信息技术科公共资源电子交易系统开评标应急预案(聊城市公共资源交易中心网（http://ggzyjy.liaocheng.gov.cn）—办事指南—信息技术科）。</w:t>
      </w:r>
    </w:p>
    <w:p w14:paraId="341FD64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3.重要说明</w:t>
      </w:r>
    </w:p>
    <w:p w14:paraId="2585E845">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公告附件链接的招标文件仅供获取前查看，投标人必须登录聊城市公共资源招投标会员网上交易系统获取并下载正式的招标文件。网上获取文件的成功不代表资格审查的最终通过或合格，投标人最终资格的确认以评标委员会组织的</w:t>
      </w:r>
      <w:r>
        <w:rPr>
          <w:rFonts w:hint="eastAsia" w:ascii="宋体" w:hAnsi="宋体" w:eastAsia="宋体" w:cs="宋体"/>
          <w:sz w:val="24"/>
          <w:szCs w:val="24"/>
          <w:highlight w:val="none"/>
          <w:lang w:eastAsia="zh-CN"/>
        </w:rPr>
        <w:t>审核结果</w:t>
      </w:r>
      <w:r>
        <w:rPr>
          <w:rFonts w:hint="eastAsia" w:ascii="宋体" w:hAnsi="宋体" w:eastAsia="宋体" w:cs="宋体"/>
          <w:sz w:val="24"/>
          <w:szCs w:val="24"/>
          <w:highlight w:val="none"/>
        </w:rPr>
        <w:t>为准。</w:t>
      </w:r>
    </w:p>
    <w:p w14:paraId="208B7E47">
      <w:pPr>
        <w:spacing w:line="360" w:lineRule="auto"/>
        <w:rPr>
          <w:rFonts w:hint="eastAsia" w:ascii="宋体" w:hAnsi="宋体" w:cs="宋体"/>
          <w:sz w:val="24"/>
          <w:szCs w:val="24"/>
          <w:highlight w:val="none"/>
          <w:lang w:eastAsia="zh-CN"/>
        </w:rPr>
      </w:pPr>
      <w:r>
        <w:rPr>
          <w:rFonts w:hint="eastAsia" w:ascii="宋体" w:hAnsi="宋体" w:eastAsia="宋体" w:cs="宋体"/>
          <w:sz w:val="24"/>
          <w:szCs w:val="24"/>
          <w:highlight w:val="none"/>
        </w:rPr>
        <w:t>（2）本项目采用电子标评审，其中技术标采用明标评审</w:t>
      </w:r>
      <w:r>
        <w:rPr>
          <w:rFonts w:hint="eastAsia" w:ascii="宋体" w:hAnsi="宋体" w:cs="宋体"/>
          <w:sz w:val="24"/>
          <w:szCs w:val="24"/>
          <w:highlight w:val="none"/>
          <w:lang w:eastAsia="zh-CN"/>
        </w:rPr>
        <w:t>；</w:t>
      </w:r>
    </w:p>
    <w:p w14:paraId="6FBA8769">
      <w:pPr>
        <w:spacing w:line="360" w:lineRule="auto"/>
        <w:rPr>
          <w:rFonts w:hint="eastAsia" w:ascii="宋体" w:hAnsi="宋体" w:eastAsia="宋体" w:cs="宋体"/>
          <w:sz w:val="24"/>
          <w:szCs w:val="24"/>
          <w:highlight w:val="none"/>
        </w:rPr>
      </w:pPr>
      <w:bookmarkStart w:id="27" w:name="_Toc28359008"/>
      <w:bookmarkStart w:id="28" w:name="_Toc28359085"/>
      <w:bookmarkStart w:id="29" w:name="_Toc35393627"/>
      <w:bookmarkStart w:id="30" w:name="_Toc35393796"/>
      <w:r>
        <w:rPr>
          <w:rFonts w:hint="eastAsia" w:ascii="宋体" w:hAnsi="宋体" w:eastAsia="宋体" w:cs="宋体"/>
          <w:sz w:val="24"/>
          <w:szCs w:val="24"/>
          <w:highlight w:val="none"/>
        </w:rPr>
        <w:t>七、对本次招标提出询问，请按以下方式联系。</w:t>
      </w:r>
      <w:bookmarkEnd w:id="27"/>
      <w:bookmarkEnd w:id="28"/>
      <w:bookmarkEnd w:id="29"/>
      <w:bookmarkEnd w:id="30"/>
    </w:p>
    <w:p w14:paraId="5025FFE0">
      <w:pPr>
        <w:spacing w:line="360" w:lineRule="auto"/>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招标人信息：</w:t>
      </w:r>
    </w:p>
    <w:p w14:paraId="6705B368">
      <w:pPr>
        <w:spacing w:line="360" w:lineRule="auto"/>
        <w:rPr>
          <w:rFonts w:hint="eastAsia" w:asciiTheme="majorEastAsia" w:hAnsiTheme="majorEastAsia" w:eastAsiaTheme="majorEastAsia" w:cstheme="majorEastAsia"/>
          <w:sz w:val="24"/>
          <w:szCs w:val="24"/>
          <w:highlight w:val="none"/>
          <w:lang w:eastAsia="zh-CN"/>
        </w:rPr>
      </w:pPr>
      <w:r>
        <w:rPr>
          <w:rFonts w:hint="eastAsia" w:asciiTheme="majorEastAsia" w:hAnsiTheme="majorEastAsia" w:eastAsiaTheme="majorEastAsia" w:cstheme="majorEastAsia"/>
          <w:sz w:val="24"/>
          <w:szCs w:val="24"/>
          <w:highlight w:val="none"/>
        </w:rPr>
        <w:t>名称：</w:t>
      </w:r>
      <w:r>
        <w:rPr>
          <w:rFonts w:hint="eastAsia" w:asciiTheme="majorEastAsia" w:hAnsiTheme="majorEastAsia" w:eastAsiaTheme="majorEastAsia" w:cstheme="majorEastAsia"/>
          <w:sz w:val="24"/>
          <w:szCs w:val="24"/>
          <w:highlight w:val="none"/>
          <w:lang w:eastAsia="zh-CN"/>
        </w:rPr>
        <w:t>聊城市公安局交通巡逻警察支队直属二大队</w:t>
      </w:r>
    </w:p>
    <w:p w14:paraId="6BA042D3">
      <w:pPr>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地址：</w:t>
      </w:r>
      <w:r>
        <w:rPr>
          <w:rFonts w:hint="eastAsia" w:asciiTheme="majorEastAsia" w:hAnsiTheme="majorEastAsia" w:eastAsiaTheme="majorEastAsia" w:cstheme="majorEastAsia"/>
          <w:sz w:val="24"/>
          <w:szCs w:val="24"/>
          <w:highlight w:val="none"/>
          <w:lang w:val="en-US" w:eastAsia="zh-CN"/>
        </w:rPr>
        <w:t xml:space="preserve"> 聊城市东昌府区卫育路</w:t>
      </w:r>
      <w:r>
        <w:rPr>
          <w:rFonts w:hint="eastAsia" w:asciiTheme="majorEastAsia" w:hAnsiTheme="majorEastAsia" w:eastAsiaTheme="majorEastAsia" w:cstheme="majorEastAsia"/>
          <w:sz w:val="24"/>
          <w:szCs w:val="24"/>
          <w:highlight w:val="none"/>
        </w:rPr>
        <w:t>          </w:t>
      </w:r>
    </w:p>
    <w:p w14:paraId="3A2C5D68">
      <w:pPr>
        <w:spacing w:line="360" w:lineRule="auto"/>
        <w:rPr>
          <w:rFonts w:hint="eastAsia" w:asciiTheme="majorEastAsia" w:hAnsiTheme="majorEastAsia" w:eastAsiaTheme="majorEastAsia" w:cstheme="majorEastAsia"/>
          <w:sz w:val="24"/>
          <w:szCs w:val="24"/>
          <w:highlight w:val="yellow"/>
          <w:lang w:eastAsia="zh-CN"/>
        </w:rPr>
      </w:pPr>
      <w:r>
        <w:rPr>
          <w:rFonts w:hint="eastAsia" w:asciiTheme="majorEastAsia" w:hAnsiTheme="majorEastAsia" w:eastAsiaTheme="majorEastAsia" w:cstheme="majorEastAsia"/>
          <w:sz w:val="24"/>
          <w:szCs w:val="24"/>
          <w:highlight w:val="none"/>
        </w:rPr>
        <w:t>联系方式：0635-7185335</w:t>
      </w:r>
      <w:r>
        <w:rPr>
          <w:rFonts w:hint="eastAsia" w:asciiTheme="majorEastAsia" w:hAnsiTheme="majorEastAsia" w:eastAsiaTheme="majorEastAsia" w:cstheme="majorEastAsia"/>
          <w:sz w:val="24"/>
          <w:szCs w:val="24"/>
          <w:highlight w:val="none"/>
          <w:lang w:val="en-US" w:eastAsia="zh-CN"/>
        </w:rPr>
        <w:t xml:space="preserve"> </w:t>
      </w:r>
    </w:p>
    <w:p w14:paraId="6494B26A">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w:t>
      </w:r>
      <w:r>
        <w:rPr>
          <w:rFonts w:hint="eastAsia" w:asciiTheme="majorEastAsia" w:hAnsiTheme="majorEastAsia" w:eastAsiaTheme="majorEastAsia" w:cstheme="majorEastAsia"/>
          <w:sz w:val="24"/>
          <w:szCs w:val="24"/>
          <w:lang w:val="en-US" w:eastAsia="zh-CN"/>
        </w:rPr>
        <w:t>招标</w:t>
      </w:r>
      <w:r>
        <w:rPr>
          <w:rFonts w:hint="eastAsia" w:asciiTheme="majorEastAsia" w:hAnsiTheme="majorEastAsia" w:eastAsiaTheme="majorEastAsia" w:cstheme="majorEastAsia"/>
          <w:sz w:val="24"/>
          <w:szCs w:val="24"/>
        </w:rPr>
        <w:t>代理机构信息</w:t>
      </w:r>
    </w:p>
    <w:p w14:paraId="195D1B1E">
      <w:pPr>
        <w:spacing w:line="360" w:lineRule="auto"/>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rPr>
        <w:t>名称：</w:t>
      </w:r>
      <w:r>
        <w:rPr>
          <w:rFonts w:hint="eastAsia" w:asciiTheme="majorEastAsia" w:hAnsiTheme="majorEastAsia" w:eastAsiaTheme="majorEastAsia" w:cstheme="majorEastAsia"/>
          <w:sz w:val="24"/>
          <w:szCs w:val="24"/>
          <w:highlight w:val="none"/>
        </w:rPr>
        <w:t>中凡建设项目管理（山东）有限公司</w:t>
      </w:r>
      <w:r>
        <w:rPr>
          <w:rFonts w:hint="eastAsia" w:asciiTheme="majorEastAsia" w:hAnsiTheme="majorEastAsia" w:eastAsiaTheme="majorEastAsia" w:cstheme="majorEastAsia"/>
          <w:sz w:val="24"/>
          <w:szCs w:val="24"/>
          <w:lang w:val="en-US" w:eastAsia="zh-CN"/>
        </w:rPr>
        <w:t xml:space="preserve"> </w:t>
      </w:r>
    </w:p>
    <w:p w14:paraId="2E680F3A">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地址：</w:t>
      </w:r>
      <w:r>
        <w:rPr>
          <w:rFonts w:hint="eastAsia" w:asciiTheme="majorEastAsia" w:hAnsiTheme="majorEastAsia" w:eastAsiaTheme="majorEastAsia" w:cstheme="majorEastAsia"/>
          <w:kern w:val="0"/>
          <w:sz w:val="24"/>
          <w:szCs w:val="24"/>
          <w:highlight w:val="none"/>
          <w:lang w:eastAsia="zh-CN"/>
        </w:rPr>
        <w:t>山东省聊城市东昌府区许营镇湖南路与庐山路交叉口博奥克东临中冶天工7号楼411室</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       </w:t>
      </w:r>
    </w:p>
    <w:p w14:paraId="60A52B64">
      <w:pPr>
        <w:spacing w:line="360" w:lineRule="auto"/>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rPr>
        <w:t>联系方式：18769536666</w:t>
      </w:r>
      <w:r>
        <w:rPr>
          <w:rFonts w:hint="eastAsia" w:asciiTheme="majorEastAsia" w:hAnsiTheme="majorEastAsia" w:eastAsiaTheme="majorEastAsia" w:cstheme="majorEastAsia"/>
          <w:sz w:val="24"/>
          <w:szCs w:val="24"/>
          <w:lang w:val="en-US" w:eastAsia="zh-CN"/>
        </w:rPr>
        <w:t xml:space="preserve"> </w:t>
      </w:r>
    </w:p>
    <w:p w14:paraId="2C9DEBB7">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3、采购项目联系方式：</w:t>
      </w:r>
    </w:p>
    <w:p w14:paraId="203C0F00">
      <w:pPr>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项目联系人</w:t>
      </w:r>
      <w:r>
        <w:rPr>
          <w:rFonts w:hint="eastAsia" w:asciiTheme="majorEastAsia" w:hAnsiTheme="majorEastAsia" w:eastAsiaTheme="majorEastAsia" w:cstheme="majorEastAsia"/>
          <w:sz w:val="24"/>
          <w:szCs w:val="24"/>
          <w:lang w:val="en-US" w:eastAsia="zh-CN"/>
        </w:rPr>
        <w:t xml:space="preserve">张经理 </w:t>
      </w:r>
      <w:r>
        <w:rPr>
          <w:rFonts w:hint="eastAsia" w:asciiTheme="majorEastAsia" w:hAnsiTheme="majorEastAsia" w:eastAsiaTheme="majorEastAsia" w:cstheme="majorEastAsia"/>
          <w:sz w:val="24"/>
          <w:szCs w:val="24"/>
        </w:rPr>
        <w:t>           </w:t>
      </w:r>
    </w:p>
    <w:p w14:paraId="13F99776">
      <w:pPr>
        <w:spacing w:line="360" w:lineRule="auto"/>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rPr>
        <w:t>联系方式：</w:t>
      </w:r>
      <w:r>
        <w:rPr>
          <w:rFonts w:hint="eastAsia" w:asciiTheme="majorEastAsia" w:hAnsiTheme="majorEastAsia" w:eastAsiaTheme="majorEastAsia" w:cstheme="majorEastAsia"/>
          <w:sz w:val="24"/>
          <w:szCs w:val="24"/>
          <w:highlight w:val="none"/>
        </w:rPr>
        <w:t>18769536666</w:t>
      </w:r>
      <w:r>
        <w:rPr>
          <w:rFonts w:hint="eastAsia" w:asciiTheme="majorEastAsia" w:hAnsiTheme="majorEastAsia" w:eastAsiaTheme="majorEastAsia" w:cstheme="majorEastAsia"/>
          <w:sz w:val="24"/>
          <w:szCs w:val="24"/>
          <w:lang w:val="en-US" w:eastAsia="zh-CN"/>
        </w:rPr>
        <w:t xml:space="preserve"> </w:t>
      </w:r>
    </w:p>
    <w:p w14:paraId="2FA12876">
      <w:pPr>
        <w:keepNext w:val="0"/>
        <w:keepLines w:val="0"/>
        <w:pageBreakBefore w:val="0"/>
        <w:wordWrap w:val="0"/>
        <w:overflowPunct/>
        <w:topLinePunct w:val="0"/>
        <w:bidi w:val="0"/>
        <w:snapToGrid w:val="0"/>
        <w:spacing w:line="360" w:lineRule="auto"/>
        <w:jc w:val="right"/>
        <w:rPr>
          <w:rFonts w:hint="eastAsia" w:asciiTheme="majorEastAsia" w:hAnsiTheme="majorEastAsia" w:eastAsiaTheme="majorEastAsia" w:cstheme="majorEastAsia"/>
          <w:color w:val="000000"/>
          <w:sz w:val="24"/>
          <w:szCs w:val="24"/>
          <w:highlight w:val="none"/>
          <w:lang w:eastAsia="zh-CN"/>
        </w:rPr>
      </w:pPr>
      <w:r>
        <w:rPr>
          <w:rFonts w:hint="eastAsia" w:asciiTheme="majorEastAsia" w:hAnsiTheme="majorEastAsia" w:eastAsiaTheme="majorEastAsia" w:cstheme="majorEastAsia"/>
          <w:color w:val="000000"/>
          <w:sz w:val="24"/>
          <w:szCs w:val="24"/>
          <w:highlight w:val="none"/>
        </w:rPr>
        <w:t>发布人：</w:t>
      </w:r>
      <w:r>
        <w:rPr>
          <w:rFonts w:hint="eastAsia" w:asciiTheme="majorEastAsia" w:hAnsiTheme="majorEastAsia" w:eastAsiaTheme="majorEastAsia" w:cstheme="majorEastAsia"/>
          <w:sz w:val="24"/>
          <w:szCs w:val="24"/>
          <w:highlight w:val="none"/>
        </w:rPr>
        <w:t>中凡建设项目管理（山东）有限公司</w:t>
      </w:r>
      <w:r>
        <w:rPr>
          <w:rFonts w:hint="eastAsia" w:asciiTheme="majorEastAsia" w:hAnsiTheme="majorEastAsia" w:eastAsiaTheme="majorEastAsia" w:cstheme="majorEastAsia"/>
          <w:color w:val="000000"/>
          <w:sz w:val="24"/>
          <w:szCs w:val="24"/>
          <w:highlight w:val="none"/>
          <w:lang w:val="en-US" w:eastAsia="zh-CN"/>
        </w:rPr>
        <w:t xml:space="preserve"> </w:t>
      </w:r>
    </w:p>
    <w:p w14:paraId="4BABDDFA">
      <w:pPr>
        <w:keepNext w:val="0"/>
        <w:keepLines w:val="0"/>
        <w:pageBreakBefore w:val="0"/>
        <w:wordWrap w:val="0"/>
        <w:overflowPunct/>
        <w:topLinePunct w:val="0"/>
        <w:bidi w:val="0"/>
        <w:snapToGrid w:val="0"/>
        <w:spacing w:line="360" w:lineRule="auto"/>
        <w:ind w:right="120"/>
        <w:jc w:val="right"/>
        <w:rPr>
          <w:rFonts w:hint="eastAsia" w:asciiTheme="majorEastAsia" w:hAnsiTheme="majorEastAsia" w:eastAsiaTheme="majorEastAsia" w:cstheme="majorEastAsia"/>
          <w:color w:val="000000"/>
          <w:sz w:val="24"/>
          <w:szCs w:val="24"/>
          <w:highlight w:val="yellow"/>
        </w:rPr>
      </w:pPr>
      <w:r>
        <w:rPr>
          <w:rFonts w:hint="eastAsia" w:asciiTheme="majorEastAsia" w:hAnsiTheme="majorEastAsia" w:eastAsiaTheme="majorEastAsia" w:cstheme="majorEastAsia"/>
          <w:color w:val="000000"/>
          <w:sz w:val="24"/>
          <w:szCs w:val="24"/>
          <w:highlight w:val="none"/>
          <w:lang w:val="en-US" w:eastAsia="zh-CN"/>
        </w:rPr>
        <w:t xml:space="preserve">                           </w:t>
      </w:r>
      <w:r>
        <w:rPr>
          <w:rFonts w:hint="eastAsia" w:asciiTheme="majorEastAsia" w:hAnsiTheme="majorEastAsia" w:eastAsiaTheme="majorEastAsia" w:cstheme="majorEastAsia"/>
          <w:color w:val="000000"/>
          <w:sz w:val="24"/>
          <w:szCs w:val="24"/>
          <w:highlight w:val="none"/>
        </w:rPr>
        <w:t>发布时间：</w:t>
      </w:r>
      <w:r>
        <w:rPr>
          <w:rFonts w:hint="eastAsia" w:asciiTheme="majorEastAsia" w:hAnsiTheme="majorEastAsia" w:eastAsiaTheme="majorEastAsia" w:cstheme="majorEastAsia"/>
          <w:color w:val="000000"/>
          <w:sz w:val="24"/>
          <w:szCs w:val="24"/>
          <w:highlight w:val="none"/>
          <w:lang w:val="en-US" w:eastAsia="zh-CN"/>
        </w:rPr>
        <w:t>2024</w:t>
      </w:r>
      <w:r>
        <w:rPr>
          <w:rFonts w:hint="eastAsia" w:asciiTheme="majorEastAsia" w:hAnsiTheme="majorEastAsia" w:eastAsiaTheme="majorEastAsia" w:cstheme="majorEastAsia"/>
          <w:color w:val="000000"/>
          <w:sz w:val="24"/>
          <w:szCs w:val="24"/>
          <w:highlight w:val="none"/>
        </w:rPr>
        <w:t>年</w:t>
      </w:r>
      <w:r>
        <w:rPr>
          <w:rFonts w:hint="eastAsia" w:asciiTheme="majorEastAsia" w:hAnsiTheme="majorEastAsia" w:eastAsiaTheme="majorEastAsia" w:cstheme="majorEastAsia"/>
          <w:color w:val="000000"/>
          <w:sz w:val="24"/>
          <w:szCs w:val="24"/>
          <w:highlight w:val="none"/>
          <w:lang w:val="en-US" w:eastAsia="zh-CN"/>
        </w:rPr>
        <w:t>11</w:t>
      </w:r>
      <w:r>
        <w:rPr>
          <w:rFonts w:hint="eastAsia" w:asciiTheme="majorEastAsia" w:hAnsiTheme="majorEastAsia" w:eastAsiaTheme="majorEastAsia" w:cstheme="majorEastAsia"/>
          <w:color w:val="000000"/>
          <w:sz w:val="24"/>
          <w:szCs w:val="24"/>
          <w:highlight w:val="none"/>
        </w:rPr>
        <w:t>月</w:t>
      </w:r>
      <w:r>
        <w:rPr>
          <w:rFonts w:hint="eastAsia" w:asciiTheme="majorEastAsia" w:hAnsiTheme="majorEastAsia" w:eastAsiaTheme="majorEastAsia" w:cstheme="majorEastAsia"/>
          <w:color w:val="000000"/>
          <w:sz w:val="24"/>
          <w:szCs w:val="24"/>
          <w:highlight w:val="none"/>
          <w:lang w:val="en-US" w:eastAsia="zh-CN"/>
        </w:rPr>
        <w:t>05</w:t>
      </w:r>
      <w:r>
        <w:rPr>
          <w:rFonts w:hint="eastAsia" w:asciiTheme="majorEastAsia" w:hAnsiTheme="majorEastAsia" w:eastAsiaTheme="majorEastAsia" w:cstheme="majorEastAsia"/>
          <w:color w:val="000000"/>
          <w:sz w:val="24"/>
          <w:szCs w:val="24"/>
          <w:highlight w:val="none"/>
        </w:rPr>
        <w:t>日</w:t>
      </w:r>
    </w:p>
    <w:p w14:paraId="08F7B10C">
      <w:pPr>
        <w:spacing w:line="360" w:lineRule="auto"/>
        <w:jc w:val="right"/>
        <w:rPr>
          <w:rFonts w:hint="eastAsia" w:ascii="宋体" w:hAnsi="宋体" w:eastAsia="宋体" w:cs="宋体"/>
          <w:sz w:val="24"/>
          <w:szCs w:val="24"/>
          <w:highlight w:val="none"/>
          <w:lang w:eastAsia="zh-CN"/>
        </w:rPr>
      </w:pPr>
    </w:p>
    <w:bookmarkEnd w:id="7"/>
    <w:bookmarkEnd w:id="8"/>
    <w:p w14:paraId="65A360B5">
      <w:pPr>
        <w:tabs>
          <w:tab w:val="left" w:pos="3994"/>
        </w:tabs>
        <w:bidi w:val="0"/>
        <w:jc w:val="left"/>
        <w:rPr>
          <w:highlight w:val="none"/>
          <w:lang w:val="en-US" w:eastAsia="zh-CN"/>
        </w:rPr>
        <w:sectPr>
          <w:headerReference r:id="rId6" w:type="first"/>
          <w:footerReference r:id="rId8" w:type="first"/>
          <w:footerReference r:id="rId7" w:type="default"/>
          <w:pgSz w:w="11905" w:h="16838"/>
          <w:pgMar w:top="1440" w:right="1083" w:bottom="1440" w:left="1083" w:header="1191" w:footer="1077" w:gutter="0"/>
          <w:pgNumType w:fmt="decimal" w:start="1"/>
          <w:cols w:space="0" w:num="1"/>
          <w:titlePg/>
          <w:rtlGutter w:val="0"/>
          <w:docGrid w:linePitch="312" w:charSpace="0"/>
        </w:sectPr>
      </w:pPr>
    </w:p>
    <w:p w14:paraId="2D064F37">
      <w:pPr>
        <w:numPr>
          <w:ilvl w:val="0"/>
          <w:numId w:val="2"/>
        </w:numPr>
        <w:jc w:val="center"/>
        <w:outlineLvl w:val="0"/>
        <w:rPr>
          <w:b/>
          <w:color w:val="000000" w:themeColor="text1"/>
          <w:sz w:val="36"/>
          <w:szCs w:val="36"/>
          <w:highlight w:val="none"/>
          <w14:textFill>
            <w14:solidFill>
              <w14:schemeClr w14:val="tx1"/>
            </w14:solidFill>
          </w14:textFill>
        </w:rPr>
      </w:pPr>
      <w:bookmarkStart w:id="31" w:name="_Toc3399"/>
      <w:bookmarkStart w:id="32" w:name="_Toc26730"/>
      <w:bookmarkStart w:id="33" w:name="_Toc16602"/>
      <w:r>
        <w:rPr>
          <w:b/>
          <w:color w:val="000000" w:themeColor="text1"/>
          <w:sz w:val="36"/>
          <w:szCs w:val="36"/>
          <w:highlight w:val="none"/>
          <w14:textFill>
            <w14:solidFill>
              <w14:schemeClr w14:val="tx1"/>
            </w14:solidFill>
          </w14:textFill>
        </w:rPr>
        <w:t xml:space="preserve"> 投标人须知</w:t>
      </w:r>
      <w:bookmarkEnd w:id="31"/>
      <w:bookmarkEnd w:id="32"/>
    </w:p>
    <w:p w14:paraId="49181163">
      <w:pPr>
        <w:pStyle w:val="30"/>
        <w:numPr>
          <w:ilvl w:val="0"/>
          <w:numId w:val="0"/>
        </w:numPr>
        <w:rPr>
          <w:highlight w:val="none"/>
        </w:rPr>
      </w:pPr>
    </w:p>
    <w:tbl>
      <w:tblPr>
        <w:tblStyle w:val="76"/>
        <w:tblW w:w="98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2042"/>
        <w:gridCol w:w="7139"/>
      </w:tblGrid>
      <w:tr w14:paraId="6FE52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714" w:type="dxa"/>
            <w:vAlign w:val="center"/>
          </w:tcPr>
          <w:p w14:paraId="27819A1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项号</w:t>
            </w:r>
          </w:p>
        </w:tc>
        <w:tc>
          <w:tcPr>
            <w:tcW w:w="2042" w:type="dxa"/>
            <w:vAlign w:val="center"/>
          </w:tcPr>
          <w:p w14:paraId="67061DE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内　　容</w:t>
            </w:r>
          </w:p>
        </w:tc>
        <w:tc>
          <w:tcPr>
            <w:tcW w:w="7139" w:type="dxa"/>
            <w:vAlign w:val="center"/>
          </w:tcPr>
          <w:p w14:paraId="0E5C14D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规　　定</w:t>
            </w:r>
          </w:p>
        </w:tc>
      </w:tr>
      <w:tr w14:paraId="577E5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14" w:type="dxa"/>
            <w:vAlign w:val="center"/>
          </w:tcPr>
          <w:p w14:paraId="61075A7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042" w:type="dxa"/>
            <w:vAlign w:val="center"/>
          </w:tcPr>
          <w:p w14:paraId="4D6C06B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7139" w:type="dxa"/>
            <w:vAlign w:val="center"/>
          </w:tcPr>
          <w:p w14:paraId="3D7FE49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聊城市公安局交通巡逻警察支队直属二大队食材采购项目 </w:t>
            </w:r>
          </w:p>
        </w:tc>
      </w:tr>
      <w:tr w14:paraId="44DA3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27F4BED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p>
        </w:tc>
        <w:tc>
          <w:tcPr>
            <w:tcW w:w="2042" w:type="dxa"/>
            <w:vAlign w:val="center"/>
          </w:tcPr>
          <w:p w14:paraId="4C8B08B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招标人</w:t>
            </w:r>
            <w:r>
              <w:rPr>
                <w:rFonts w:hint="eastAsia" w:ascii="宋体" w:hAnsi="宋体" w:eastAsia="宋体" w:cs="宋体"/>
                <w:sz w:val="24"/>
                <w:szCs w:val="24"/>
                <w:highlight w:val="none"/>
              </w:rPr>
              <w:t>名称</w:t>
            </w:r>
          </w:p>
        </w:tc>
        <w:tc>
          <w:tcPr>
            <w:tcW w:w="7139" w:type="dxa"/>
            <w:vAlign w:val="center"/>
          </w:tcPr>
          <w:p w14:paraId="10F23D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聊城市公安局交通巡逻警察支队直属二大队</w:t>
            </w:r>
          </w:p>
        </w:tc>
      </w:tr>
      <w:tr w14:paraId="1C439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232ADD6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p>
        </w:tc>
        <w:tc>
          <w:tcPr>
            <w:tcW w:w="2042" w:type="dxa"/>
            <w:vAlign w:val="center"/>
          </w:tcPr>
          <w:p w14:paraId="7BA806B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招标内容</w:t>
            </w:r>
          </w:p>
        </w:tc>
        <w:tc>
          <w:tcPr>
            <w:tcW w:w="7139" w:type="dxa"/>
            <w:vAlign w:val="center"/>
          </w:tcPr>
          <w:p w14:paraId="3C97B50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i w:val="0"/>
                <w:iCs w:val="0"/>
                <w:kern w:val="2"/>
                <w:sz w:val="24"/>
                <w:szCs w:val="24"/>
                <w:highlight w:val="none"/>
              </w:rPr>
              <w:t>本项目共</w:t>
            </w:r>
            <w:r>
              <w:rPr>
                <w:rFonts w:hint="eastAsia" w:ascii="宋体" w:hAnsi="宋体" w:cs="宋体"/>
                <w:i w:val="0"/>
                <w:iCs w:val="0"/>
                <w:kern w:val="2"/>
                <w:sz w:val="24"/>
                <w:szCs w:val="24"/>
                <w:highlight w:val="none"/>
                <w:lang w:val="en-US" w:eastAsia="zh-CN"/>
              </w:rPr>
              <w:t>两</w:t>
            </w:r>
            <w:r>
              <w:rPr>
                <w:rFonts w:hint="eastAsia" w:ascii="宋体" w:hAnsi="宋体" w:eastAsia="宋体" w:cs="宋体"/>
                <w:i w:val="0"/>
                <w:iCs w:val="0"/>
                <w:kern w:val="2"/>
                <w:sz w:val="24"/>
                <w:szCs w:val="24"/>
                <w:highlight w:val="none"/>
              </w:rPr>
              <w:t>个</w:t>
            </w:r>
            <w:r>
              <w:rPr>
                <w:rFonts w:hint="eastAsia" w:ascii="宋体" w:hAnsi="宋体" w:eastAsia="宋体" w:cs="宋体"/>
                <w:i w:val="0"/>
                <w:iCs w:val="0"/>
                <w:kern w:val="2"/>
                <w:sz w:val="24"/>
                <w:szCs w:val="24"/>
                <w:highlight w:val="none"/>
                <w:lang w:eastAsia="zh-CN"/>
              </w:rPr>
              <w:t>标段</w:t>
            </w:r>
            <w:r>
              <w:rPr>
                <w:rFonts w:hint="eastAsia" w:ascii="宋体" w:hAnsi="宋体" w:eastAsia="宋体" w:cs="宋体"/>
                <w:i w:val="0"/>
                <w:iCs w:val="0"/>
                <w:kern w:val="2"/>
                <w:sz w:val="24"/>
                <w:szCs w:val="24"/>
                <w:highlight w:val="none"/>
              </w:rPr>
              <w:t>，</w:t>
            </w:r>
            <w:r>
              <w:rPr>
                <w:rFonts w:hint="eastAsia" w:ascii="宋体" w:hAnsi="宋体" w:cs="宋体"/>
                <w:i w:val="0"/>
                <w:iCs w:val="0"/>
                <w:kern w:val="2"/>
                <w:sz w:val="24"/>
                <w:szCs w:val="24"/>
                <w:highlight w:val="none"/>
                <w:lang w:val="en-US" w:eastAsia="zh-CN"/>
              </w:rPr>
              <w:t>标段一：</w:t>
            </w:r>
            <w:r>
              <w:rPr>
                <w:rFonts w:hint="eastAsia" w:ascii="宋体" w:hAnsi="宋体" w:eastAsia="宋体" w:cs="宋体"/>
                <w:i w:val="0"/>
                <w:iCs w:val="0"/>
                <w:caps w:val="0"/>
                <w:color w:val="000000"/>
                <w:spacing w:val="0"/>
                <w:sz w:val="24"/>
                <w:szCs w:val="24"/>
                <w:shd w:val="clear" w:fill="FFFFFF"/>
              </w:rPr>
              <w:t>肉类、水产品、米面粮油类</w:t>
            </w:r>
            <w:r>
              <w:rPr>
                <w:rFonts w:hint="eastAsia" w:ascii="宋体" w:hAnsi="宋体" w:eastAsia="宋体" w:cs="宋体"/>
                <w:i w:val="0"/>
                <w:iCs w:val="0"/>
                <w:caps w:val="0"/>
                <w:color w:val="000000"/>
                <w:spacing w:val="0"/>
                <w:sz w:val="24"/>
                <w:szCs w:val="24"/>
                <w:shd w:val="clear" w:fill="FFFFFF"/>
                <w:lang w:val="en-US" w:eastAsia="zh-CN"/>
              </w:rPr>
              <w:t>等</w:t>
            </w:r>
            <w:r>
              <w:rPr>
                <w:rFonts w:hint="eastAsia" w:ascii="宋体" w:hAnsi="宋体" w:eastAsia="宋体" w:cs="宋体"/>
                <w:i w:val="0"/>
                <w:iCs w:val="0"/>
                <w:caps w:val="0"/>
                <w:color w:val="000000"/>
                <w:spacing w:val="0"/>
                <w:sz w:val="24"/>
                <w:szCs w:val="24"/>
                <w:shd w:val="clear" w:fill="FFFFFF"/>
              </w:rPr>
              <w:t>食材供应</w:t>
            </w:r>
            <w:r>
              <w:rPr>
                <w:rFonts w:hint="eastAsia" w:ascii="宋体" w:hAnsi="宋体" w:eastAsia="宋体" w:cs="宋体"/>
                <w:i w:val="0"/>
                <w:iCs w:val="0"/>
                <w:caps w:val="0"/>
                <w:color w:val="000000"/>
                <w:spacing w:val="0"/>
                <w:sz w:val="24"/>
                <w:szCs w:val="24"/>
                <w:shd w:val="clear" w:fill="FFFFFF"/>
                <w:lang w:eastAsia="zh-CN"/>
              </w:rPr>
              <w:t>；</w:t>
            </w:r>
            <w:r>
              <w:rPr>
                <w:rFonts w:hint="eastAsia" w:ascii="宋体" w:hAnsi="宋体" w:eastAsia="宋体" w:cs="宋体"/>
                <w:i w:val="0"/>
                <w:iCs w:val="0"/>
                <w:caps w:val="0"/>
                <w:color w:val="000000"/>
                <w:spacing w:val="0"/>
                <w:sz w:val="24"/>
                <w:szCs w:val="24"/>
                <w:shd w:val="clear" w:fill="FFFFFF"/>
                <w:lang w:val="en-US" w:eastAsia="zh-CN"/>
              </w:rPr>
              <w:t>标段二：</w:t>
            </w:r>
            <w:r>
              <w:rPr>
                <w:rFonts w:hint="eastAsia" w:ascii="宋体" w:hAnsi="宋体" w:eastAsia="宋体" w:cs="宋体"/>
                <w:i w:val="0"/>
                <w:iCs w:val="0"/>
                <w:caps w:val="0"/>
                <w:color w:val="000000"/>
                <w:spacing w:val="0"/>
                <w:sz w:val="24"/>
                <w:szCs w:val="24"/>
                <w:shd w:val="clear" w:fill="FFFFFF"/>
              </w:rPr>
              <w:t>蔬菜水果类、蛋类、奶制品类、调味品</w:t>
            </w:r>
            <w:r>
              <w:rPr>
                <w:rFonts w:hint="eastAsia" w:ascii="宋体" w:hAnsi="宋体" w:eastAsia="宋体" w:cs="宋体"/>
                <w:i w:val="0"/>
                <w:iCs w:val="0"/>
                <w:caps w:val="0"/>
                <w:color w:val="000000"/>
                <w:spacing w:val="0"/>
                <w:sz w:val="24"/>
                <w:szCs w:val="24"/>
                <w:shd w:val="clear" w:fill="FFFFFF"/>
                <w:lang w:val="en-US" w:eastAsia="zh-CN"/>
              </w:rPr>
              <w:t>等</w:t>
            </w:r>
            <w:r>
              <w:rPr>
                <w:rFonts w:hint="eastAsia" w:ascii="宋体" w:hAnsi="宋体" w:eastAsia="宋体" w:cs="宋体"/>
                <w:i w:val="0"/>
                <w:iCs w:val="0"/>
                <w:caps w:val="0"/>
                <w:color w:val="000000"/>
                <w:spacing w:val="0"/>
                <w:sz w:val="24"/>
                <w:szCs w:val="24"/>
                <w:shd w:val="clear" w:fill="FFFFFF"/>
              </w:rPr>
              <w:t>食材供应</w:t>
            </w:r>
            <w:r>
              <w:rPr>
                <w:rFonts w:hint="eastAsia" w:ascii="宋体" w:hAnsi="宋体" w:eastAsia="宋体" w:cs="宋体"/>
                <w:i w:val="0"/>
                <w:iCs w:val="0"/>
                <w:kern w:val="2"/>
                <w:sz w:val="24"/>
                <w:szCs w:val="24"/>
                <w:highlight w:val="none"/>
                <w:lang w:val="en-US" w:eastAsia="zh-CN"/>
              </w:rPr>
              <w:t>。</w:t>
            </w:r>
            <w:r>
              <w:rPr>
                <w:rFonts w:hint="eastAsia" w:ascii="宋体" w:hAnsi="宋体" w:eastAsia="宋体" w:cs="宋体"/>
                <w:i w:val="0"/>
                <w:iCs w:val="0"/>
                <w:kern w:val="2"/>
                <w:sz w:val="24"/>
                <w:szCs w:val="24"/>
                <w:highlight w:val="none"/>
              </w:rPr>
              <w:t>具体内容见项目说明。</w:t>
            </w:r>
          </w:p>
        </w:tc>
      </w:tr>
      <w:tr w14:paraId="4948F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07CD2E3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2042" w:type="dxa"/>
            <w:vAlign w:val="center"/>
          </w:tcPr>
          <w:p w14:paraId="12FED16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招标方式</w:t>
            </w:r>
          </w:p>
        </w:tc>
        <w:tc>
          <w:tcPr>
            <w:tcW w:w="7139" w:type="dxa"/>
            <w:vAlign w:val="center"/>
          </w:tcPr>
          <w:p w14:paraId="3D1F2C0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公开招标</w:t>
            </w:r>
          </w:p>
        </w:tc>
      </w:tr>
      <w:tr w14:paraId="2BCD5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7E642D6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p>
        </w:tc>
        <w:tc>
          <w:tcPr>
            <w:tcW w:w="2042" w:type="dxa"/>
            <w:vAlign w:val="center"/>
          </w:tcPr>
          <w:p w14:paraId="222AE1B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投标人资格要求</w:t>
            </w:r>
          </w:p>
        </w:tc>
        <w:tc>
          <w:tcPr>
            <w:tcW w:w="7139" w:type="dxa"/>
            <w:vAlign w:val="center"/>
          </w:tcPr>
          <w:p w14:paraId="690639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见公告</w:t>
            </w:r>
          </w:p>
        </w:tc>
      </w:tr>
      <w:tr w14:paraId="2B6FC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79E1055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6</w:t>
            </w:r>
          </w:p>
        </w:tc>
        <w:tc>
          <w:tcPr>
            <w:tcW w:w="2042" w:type="dxa"/>
            <w:vAlign w:val="center"/>
          </w:tcPr>
          <w:p w14:paraId="30ED62C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资格审查</w:t>
            </w:r>
          </w:p>
        </w:tc>
        <w:tc>
          <w:tcPr>
            <w:tcW w:w="7139" w:type="dxa"/>
            <w:vAlign w:val="center"/>
          </w:tcPr>
          <w:p w14:paraId="31D367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资格后审</w:t>
            </w:r>
          </w:p>
        </w:tc>
      </w:tr>
      <w:tr w14:paraId="4A626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4" w:type="dxa"/>
            <w:vAlign w:val="center"/>
          </w:tcPr>
          <w:p w14:paraId="70E40CF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7</w:t>
            </w:r>
          </w:p>
        </w:tc>
        <w:tc>
          <w:tcPr>
            <w:tcW w:w="2042" w:type="dxa"/>
            <w:vAlign w:val="center"/>
          </w:tcPr>
          <w:p w14:paraId="3BBC482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投标人需提交的资格审查文件</w:t>
            </w:r>
          </w:p>
        </w:tc>
        <w:tc>
          <w:tcPr>
            <w:tcW w:w="7139" w:type="dxa"/>
            <w:vAlign w:val="center"/>
          </w:tcPr>
          <w:p w14:paraId="0121A267">
            <w:pPr>
              <w:pStyle w:val="719"/>
              <w:spacing w:before="79"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 xml:space="preserve">文件中提供如下资格审查文件： </w:t>
            </w:r>
          </w:p>
          <w:p w14:paraId="1D890AC2">
            <w:pPr>
              <w:pStyle w:val="719"/>
              <w:numPr>
                <w:ilvl w:val="0"/>
                <w:numId w:val="0"/>
              </w:numPr>
              <w:spacing w:before="79" w:line="360" w:lineRule="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rPr>
              <w:t>营业执照；</w:t>
            </w:r>
          </w:p>
          <w:p w14:paraId="7B6A5C5A">
            <w:pPr>
              <w:keepNext w:val="0"/>
              <w:keepLines w:val="0"/>
              <w:suppressLineNumbers w:val="0"/>
              <w:spacing w:before="0" w:beforeAutospacing="0" w:after="0" w:afterAutospacing="0" w:line="360" w:lineRule="auto"/>
              <w:ind w:left="0" w:right="0"/>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zh-CN"/>
              </w:rPr>
              <w:t>财务状况证明。是指提供2023年度财务状况报告证明，财务报告或财务报告表（利润表、资产负债表、现金流量表）或银行开具的资信证明；（新成立公司提供成立日期以来的财务报表）</w:t>
            </w:r>
          </w:p>
          <w:p w14:paraId="028FD198">
            <w:pPr>
              <w:keepNext w:val="0"/>
              <w:keepLines w:val="0"/>
              <w:suppressLineNumbers w:val="0"/>
              <w:spacing w:before="0" w:beforeAutospacing="0" w:after="0" w:afterAutospacing="0" w:line="360" w:lineRule="auto"/>
              <w:ind w:left="0" w:right="0"/>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zh-CN"/>
              </w:rPr>
              <w:t>依法缴纳税收的证明。是指提供供应商近半年不少于一个月的缴税证明(以发布公告时间往前推算)，为税务部门出具的完税凭证或交税证明或银行出具的“银行电子缴税付款凭证”（依法免税企业须提供免税证明，依法纳税或依法免税或无欠税证明）</w:t>
            </w:r>
          </w:p>
          <w:p w14:paraId="10B71C5F">
            <w:pPr>
              <w:keepNext w:val="0"/>
              <w:keepLines w:val="0"/>
              <w:suppressLineNumbers w:val="0"/>
              <w:spacing w:before="0" w:beforeAutospacing="0" w:after="0" w:afterAutospacing="0" w:line="360" w:lineRule="auto"/>
              <w:ind w:left="0" w:right="0"/>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zh-CN"/>
              </w:rPr>
              <w:t>依法缴纳社会保障资金的证明。是指提供供应商近半年不少于一个月(以发布公告时间往前推算)的社会保障主管部门出具的社会保障缴纳证明或社会保障缴费清单或税务部门出具的完税凭证</w:t>
            </w:r>
            <w:r>
              <w:rPr>
                <w:rFonts w:hint="eastAsia" w:ascii="宋体" w:hAnsi="宋体" w:cs="宋体"/>
                <w:sz w:val="24"/>
                <w:szCs w:val="24"/>
                <w:highlight w:val="none"/>
                <w:lang w:val="zh-CN"/>
              </w:rPr>
              <w:t>；</w:t>
            </w:r>
          </w:p>
          <w:p w14:paraId="1009E596">
            <w:pPr>
              <w:keepNext w:val="0"/>
              <w:keepLines w:val="0"/>
              <w:suppressLineNumbers w:val="0"/>
              <w:spacing w:before="0" w:beforeAutospacing="0" w:after="0" w:afterAutospacing="0" w:line="360" w:lineRule="auto"/>
              <w:ind w:left="0" w:right="0"/>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zh-CN"/>
              </w:rPr>
              <w:t>法定代表人的授权委托书及授权代表的身份证扫描件；若法定代表人参加，仅提供法定代表人身份证明书及法人的身份证原件扫描件；（格式见附件）；</w:t>
            </w:r>
          </w:p>
          <w:p w14:paraId="06A972F7">
            <w:pPr>
              <w:keepNext w:val="0"/>
              <w:keepLines w:val="0"/>
              <w:suppressLineNumbers w:val="0"/>
              <w:spacing w:before="0" w:beforeAutospacing="0" w:after="0" w:afterAutospacing="0" w:line="360" w:lineRule="auto"/>
              <w:ind w:left="0" w:right="0"/>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zh-CN"/>
              </w:rPr>
              <w:t>具备履行合同所必需的设备和专业技术能力的证明材料。是指提供主要生产设备、检验设备表和主要技术、管理、服务人员数量表。格式见附件《履行合同的设备技术能力证明表》加盖公章；</w:t>
            </w:r>
          </w:p>
          <w:p w14:paraId="51661BE9">
            <w:pPr>
              <w:keepNext w:val="0"/>
              <w:keepLines w:val="0"/>
              <w:suppressLineNumbers w:val="0"/>
              <w:spacing w:before="0" w:beforeAutospacing="0" w:after="0" w:afterAutospacing="0" w:line="360" w:lineRule="auto"/>
              <w:ind w:left="0" w:right="0"/>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lang w:val="zh-CN"/>
              </w:rPr>
              <w:t>参加本次采购活动前3年内在经营活动中没有重大违法记录的声明和信用记录承诺。格式按《无重大违法记录声明》和《信用记录承诺函》；</w:t>
            </w:r>
          </w:p>
          <w:p w14:paraId="16A86926">
            <w:pPr>
              <w:pStyle w:val="93"/>
              <w:ind w:left="0" w:leftChars="0" w:firstLine="0" w:firstLineChars="0"/>
              <w:rPr>
                <w:rFonts w:hint="eastAsia" w:cs="宋体"/>
                <w:sz w:val="24"/>
                <w:szCs w:val="24"/>
                <w:highlight w:val="none"/>
                <w:lang w:val="en-US" w:eastAsia="zh-CN"/>
              </w:rPr>
            </w:pPr>
            <w:r>
              <w:rPr>
                <w:rFonts w:hint="eastAsia" w:cs="宋体"/>
                <w:sz w:val="24"/>
                <w:szCs w:val="24"/>
                <w:highlight w:val="none"/>
                <w:lang w:val="en-US" w:eastAsia="zh-CN"/>
              </w:rPr>
              <w:t>8）资质证书；</w:t>
            </w:r>
          </w:p>
          <w:p w14:paraId="743486C6">
            <w:pPr>
              <w:pStyle w:val="93"/>
              <w:ind w:left="0" w:leftChars="0" w:firstLine="0" w:firstLineChars="0"/>
              <w:rPr>
                <w:rFonts w:hint="default" w:cs="宋体"/>
                <w:sz w:val="24"/>
                <w:szCs w:val="24"/>
                <w:highlight w:val="none"/>
                <w:lang w:val="en-US" w:eastAsia="zh-CN"/>
              </w:rPr>
            </w:pPr>
            <w:r>
              <w:rPr>
                <w:rFonts w:hint="eastAsia" w:cs="宋体"/>
                <w:sz w:val="24"/>
                <w:szCs w:val="24"/>
                <w:highlight w:val="none"/>
                <w:lang w:val="en-US" w:eastAsia="zh-CN"/>
              </w:rPr>
              <w:t>9）《中小企业声明函》</w:t>
            </w:r>
          </w:p>
          <w:p w14:paraId="5D490216">
            <w:pPr>
              <w:keepNext w:val="0"/>
              <w:keepLines w:val="0"/>
              <w:suppressLineNumbers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重要说明：</w:t>
            </w:r>
          </w:p>
          <w:p w14:paraId="5D0B1402">
            <w:pPr>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1.资格审查采用资格后审,资格审查的第1-</w:t>
            </w:r>
            <w:r>
              <w:rPr>
                <w:rFonts w:hint="eastAsia" w:ascii="宋体" w:hAnsi="宋体" w:cs="宋体"/>
                <w:b/>
                <w:bCs/>
                <w:sz w:val="24"/>
                <w:szCs w:val="24"/>
                <w:highlight w:val="none"/>
                <w:lang w:val="en-US" w:eastAsia="zh-CN"/>
              </w:rPr>
              <w:t>9</w:t>
            </w:r>
            <w:r>
              <w:rPr>
                <w:rFonts w:hint="eastAsia" w:ascii="宋体" w:hAnsi="宋体" w:eastAsia="宋体" w:cs="宋体"/>
                <w:b/>
                <w:bCs/>
                <w:sz w:val="24"/>
                <w:szCs w:val="24"/>
                <w:highlight w:val="none"/>
              </w:rPr>
              <w:t>项应按招标文件规定格式填写，直接上传至电子标书系统中</w:t>
            </w:r>
            <w:r>
              <w:rPr>
                <w:rFonts w:hint="eastAsia" w:ascii="宋体" w:hAnsi="宋体" w:eastAsia="宋体" w:cs="宋体"/>
                <w:b/>
                <w:bCs/>
                <w:sz w:val="24"/>
                <w:szCs w:val="24"/>
                <w:highlight w:val="none"/>
                <w:lang w:eastAsia="zh-CN"/>
              </w:rPr>
              <w:t>。</w:t>
            </w:r>
          </w:p>
          <w:p w14:paraId="5AE3B1CC">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电子标书中获取的所有扫描件均为原件</w:t>
            </w:r>
            <w:r>
              <w:rPr>
                <w:rFonts w:hint="eastAsia" w:ascii="宋体" w:hAnsi="宋体" w:eastAsia="宋体" w:cs="宋体"/>
                <w:b/>
                <w:bCs/>
                <w:sz w:val="24"/>
                <w:szCs w:val="24"/>
                <w:highlight w:val="none"/>
                <w:lang w:eastAsia="zh-CN"/>
              </w:rPr>
              <w:t>彩色</w:t>
            </w:r>
            <w:r>
              <w:rPr>
                <w:rFonts w:hint="eastAsia" w:ascii="宋体" w:hAnsi="宋体" w:eastAsia="宋体" w:cs="宋体"/>
                <w:b/>
                <w:bCs/>
                <w:sz w:val="24"/>
                <w:szCs w:val="24"/>
                <w:highlight w:val="none"/>
              </w:rPr>
              <w:t>扫描件，否则不予认可。</w:t>
            </w:r>
          </w:p>
          <w:p w14:paraId="4ED0A079">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未按要求提供上述证明视为无效。涉及打分的，不予计算，资格</w:t>
            </w:r>
          </w:p>
          <w:p w14:paraId="5397D492">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审查的，不予通过。</w:t>
            </w:r>
          </w:p>
          <w:p w14:paraId="476E3D82">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投标企业未按照上述重要说明的要求提供材料、证件或制作电子标书的，作无效标处理。</w:t>
            </w:r>
          </w:p>
          <w:p w14:paraId="04885B0F">
            <w:pPr>
              <w:pStyle w:val="75"/>
              <w:spacing w:line="360" w:lineRule="auto"/>
              <w:ind w:left="0" w:leftChars="0" w:firstLine="0" w:firstLineChars="0"/>
              <w:rPr>
                <w:rFonts w:hint="eastAsia" w:ascii="宋体" w:hAnsi="宋体" w:eastAsia="宋体" w:cs="宋体"/>
                <w:sz w:val="24"/>
                <w:szCs w:val="24"/>
                <w:highlight w:val="none"/>
              </w:rPr>
            </w:pPr>
            <w:r>
              <w:rPr>
                <w:rFonts w:hint="eastAsia" w:ascii="宋体" w:hAnsi="宋体" w:eastAsia="宋体" w:cs="宋体"/>
                <w:b/>
                <w:bCs/>
                <w:sz w:val="24"/>
                <w:szCs w:val="24"/>
                <w:highlight w:val="none"/>
              </w:rPr>
              <w:t>依法免税或不需要缴纳社会保障资金的</w:t>
            </w:r>
            <w:r>
              <w:rPr>
                <w:rFonts w:hint="eastAsia" w:ascii="宋体" w:hAnsi="宋体" w:eastAsia="宋体" w:cs="宋体"/>
                <w:b/>
                <w:bCs/>
                <w:sz w:val="24"/>
                <w:szCs w:val="24"/>
                <w:highlight w:val="none"/>
                <w:lang w:eastAsia="zh-CN"/>
              </w:rPr>
              <w:t>投标人</w:t>
            </w:r>
            <w:r>
              <w:rPr>
                <w:rFonts w:hint="eastAsia" w:ascii="宋体" w:hAnsi="宋体" w:eastAsia="宋体" w:cs="宋体"/>
                <w:b/>
                <w:bCs/>
                <w:sz w:val="24"/>
                <w:szCs w:val="24"/>
                <w:highlight w:val="none"/>
              </w:rPr>
              <w:t>，应提供相应文件证明其依法免税或不需要缴纳社会保障资金；其中依法在山东省缴纳税收和社会保障资金的供应商，参与聊城市各级政府采购活动，可不提供</w:t>
            </w:r>
            <w:r>
              <w:rPr>
                <w:rFonts w:hint="eastAsia" w:ascii="宋体" w:hAnsi="宋体" w:cs="宋体"/>
                <w:b/>
                <w:bCs/>
                <w:sz w:val="24"/>
                <w:szCs w:val="24"/>
                <w:highlight w:val="none"/>
                <w:lang w:val="en-US" w:eastAsia="zh-CN"/>
              </w:rPr>
              <w:t>3、4</w:t>
            </w:r>
            <w:r>
              <w:rPr>
                <w:rFonts w:hint="eastAsia" w:ascii="宋体" w:hAnsi="宋体" w:eastAsia="宋体" w:cs="宋体"/>
                <w:b/>
                <w:bCs/>
                <w:sz w:val="24"/>
                <w:szCs w:val="24"/>
                <w:highlight w:val="none"/>
              </w:rPr>
              <w:t>两项，改为在投标（响应)文件中提供《依法缴纳税收和社会保障资金承诺函》</w:t>
            </w:r>
          </w:p>
        </w:tc>
      </w:tr>
      <w:tr w14:paraId="33EBC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714" w:type="dxa"/>
            <w:vAlign w:val="center"/>
          </w:tcPr>
          <w:p w14:paraId="0E5943D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8</w:t>
            </w:r>
          </w:p>
        </w:tc>
        <w:tc>
          <w:tcPr>
            <w:tcW w:w="2042" w:type="dxa"/>
            <w:vAlign w:val="center"/>
          </w:tcPr>
          <w:p w14:paraId="024E04F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交货期</w:t>
            </w:r>
          </w:p>
        </w:tc>
        <w:tc>
          <w:tcPr>
            <w:tcW w:w="7139" w:type="dxa"/>
            <w:vAlign w:val="center"/>
          </w:tcPr>
          <w:p w14:paraId="7719EAF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highlight w:val="none"/>
              </w:rPr>
            </w:pPr>
            <w:r>
              <w:rPr>
                <w:rFonts w:ascii="宋体" w:hAnsi="宋体" w:eastAsia="宋体" w:cs="宋体"/>
                <w:color w:val="auto"/>
                <w:sz w:val="24"/>
                <w:szCs w:val="24"/>
                <w:highlight w:val="none"/>
              </w:rPr>
              <w:t>合同签订之日起一年</w:t>
            </w:r>
            <w:r>
              <w:rPr>
                <w:rFonts w:hint="eastAsia" w:ascii="宋体" w:hAnsi="宋体" w:eastAsia="宋体" w:cs="宋体"/>
                <w:color w:val="auto"/>
                <w:sz w:val="24"/>
                <w:szCs w:val="24"/>
                <w:highlight w:val="none"/>
                <w:lang w:val="en-US" w:eastAsia="zh-CN"/>
              </w:rPr>
              <w:t>内按需供货</w:t>
            </w:r>
            <w:r>
              <w:rPr>
                <w:rFonts w:hint="eastAsia" w:ascii="宋体" w:hAnsi="宋体" w:eastAsia="宋体" w:cs="宋体"/>
                <w:b w:val="0"/>
                <w:bCs w:val="0"/>
                <w:color w:val="auto"/>
                <w:sz w:val="24"/>
                <w:szCs w:val="24"/>
                <w:highlight w:val="none"/>
              </w:rPr>
              <w:t>。(负偏离无效)</w:t>
            </w:r>
          </w:p>
        </w:tc>
      </w:tr>
      <w:tr w14:paraId="5CAEC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67A2D94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9</w:t>
            </w:r>
          </w:p>
        </w:tc>
        <w:tc>
          <w:tcPr>
            <w:tcW w:w="2042" w:type="dxa"/>
            <w:vAlign w:val="center"/>
          </w:tcPr>
          <w:p w14:paraId="261378D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yellow"/>
              </w:rPr>
            </w:pPr>
            <w:r>
              <w:rPr>
                <w:rFonts w:hint="eastAsia" w:ascii="宋体" w:hAnsi="宋体" w:cs="宋体"/>
                <w:b w:val="0"/>
                <w:bCs w:val="0"/>
                <w:color w:val="auto"/>
                <w:sz w:val="24"/>
                <w:szCs w:val="24"/>
                <w:highlight w:val="none"/>
                <w:lang w:val="en-US" w:eastAsia="zh-CN"/>
              </w:rPr>
              <w:t>逾期违约金</w:t>
            </w:r>
          </w:p>
        </w:tc>
        <w:tc>
          <w:tcPr>
            <w:tcW w:w="7139" w:type="dxa"/>
            <w:vAlign w:val="center"/>
          </w:tcPr>
          <w:p w14:paraId="061C319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color w:val="auto"/>
                <w:sz w:val="24"/>
                <w:szCs w:val="24"/>
                <w:highlight w:val="yellow"/>
                <w:lang w:val="en-US" w:eastAsia="zh-CN"/>
              </w:rPr>
            </w:pPr>
            <w:r>
              <w:rPr>
                <w:rFonts w:hint="eastAsia" w:ascii="宋体" w:hAnsi="宋体" w:cs="宋体"/>
                <w:sz w:val="24"/>
                <w:highlight w:val="none"/>
              </w:rPr>
              <w:t>非招标人原因造成的交货期延误，每超一天</w:t>
            </w:r>
            <w:r>
              <w:rPr>
                <w:rFonts w:hint="eastAsia" w:ascii="宋体" w:hAnsi="宋体" w:cs="宋体"/>
                <w:sz w:val="24"/>
                <w:highlight w:val="none"/>
                <w:lang w:val="en-US" w:eastAsia="zh-CN"/>
              </w:rPr>
              <w:t>按照1000元/天</w:t>
            </w:r>
            <w:r>
              <w:rPr>
                <w:rFonts w:hint="eastAsia" w:ascii="宋体" w:hAnsi="宋体" w:cs="宋体"/>
                <w:sz w:val="24"/>
                <w:highlight w:val="none"/>
              </w:rPr>
              <w:t>扣罚。</w:t>
            </w:r>
          </w:p>
        </w:tc>
      </w:tr>
      <w:tr w14:paraId="3C628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0AEE6D1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0</w:t>
            </w:r>
          </w:p>
        </w:tc>
        <w:tc>
          <w:tcPr>
            <w:tcW w:w="2042" w:type="dxa"/>
            <w:vAlign w:val="center"/>
          </w:tcPr>
          <w:p w14:paraId="3741B4C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交货地点</w:t>
            </w:r>
          </w:p>
        </w:tc>
        <w:tc>
          <w:tcPr>
            <w:tcW w:w="7139" w:type="dxa"/>
            <w:vAlign w:val="center"/>
          </w:tcPr>
          <w:p w14:paraId="01B2D78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招标人</w:t>
            </w:r>
            <w:r>
              <w:rPr>
                <w:rFonts w:hint="eastAsia" w:ascii="宋体" w:hAnsi="宋体" w:eastAsia="宋体" w:cs="宋体"/>
                <w:b w:val="0"/>
                <w:bCs w:val="0"/>
                <w:color w:val="auto"/>
                <w:sz w:val="24"/>
                <w:szCs w:val="24"/>
                <w:highlight w:val="none"/>
              </w:rPr>
              <w:t>指定地点。</w:t>
            </w:r>
          </w:p>
        </w:tc>
      </w:tr>
      <w:tr w14:paraId="13A37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4CC3A49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1</w:t>
            </w:r>
          </w:p>
        </w:tc>
        <w:tc>
          <w:tcPr>
            <w:tcW w:w="2042" w:type="dxa"/>
            <w:vAlign w:val="center"/>
          </w:tcPr>
          <w:p w14:paraId="201BAF5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投标报价</w:t>
            </w:r>
          </w:p>
        </w:tc>
        <w:tc>
          <w:tcPr>
            <w:tcW w:w="7139" w:type="dxa"/>
            <w:vAlign w:val="center"/>
          </w:tcPr>
          <w:p w14:paraId="75188878">
            <w:pPr>
              <w:snapToGrid w:val="0"/>
              <w:spacing w:line="360" w:lineRule="auto"/>
              <w:jc w:val="both"/>
              <w:textAlignment w:val="baseline"/>
              <w:rPr>
                <w:rStyle w:val="710"/>
                <w:rFonts w:hint="eastAsia" w:ascii="宋体" w:hAnsi="宋体" w:eastAsia="宋体" w:cs="Times New Roman"/>
                <w:color w:val="auto"/>
                <w:kern w:val="2"/>
                <w:sz w:val="24"/>
                <w:highlight w:val="none"/>
                <w:lang w:val="en-US" w:eastAsia="zh-CN" w:bidi="ar-SA"/>
              </w:rPr>
            </w:pPr>
            <w:r>
              <w:rPr>
                <w:rStyle w:val="710"/>
                <w:rFonts w:hint="eastAsia" w:ascii="宋体" w:hAnsi="宋体" w:eastAsia="宋体" w:cs="Times New Roman"/>
                <w:color w:val="auto"/>
                <w:kern w:val="2"/>
                <w:sz w:val="24"/>
                <w:highlight w:val="none"/>
                <w:lang w:val="en-US" w:eastAsia="zh-CN" w:bidi="ar-SA"/>
              </w:rPr>
              <w:t xml:space="preserve">报价为一次性报价且不得有备选方案。报价币种为人民币。 </w:t>
            </w:r>
          </w:p>
          <w:p w14:paraId="0C53C23D">
            <w:pPr>
              <w:keepNext w:val="0"/>
              <w:keepLines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10"/>
                <w:rFonts w:hint="eastAsia" w:ascii="宋体" w:hAnsi="宋体" w:cs="Times New Roman"/>
                <w:color w:val="auto"/>
                <w:kern w:val="2"/>
                <w:sz w:val="24"/>
                <w:highlight w:val="none"/>
                <w:lang w:val="en-US" w:eastAsia="zh-CN" w:bidi="ar-SA"/>
              </w:rPr>
              <w:t>投标</w:t>
            </w:r>
            <w:r>
              <w:rPr>
                <w:rStyle w:val="710"/>
                <w:rFonts w:hint="eastAsia" w:ascii="宋体" w:hAnsi="宋体" w:eastAsia="宋体" w:cs="Times New Roman"/>
                <w:color w:val="auto"/>
                <w:kern w:val="2"/>
                <w:sz w:val="24"/>
                <w:highlight w:val="none"/>
                <w:lang w:val="en-US" w:eastAsia="zh-CN" w:bidi="ar-SA"/>
              </w:rPr>
              <w:t>报价应包括完成本项目所需运输费、装卸费检验费、利润、税金等完成本项目所需的所有费用；以及</w:t>
            </w:r>
            <w:r>
              <w:rPr>
                <w:rStyle w:val="710"/>
                <w:rFonts w:hint="eastAsia" w:ascii="宋体" w:hAnsi="宋体" w:cs="Times New Roman"/>
                <w:color w:val="auto"/>
                <w:kern w:val="2"/>
                <w:sz w:val="24"/>
                <w:highlight w:val="none"/>
                <w:lang w:val="en-US" w:eastAsia="zh-CN" w:bidi="ar-SA"/>
              </w:rPr>
              <w:t>招标</w:t>
            </w:r>
            <w:r>
              <w:rPr>
                <w:rStyle w:val="710"/>
                <w:rFonts w:hint="eastAsia" w:ascii="宋体" w:hAnsi="宋体" w:eastAsia="宋体" w:cs="Times New Roman"/>
                <w:color w:val="auto"/>
                <w:kern w:val="2"/>
                <w:sz w:val="24"/>
                <w:highlight w:val="none"/>
                <w:lang w:val="en-US" w:eastAsia="zh-CN" w:bidi="ar-SA"/>
              </w:rPr>
              <w:t>文件明示和暗示的所有责任、义务和风险等全部费用。</w:t>
            </w:r>
            <w:r>
              <w:rPr>
                <w:rStyle w:val="710"/>
                <w:rFonts w:hint="eastAsia" w:ascii="宋体" w:hAnsi="宋体"/>
                <w:kern w:val="0"/>
                <w:sz w:val="24"/>
                <w:szCs w:val="24"/>
                <w:highlight w:val="none"/>
                <w:lang w:val="en-US" w:eastAsia="zh-CN" w:bidi="ar-SA"/>
              </w:rPr>
              <w:t xml:space="preserve"> </w:t>
            </w:r>
          </w:p>
        </w:tc>
      </w:tr>
      <w:tr w14:paraId="21ECB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4" w:type="dxa"/>
            <w:vAlign w:val="center"/>
          </w:tcPr>
          <w:p w14:paraId="6D5069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2</w:t>
            </w:r>
          </w:p>
        </w:tc>
        <w:tc>
          <w:tcPr>
            <w:tcW w:w="2042" w:type="dxa"/>
            <w:vAlign w:val="center"/>
          </w:tcPr>
          <w:p w14:paraId="2BA7FD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付款方式</w:t>
            </w:r>
          </w:p>
        </w:tc>
        <w:tc>
          <w:tcPr>
            <w:tcW w:w="7139" w:type="dxa"/>
            <w:vAlign w:val="center"/>
          </w:tcPr>
          <w:p w14:paraId="1863F6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次月按实际供货量核算，根据财政拨付进度统一支付。（付款前</w:t>
            </w:r>
          </w:p>
          <w:p w14:paraId="11B5DC0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乙方需向甲方</w:t>
            </w:r>
            <w:r>
              <w:rPr>
                <w:rFonts w:hint="eastAsia" w:ascii="宋体" w:hAnsi="宋体" w:cs="宋体"/>
                <w:b w:val="0"/>
                <w:bCs w:val="0"/>
                <w:color w:val="auto"/>
                <w:sz w:val="24"/>
                <w:szCs w:val="24"/>
                <w:highlight w:val="none"/>
                <w:lang w:val="en-US" w:eastAsia="zh-CN"/>
              </w:rPr>
              <w:t>提供本月供货明细，核对无误后</w:t>
            </w:r>
            <w:r>
              <w:rPr>
                <w:rFonts w:hint="eastAsia" w:ascii="宋体" w:hAnsi="宋体" w:eastAsia="宋体" w:cs="宋体"/>
                <w:b w:val="0"/>
                <w:bCs w:val="0"/>
                <w:color w:val="auto"/>
                <w:sz w:val="24"/>
                <w:szCs w:val="24"/>
                <w:highlight w:val="none"/>
                <w:lang w:val="en-US" w:eastAsia="zh-CN"/>
              </w:rPr>
              <w:t>开具</w:t>
            </w:r>
            <w:r>
              <w:rPr>
                <w:rFonts w:hint="eastAsia" w:ascii="宋体" w:hAnsi="宋体" w:cs="宋体"/>
                <w:b w:val="0"/>
                <w:bCs w:val="0"/>
                <w:color w:val="auto"/>
                <w:sz w:val="24"/>
                <w:szCs w:val="24"/>
                <w:highlight w:val="none"/>
                <w:lang w:val="en-US" w:eastAsia="zh-CN"/>
              </w:rPr>
              <w:t>相应金额的增值税</w:t>
            </w:r>
            <w:r>
              <w:rPr>
                <w:rFonts w:hint="eastAsia" w:ascii="宋体" w:hAnsi="宋体" w:eastAsia="宋体" w:cs="宋体"/>
                <w:b w:val="0"/>
                <w:bCs w:val="0"/>
                <w:color w:val="auto"/>
                <w:sz w:val="24"/>
                <w:szCs w:val="24"/>
                <w:highlight w:val="none"/>
                <w:lang w:val="en-US" w:eastAsia="zh-CN"/>
              </w:rPr>
              <w:t>发票）</w:t>
            </w:r>
          </w:p>
          <w:p w14:paraId="198CBB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备注：供货期内</w:t>
            </w:r>
            <w:r>
              <w:rPr>
                <w:rFonts w:hint="eastAsia" w:ascii="宋体" w:hAnsi="宋体" w:cs="宋体"/>
                <w:b w:val="0"/>
                <w:bCs w:val="0"/>
                <w:color w:val="auto"/>
                <w:sz w:val="24"/>
                <w:szCs w:val="24"/>
                <w:highlight w:val="none"/>
                <w:lang w:val="en-US" w:eastAsia="zh-CN"/>
              </w:rPr>
              <w:t>招标</w:t>
            </w:r>
            <w:r>
              <w:rPr>
                <w:rFonts w:hint="eastAsia" w:ascii="宋体" w:hAnsi="宋体" w:eastAsia="宋体" w:cs="宋体"/>
                <w:b w:val="0"/>
                <w:bCs w:val="0"/>
                <w:color w:val="auto"/>
                <w:sz w:val="24"/>
                <w:szCs w:val="24"/>
                <w:highlight w:val="none"/>
                <w:lang w:val="en-US" w:eastAsia="zh-CN"/>
              </w:rPr>
              <w:t>人组织相关人员对</w:t>
            </w:r>
            <w:r>
              <w:rPr>
                <w:rFonts w:hint="eastAsia" w:ascii="宋体" w:hAnsi="宋体" w:cs="宋体"/>
                <w:b w:val="0"/>
                <w:bCs w:val="0"/>
                <w:color w:val="auto"/>
                <w:sz w:val="24"/>
                <w:szCs w:val="24"/>
                <w:highlight w:val="none"/>
                <w:lang w:val="en-US" w:eastAsia="zh-CN"/>
              </w:rPr>
              <w:t>中标人</w:t>
            </w:r>
            <w:r>
              <w:rPr>
                <w:rFonts w:hint="eastAsia" w:ascii="宋体" w:hAnsi="宋体" w:eastAsia="宋体" w:cs="宋体"/>
                <w:b w:val="0"/>
                <w:bCs w:val="0"/>
                <w:color w:val="auto"/>
                <w:sz w:val="24"/>
                <w:szCs w:val="24"/>
                <w:highlight w:val="none"/>
                <w:lang w:val="en-US" w:eastAsia="zh-CN"/>
              </w:rPr>
              <w:t>的</w:t>
            </w:r>
            <w:r>
              <w:rPr>
                <w:rFonts w:hint="eastAsia" w:ascii="宋体" w:hAnsi="宋体" w:cs="宋体"/>
                <w:b w:val="0"/>
                <w:bCs w:val="0"/>
                <w:color w:val="auto"/>
                <w:sz w:val="24"/>
                <w:szCs w:val="24"/>
                <w:highlight w:val="none"/>
                <w:lang w:val="en-US" w:eastAsia="zh-CN"/>
              </w:rPr>
              <w:t>菜品</w:t>
            </w:r>
            <w:r>
              <w:rPr>
                <w:rFonts w:hint="eastAsia" w:ascii="宋体" w:hAnsi="宋体" w:eastAsia="宋体" w:cs="宋体"/>
                <w:b w:val="0"/>
                <w:bCs w:val="0"/>
                <w:color w:val="auto"/>
                <w:sz w:val="24"/>
                <w:szCs w:val="24"/>
                <w:highlight w:val="none"/>
                <w:lang w:val="en-US" w:eastAsia="zh-CN"/>
              </w:rPr>
              <w:t>质量进行考核，每两个月考核一次。</w:t>
            </w:r>
          </w:p>
        </w:tc>
      </w:tr>
      <w:tr w14:paraId="38627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5D06917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3</w:t>
            </w:r>
          </w:p>
        </w:tc>
        <w:tc>
          <w:tcPr>
            <w:tcW w:w="2042" w:type="dxa"/>
            <w:vAlign w:val="center"/>
          </w:tcPr>
          <w:p w14:paraId="1A4B127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预算金额</w:t>
            </w:r>
          </w:p>
        </w:tc>
        <w:tc>
          <w:tcPr>
            <w:tcW w:w="7139" w:type="dxa"/>
            <w:vAlign w:val="center"/>
          </w:tcPr>
          <w:p w14:paraId="188D5F3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rPr>
            </w:pPr>
            <w:r>
              <w:rPr>
                <w:rFonts w:hint="eastAsia" w:ascii="宋体" w:hAnsi="宋体" w:cs="宋体"/>
                <w:b/>
                <w:bCs/>
                <w:color w:val="auto"/>
                <w:sz w:val="24"/>
                <w:szCs w:val="24"/>
                <w:highlight w:val="none"/>
                <w:lang w:val="en-US" w:eastAsia="zh-CN"/>
              </w:rPr>
              <w:t>标段一60万元；标段二50万元。</w:t>
            </w:r>
            <w:r>
              <w:rPr>
                <w:rFonts w:hint="eastAsia" w:ascii="宋体" w:hAnsi="宋体" w:eastAsia="宋体" w:cs="宋体"/>
                <w:b/>
                <w:bCs/>
                <w:color w:val="auto"/>
                <w:sz w:val="24"/>
                <w:szCs w:val="24"/>
                <w:highlight w:val="none"/>
              </w:rPr>
              <w:t>（投标报价超过此预算金额，按无效投标处理）</w:t>
            </w:r>
          </w:p>
        </w:tc>
      </w:tr>
      <w:tr w14:paraId="09906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7E3E435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4</w:t>
            </w:r>
          </w:p>
        </w:tc>
        <w:tc>
          <w:tcPr>
            <w:tcW w:w="2042" w:type="dxa"/>
            <w:vAlign w:val="center"/>
          </w:tcPr>
          <w:p w14:paraId="6BD24F0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资金来源</w:t>
            </w:r>
          </w:p>
        </w:tc>
        <w:tc>
          <w:tcPr>
            <w:tcW w:w="7139" w:type="dxa"/>
            <w:vAlign w:val="center"/>
          </w:tcPr>
          <w:p w14:paraId="14E78DB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财政资金</w:t>
            </w:r>
          </w:p>
        </w:tc>
      </w:tr>
      <w:tr w14:paraId="7D108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78E6AD3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5</w:t>
            </w:r>
          </w:p>
        </w:tc>
        <w:tc>
          <w:tcPr>
            <w:tcW w:w="2042" w:type="dxa"/>
            <w:vAlign w:val="center"/>
          </w:tcPr>
          <w:p w14:paraId="6B04E79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投标有效期</w:t>
            </w:r>
          </w:p>
        </w:tc>
        <w:tc>
          <w:tcPr>
            <w:tcW w:w="7139" w:type="dxa"/>
            <w:vAlign w:val="center"/>
          </w:tcPr>
          <w:p w14:paraId="6AEC798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90天（日历</w:t>
            </w:r>
            <w:r>
              <w:rPr>
                <w:rFonts w:hint="eastAsia" w:ascii="宋体" w:hAnsi="宋体" w:eastAsia="宋体" w:cs="宋体"/>
                <w:sz w:val="24"/>
                <w:szCs w:val="24"/>
                <w:highlight w:val="none"/>
                <w:lang w:val="en-US" w:eastAsia="zh-CN"/>
              </w:rPr>
              <w:t>天</w:t>
            </w:r>
            <w:r>
              <w:rPr>
                <w:rFonts w:hint="eastAsia" w:ascii="宋体" w:hAnsi="宋体" w:eastAsia="宋体" w:cs="宋体"/>
                <w:sz w:val="24"/>
                <w:szCs w:val="24"/>
                <w:highlight w:val="none"/>
              </w:rPr>
              <w:t>）。</w:t>
            </w:r>
          </w:p>
        </w:tc>
      </w:tr>
      <w:tr w14:paraId="61D1C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0A88CB2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16</w:t>
            </w:r>
          </w:p>
        </w:tc>
        <w:tc>
          <w:tcPr>
            <w:tcW w:w="2042" w:type="dxa"/>
            <w:vAlign w:val="center"/>
          </w:tcPr>
          <w:p w14:paraId="64607E25">
            <w:pPr>
              <w:pStyle w:val="464"/>
              <w:spacing w:line="460" w:lineRule="exact"/>
              <w:jc w:val="left"/>
              <w:rPr>
                <w:rFonts w:hint="eastAsia" w:ascii="宋体" w:hAnsi="宋体" w:eastAsia="宋体" w:cs="宋体"/>
                <w:sz w:val="24"/>
                <w:szCs w:val="24"/>
                <w:highlight w:val="none"/>
              </w:rPr>
            </w:pPr>
            <w:r>
              <w:rPr>
                <w:rStyle w:val="710"/>
                <w:rFonts w:hint="eastAsia" w:ascii="宋体" w:hAnsi="宋体"/>
                <w:color w:val="auto"/>
                <w:kern w:val="2"/>
                <w:sz w:val="24"/>
                <w:highlight w:val="none"/>
                <w:lang w:val="en-US" w:eastAsia="zh-CN" w:bidi="ar-SA"/>
              </w:rPr>
              <w:t>供货及质保要求</w:t>
            </w:r>
          </w:p>
        </w:tc>
        <w:tc>
          <w:tcPr>
            <w:tcW w:w="7139" w:type="dxa"/>
            <w:vAlign w:val="top"/>
          </w:tcPr>
          <w:p w14:paraId="2D15CA2A">
            <w:pPr>
              <w:pStyle w:val="464"/>
              <w:spacing w:line="460" w:lineRule="exact"/>
              <w:jc w:val="left"/>
              <w:rPr>
                <w:rFonts w:hint="eastAsia"/>
                <w:highlight w:val="none"/>
                <w:lang w:eastAsia="zh-CN"/>
              </w:rPr>
            </w:pPr>
            <w:r>
              <w:rPr>
                <w:rFonts w:hint="eastAsia"/>
                <w:highlight w:val="none"/>
                <w:lang w:eastAsia="zh-CN"/>
              </w:rPr>
              <w:t>招标人提前一天提供采购清单，投标人按招标人要求将订单内所</w:t>
            </w:r>
          </w:p>
          <w:p w14:paraId="6EC31E9E">
            <w:pPr>
              <w:pStyle w:val="464"/>
              <w:spacing w:line="460" w:lineRule="exact"/>
              <w:jc w:val="left"/>
              <w:rPr>
                <w:rFonts w:hint="eastAsia"/>
                <w:highlight w:val="none"/>
                <w:lang w:eastAsia="zh-CN"/>
              </w:rPr>
            </w:pPr>
            <w:r>
              <w:rPr>
                <w:rFonts w:hint="eastAsia"/>
                <w:highlight w:val="none"/>
                <w:lang w:eastAsia="zh-CN"/>
              </w:rPr>
              <w:t>有食材按时送到指定的地点，并提供《送货清单》一式三份，双方现场过秤，食材质量由采购方确认合格后，接收入库，并验收签名。</w:t>
            </w:r>
          </w:p>
          <w:p w14:paraId="19926484">
            <w:pPr>
              <w:pStyle w:val="464"/>
              <w:spacing w:line="460" w:lineRule="exact"/>
              <w:jc w:val="left"/>
              <w:rPr>
                <w:rFonts w:hint="eastAsia"/>
                <w:highlight w:val="none"/>
                <w:lang w:eastAsia="zh-CN"/>
              </w:rPr>
            </w:pPr>
            <w:r>
              <w:rPr>
                <w:rFonts w:hint="eastAsia"/>
                <w:highlight w:val="none"/>
                <w:lang w:eastAsia="zh-CN"/>
              </w:rPr>
              <w:t>所有无包装食材应保证新鲜，包装食材的剩余保质期不能超过一</w:t>
            </w:r>
          </w:p>
          <w:p w14:paraId="45F26632">
            <w:pPr>
              <w:pStyle w:val="464"/>
              <w:spacing w:line="460" w:lineRule="exact"/>
              <w:jc w:val="left"/>
              <w:rPr>
                <w:rFonts w:hint="eastAsia" w:ascii="宋体" w:hAnsi="宋体" w:eastAsia="宋体" w:cs="宋体"/>
                <w:sz w:val="24"/>
                <w:szCs w:val="24"/>
                <w:highlight w:val="none"/>
              </w:rPr>
            </w:pPr>
            <w:r>
              <w:rPr>
                <w:rFonts w:hint="eastAsia"/>
                <w:highlight w:val="none"/>
                <w:lang w:eastAsia="zh-CN"/>
              </w:rPr>
              <w:t>半。</w:t>
            </w:r>
          </w:p>
        </w:tc>
      </w:tr>
      <w:tr w14:paraId="54FE9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2731702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7</w:t>
            </w:r>
          </w:p>
        </w:tc>
        <w:tc>
          <w:tcPr>
            <w:tcW w:w="2042" w:type="dxa"/>
            <w:vAlign w:val="center"/>
          </w:tcPr>
          <w:p w14:paraId="084A1E2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投标文件份数</w:t>
            </w:r>
          </w:p>
        </w:tc>
        <w:tc>
          <w:tcPr>
            <w:tcW w:w="7139" w:type="dxa"/>
            <w:vAlign w:val="center"/>
          </w:tcPr>
          <w:p w14:paraId="71B2AA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电子投标文件：加密文件1份，为.lctf 文件，在会员系统中上传；</w:t>
            </w:r>
          </w:p>
          <w:p w14:paraId="6188D2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若</w:t>
            </w:r>
            <w:r>
              <w:rPr>
                <w:rFonts w:hint="eastAsia" w:ascii="宋体" w:hAnsi="宋体" w:eastAsia="宋体" w:cs="宋体"/>
                <w:sz w:val="24"/>
                <w:szCs w:val="24"/>
                <w:highlight w:val="none"/>
                <w:lang w:val="en-US" w:eastAsia="zh-CN"/>
              </w:rPr>
              <w:t>中标</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中标人</w:t>
            </w:r>
            <w:r>
              <w:rPr>
                <w:rFonts w:hint="eastAsia" w:ascii="宋体" w:hAnsi="宋体" w:eastAsia="宋体" w:cs="宋体"/>
                <w:sz w:val="24"/>
                <w:szCs w:val="24"/>
                <w:highlight w:val="none"/>
              </w:rPr>
              <w:t>还需提交</w:t>
            </w:r>
            <w:r>
              <w:rPr>
                <w:rFonts w:hint="eastAsia" w:ascii="宋体" w:hAnsi="宋体" w:eastAsia="宋体" w:cs="宋体"/>
                <w:sz w:val="24"/>
                <w:szCs w:val="24"/>
                <w:highlight w:val="none"/>
                <w:lang w:val="en-US" w:eastAsia="zh-CN"/>
              </w:rPr>
              <w:t>四份</w:t>
            </w:r>
            <w:r>
              <w:rPr>
                <w:rFonts w:hint="eastAsia" w:ascii="宋体" w:hAnsi="宋体" w:eastAsia="宋体" w:cs="宋体"/>
                <w:sz w:val="24"/>
                <w:szCs w:val="24"/>
                <w:highlight w:val="none"/>
              </w:rPr>
              <w:t>胶装的系统内生成的 PDF 版纸质投标文件，并按要求加盖公章。</w:t>
            </w:r>
          </w:p>
        </w:tc>
      </w:tr>
      <w:tr w14:paraId="467E2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7C23580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8</w:t>
            </w:r>
          </w:p>
        </w:tc>
        <w:tc>
          <w:tcPr>
            <w:tcW w:w="2042" w:type="dxa"/>
            <w:vAlign w:val="center"/>
          </w:tcPr>
          <w:p w14:paraId="45A481FC">
            <w:pPr>
              <w:pStyle w:val="647"/>
              <w:spacing w:line="460" w:lineRule="exact"/>
              <w:ind w:firstLine="0" w:firstLineChars="0"/>
              <w:jc w:val="center"/>
              <w:rPr>
                <w:rFonts w:hint="eastAsia" w:ascii="宋体" w:hAnsi="宋体" w:eastAsia="宋体" w:cs="宋体"/>
                <w:sz w:val="24"/>
                <w:szCs w:val="24"/>
                <w:highlight w:val="none"/>
              </w:rPr>
            </w:pPr>
            <w:r>
              <w:rPr>
                <w:rFonts w:hint="eastAsia" w:cs="宋体"/>
                <w:color w:val="auto"/>
                <w:szCs w:val="24"/>
                <w:lang w:val="zh-CN" w:bidi="zh-CN"/>
              </w:rPr>
              <w:t>答疑安排</w:t>
            </w:r>
          </w:p>
        </w:tc>
        <w:tc>
          <w:tcPr>
            <w:tcW w:w="7139" w:type="dxa"/>
            <w:vAlign w:val="top"/>
          </w:tcPr>
          <w:p w14:paraId="19BD5931">
            <w:pPr>
              <w:pStyle w:val="647"/>
              <w:spacing w:line="460" w:lineRule="exact"/>
              <w:ind w:firstLine="480"/>
              <w:jc w:val="left"/>
              <w:rPr>
                <w:rFonts w:hint="eastAsia" w:cs="宋体"/>
                <w:color w:val="auto"/>
                <w:szCs w:val="24"/>
              </w:rPr>
            </w:pPr>
            <w:r>
              <w:rPr>
                <w:rFonts w:hint="eastAsia" w:cs="宋体"/>
                <w:color w:val="auto"/>
                <w:szCs w:val="24"/>
              </w:rPr>
              <w:t>供应商提交疑问时间：获取征集文件截止时间</w:t>
            </w:r>
            <w:r>
              <w:rPr>
                <w:rFonts w:hint="eastAsia" w:cs="宋体"/>
                <w:color w:val="auto"/>
                <w:szCs w:val="24"/>
                <w:lang w:val="en-US" w:eastAsia="zh-CN"/>
              </w:rPr>
              <w:t>1</w:t>
            </w:r>
            <w:r>
              <w:rPr>
                <w:rFonts w:hint="eastAsia" w:cs="宋体"/>
                <w:color w:val="auto"/>
                <w:szCs w:val="24"/>
              </w:rPr>
              <w:t>日内；</w:t>
            </w:r>
          </w:p>
          <w:p w14:paraId="5A81A8B6">
            <w:pPr>
              <w:pStyle w:val="647"/>
              <w:spacing w:line="460" w:lineRule="exact"/>
              <w:ind w:firstLine="480"/>
              <w:jc w:val="left"/>
              <w:rPr>
                <w:rFonts w:hint="eastAsia" w:cs="宋体"/>
                <w:color w:val="auto"/>
                <w:szCs w:val="24"/>
              </w:rPr>
            </w:pPr>
            <w:r>
              <w:rPr>
                <w:rFonts w:hint="eastAsia" w:cs="宋体"/>
                <w:color w:val="auto"/>
                <w:szCs w:val="24"/>
              </w:rPr>
              <w:t>供应商对</w:t>
            </w:r>
            <w:r>
              <w:rPr>
                <w:rFonts w:hint="eastAsia" w:cs="宋体"/>
                <w:color w:val="auto"/>
                <w:szCs w:val="24"/>
                <w:lang w:eastAsia="zh-CN"/>
              </w:rPr>
              <w:t>招标</w:t>
            </w:r>
            <w:r>
              <w:rPr>
                <w:rFonts w:hint="eastAsia" w:cs="宋体"/>
                <w:color w:val="auto"/>
                <w:szCs w:val="24"/>
              </w:rPr>
              <w:t>文件有询问或者疑问，需</w:t>
            </w:r>
            <w:r>
              <w:rPr>
                <w:rFonts w:hint="eastAsia" w:cs="宋体"/>
                <w:color w:val="auto"/>
                <w:szCs w:val="24"/>
                <w:lang w:eastAsia="zh-CN"/>
              </w:rPr>
              <w:t>招标人</w:t>
            </w:r>
            <w:r>
              <w:rPr>
                <w:rFonts w:hint="eastAsia" w:cs="宋体"/>
                <w:color w:val="auto"/>
                <w:szCs w:val="24"/>
              </w:rPr>
              <w:t>解答或者答疑时，应于获取征集文件截止时间</w:t>
            </w:r>
            <w:r>
              <w:rPr>
                <w:rFonts w:hint="eastAsia" w:cs="宋体"/>
                <w:color w:val="auto"/>
                <w:szCs w:val="24"/>
                <w:lang w:val="en-US" w:eastAsia="zh-CN"/>
              </w:rPr>
              <w:t>1</w:t>
            </w:r>
            <w:r>
              <w:rPr>
                <w:rFonts w:hint="eastAsia" w:cs="宋体"/>
                <w:color w:val="auto"/>
                <w:szCs w:val="24"/>
              </w:rPr>
              <w:t>日内，在平台系统内提问提出疑问，系统发起的提问不得透漏供应商的名称和联系方式；</w:t>
            </w:r>
          </w:p>
          <w:p w14:paraId="6724B14C">
            <w:pPr>
              <w:pStyle w:val="647"/>
              <w:spacing w:line="460" w:lineRule="exact"/>
              <w:ind w:firstLine="480"/>
              <w:jc w:val="left"/>
              <w:rPr>
                <w:rFonts w:hint="eastAsia" w:cs="宋体"/>
                <w:color w:val="auto"/>
                <w:szCs w:val="24"/>
              </w:rPr>
            </w:pPr>
            <w:r>
              <w:rPr>
                <w:rFonts w:hint="eastAsia" w:cs="宋体"/>
                <w:color w:val="auto"/>
                <w:szCs w:val="24"/>
              </w:rPr>
              <w:t>代理机构根据项目的实际情况或供应商提出的问题，决定是否对征集文件进行澄清说明或补充修改，澄清说明或者补充修改在聊城市公共资源交易网和中国山东政府采购网上发布，发布之日即视为已通知所有获取征集文件的供应商，各投标企业应随时关注报名项目信息并及时登录聊城市公共资源交易系统下载电子版各类澄清答疑，否则所造成的一切后果由供应商自负。补充文件作为征集文件的组成部分，对所有供应商具有最终约束力。</w:t>
            </w:r>
          </w:p>
          <w:p w14:paraId="1F2744EA">
            <w:pPr>
              <w:pStyle w:val="647"/>
              <w:spacing w:line="460" w:lineRule="exact"/>
              <w:ind w:firstLine="480"/>
              <w:jc w:val="left"/>
              <w:rPr>
                <w:rFonts w:hint="eastAsia" w:cs="宋体"/>
                <w:color w:val="auto"/>
                <w:szCs w:val="24"/>
              </w:rPr>
            </w:pPr>
            <w:r>
              <w:rPr>
                <w:rFonts w:hint="eastAsia" w:cs="宋体"/>
                <w:color w:val="auto"/>
                <w:szCs w:val="24"/>
              </w:rPr>
              <w:t>投标企业未在规定时间内提出询问或者疑问，视为认同征集文件以及答疑文件内的所有要求，投标企业未按照征集文件、解答或者答疑要求报价的，后果自负。</w:t>
            </w:r>
          </w:p>
          <w:p w14:paraId="3EE79AEA">
            <w:pPr>
              <w:pStyle w:val="647"/>
              <w:spacing w:line="460" w:lineRule="exact"/>
              <w:ind w:firstLine="480" w:firstLineChars="200"/>
              <w:jc w:val="left"/>
              <w:rPr>
                <w:rFonts w:hint="eastAsia" w:ascii="宋体" w:hAnsi="宋体" w:eastAsia="宋体" w:cs="宋体"/>
                <w:sz w:val="24"/>
                <w:szCs w:val="24"/>
                <w:highlight w:val="none"/>
              </w:rPr>
            </w:pPr>
            <w:r>
              <w:rPr>
                <w:rFonts w:hint="eastAsia" w:cs="宋体"/>
                <w:color w:val="auto"/>
                <w:szCs w:val="24"/>
              </w:rPr>
              <w:t>电子招投标答疑澄清文件格式为.LCCF。</w:t>
            </w:r>
            <w:r>
              <w:rPr>
                <w:rFonts w:hint="eastAsia" w:cs="宋体"/>
                <w:b/>
                <w:bCs/>
                <w:color w:val="auto"/>
                <w:szCs w:val="24"/>
              </w:rPr>
              <w:t>请供应商必须把最新澄清答疑后的征集文件及答疑文件导入到响应文件制作工具内，否则无法生成响应文件，</w:t>
            </w:r>
            <w:r>
              <w:rPr>
                <w:rFonts w:hint="eastAsia" w:cs="宋体"/>
                <w:color w:val="auto"/>
                <w:szCs w:val="24"/>
              </w:rPr>
              <w:t>详细操作步骤见网站下载中心。</w:t>
            </w:r>
          </w:p>
        </w:tc>
      </w:tr>
      <w:tr w14:paraId="531D4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516A51C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cs="宋体"/>
                <w:sz w:val="24"/>
                <w:szCs w:val="24"/>
                <w:highlight w:val="none"/>
                <w:lang w:val="en-US" w:eastAsia="zh-CN"/>
              </w:rPr>
              <w:t>9</w:t>
            </w:r>
          </w:p>
        </w:tc>
        <w:tc>
          <w:tcPr>
            <w:tcW w:w="2042" w:type="dxa"/>
            <w:vAlign w:val="center"/>
          </w:tcPr>
          <w:p w14:paraId="2874356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开标地点</w:t>
            </w:r>
          </w:p>
        </w:tc>
        <w:tc>
          <w:tcPr>
            <w:tcW w:w="7139" w:type="dxa"/>
            <w:vAlign w:val="center"/>
          </w:tcPr>
          <w:p w14:paraId="349560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1、将电子投标文件（加密版，后缀名格式为LC</w:t>
            </w:r>
            <w:r>
              <w:rPr>
                <w:rFonts w:hint="eastAsia" w:ascii="宋体" w:hAnsi="宋体" w:eastAsia="宋体" w:cs="宋体"/>
                <w:sz w:val="24"/>
                <w:szCs w:val="24"/>
                <w:highlight w:val="none"/>
                <w:lang w:val="en-US" w:eastAsia="zh-CN"/>
              </w:rPr>
              <w:t>T</w:t>
            </w:r>
            <w:r>
              <w:rPr>
                <w:rFonts w:hint="eastAsia" w:ascii="宋体" w:hAnsi="宋体" w:eastAsia="宋体" w:cs="宋体"/>
                <w:sz w:val="24"/>
                <w:szCs w:val="24"/>
                <w:highlight w:val="none"/>
                <w:lang w:val="zh-CN" w:eastAsia="zh-CN"/>
              </w:rPr>
              <w:t>F）传送到聊城市公共资源交易网会员系统投标文件上传栏目；</w:t>
            </w:r>
          </w:p>
          <w:p w14:paraId="23636B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zh-CN" w:eastAsia="zh-CN"/>
              </w:rPr>
              <w:t>2、开标当日投标人不必抵达开标现场，仅需登录聊城市公共资源交易中心不见面开标大厅参与开标会议；</w:t>
            </w:r>
            <w:r>
              <w:rPr>
                <w:rFonts w:hint="eastAsia" w:ascii="宋体" w:hAnsi="宋体" w:eastAsia="宋体" w:cs="宋体"/>
                <w:sz w:val="24"/>
                <w:szCs w:val="24"/>
                <w:highlight w:val="none"/>
                <w:lang w:val="en-US" w:eastAsia="zh-CN"/>
              </w:rPr>
              <w:t>开标前登录网上不见面开标大厅，完成签到工作。</w:t>
            </w:r>
          </w:p>
          <w:p w14:paraId="0A0CA8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聊城市公共资源交易中心网上不见面开标大厅（网址：</w:t>
            </w:r>
          </w:p>
          <w:p w14:paraId="2F5F886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"http://120.224.28.53:8093/BidOpening/bidopeninghallaction/hall/login" </w:instrText>
            </w:r>
            <w:r>
              <w:rPr>
                <w:rFonts w:hint="eastAsia" w:ascii="宋体" w:hAnsi="宋体" w:eastAsia="宋体" w:cs="宋体"/>
                <w:sz w:val="24"/>
                <w:szCs w:val="24"/>
                <w:highlight w:val="none"/>
                <w:lang w:eastAsia="zh-CN"/>
              </w:rPr>
              <w:fldChar w:fldCharType="separate"/>
            </w:r>
            <w:r>
              <w:rPr>
                <w:rFonts w:hint="eastAsia" w:ascii="宋体" w:hAnsi="宋体" w:eastAsia="宋体" w:cs="宋体"/>
                <w:sz w:val="24"/>
                <w:szCs w:val="24"/>
                <w:highlight w:val="none"/>
                <w:lang w:eastAsia="zh-CN"/>
              </w:rPr>
              <w:t>http://120.224.28.53:8093/BidOpening//bidopeninghallaction/hall/login</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w:t>
            </w:r>
          </w:p>
        </w:tc>
      </w:tr>
      <w:tr w14:paraId="75B61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2869F6D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20</w:t>
            </w:r>
          </w:p>
        </w:tc>
        <w:tc>
          <w:tcPr>
            <w:tcW w:w="2042" w:type="dxa"/>
            <w:vAlign w:val="center"/>
          </w:tcPr>
          <w:p w14:paraId="46689C9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保证金</w:t>
            </w:r>
          </w:p>
        </w:tc>
        <w:tc>
          <w:tcPr>
            <w:tcW w:w="7139" w:type="dxa"/>
            <w:vAlign w:val="center"/>
          </w:tcPr>
          <w:p w14:paraId="13284C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无</w:t>
            </w:r>
          </w:p>
        </w:tc>
      </w:tr>
      <w:tr w14:paraId="24B87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6B91D2B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w:t>
            </w:r>
            <w:r>
              <w:rPr>
                <w:rFonts w:hint="eastAsia" w:ascii="宋体" w:hAnsi="宋体" w:cs="宋体"/>
                <w:sz w:val="24"/>
                <w:szCs w:val="24"/>
                <w:highlight w:val="none"/>
                <w:lang w:val="en-US" w:eastAsia="zh-CN"/>
              </w:rPr>
              <w:t>1</w:t>
            </w:r>
          </w:p>
        </w:tc>
        <w:tc>
          <w:tcPr>
            <w:tcW w:w="2042" w:type="dxa"/>
            <w:vAlign w:val="center"/>
          </w:tcPr>
          <w:p w14:paraId="5D17644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联系方式</w:t>
            </w:r>
          </w:p>
        </w:tc>
        <w:tc>
          <w:tcPr>
            <w:tcW w:w="7139" w:type="dxa"/>
            <w:vAlign w:val="center"/>
          </w:tcPr>
          <w:p w14:paraId="3D1460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见公告</w:t>
            </w:r>
          </w:p>
        </w:tc>
      </w:tr>
      <w:tr w14:paraId="19DE6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2B300E7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w:t>
            </w:r>
            <w:r>
              <w:rPr>
                <w:rFonts w:hint="eastAsia" w:ascii="宋体" w:hAnsi="宋体" w:cs="宋体"/>
                <w:sz w:val="24"/>
                <w:szCs w:val="24"/>
                <w:highlight w:val="none"/>
                <w:lang w:val="en-US" w:eastAsia="zh-CN"/>
              </w:rPr>
              <w:t>2</w:t>
            </w:r>
          </w:p>
        </w:tc>
        <w:tc>
          <w:tcPr>
            <w:tcW w:w="2042" w:type="dxa"/>
            <w:vAlign w:val="center"/>
          </w:tcPr>
          <w:p w14:paraId="05CC19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评标方法</w:t>
            </w:r>
          </w:p>
        </w:tc>
        <w:tc>
          <w:tcPr>
            <w:tcW w:w="7139" w:type="dxa"/>
            <w:vAlign w:val="center"/>
          </w:tcPr>
          <w:p w14:paraId="5A37DD4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综合评分法</w:t>
            </w:r>
          </w:p>
        </w:tc>
      </w:tr>
      <w:tr w14:paraId="4C4F0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64E8A7D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w:t>
            </w:r>
            <w:r>
              <w:rPr>
                <w:rFonts w:hint="eastAsia" w:ascii="宋体" w:hAnsi="宋体" w:cs="宋体"/>
                <w:sz w:val="24"/>
                <w:szCs w:val="24"/>
                <w:highlight w:val="none"/>
                <w:lang w:val="en-US" w:eastAsia="zh-CN"/>
              </w:rPr>
              <w:t>3</w:t>
            </w:r>
          </w:p>
        </w:tc>
        <w:tc>
          <w:tcPr>
            <w:tcW w:w="2042" w:type="dxa"/>
            <w:vAlign w:val="center"/>
          </w:tcPr>
          <w:p w14:paraId="2129076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代理费</w:t>
            </w:r>
          </w:p>
        </w:tc>
        <w:tc>
          <w:tcPr>
            <w:tcW w:w="7139" w:type="dxa"/>
            <w:vAlign w:val="center"/>
          </w:tcPr>
          <w:p w14:paraId="15ACC8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rPr>
            </w:pPr>
            <w:r>
              <w:rPr>
                <w:rFonts w:hint="eastAsia" w:ascii="宋体" w:hAnsi="宋体" w:cs="宋体"/>
                <w:sz w:val="24"/>
                <w:szCs w:val="24"/>
                <w:highlight w:val="none"/>
                <w:lang w:val="en-US" w:eastAsia="zh-CN"/>
              </w:rPr>
              <w:t>自中标结果公告之日起3日内</w:t>
            </w:r>
            <w:r>
              <w:rPr>
                <w:rFonts w:hint="eastAsia" w:ascii="宋体" w:hAnsi="宋体" w:cs="宋体"/>
                <w:b/>
                <w:bCs/>
                <w:sz w:val="24"/>
                <w:szCs w:val="24"/>
                <w:highlight w:val="none"/>
                <w:lang w:val="en-US" w:eastAsia="zh-CN"/>
              </w:rPr>
              <w:t>参照鲁照招办【2024】13号文货物类标准向采购代理机构缴纳招标代理服务费。</w:t>
            </w:r>
          </w:p>
          <w:p w14:paraId="3513E655">
            <w:pPr>
              <w:keepNext w:val="0"/>
              <w:keepLines w:val="0"/>
              <w:suppressLineNumbers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收款人：中凡建设项目管理（山东）有限公司</w:t>
            </w:r>
          </w:p>
          <w:p w14:paraId="26030EEF">
            <w:pPr>
              <w:keepNext w:val="0"/>
              <w:keepLines w:val="0"/>
              <w:suppressLineNumbers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账号：237746427422</w:t>
            </w:r>
          </w:p>
          <w:p w14:paraId="1BFF0416">
            <w:pPr>
              <w:keepNext w:val="0"/>
              <w:keepLines w:val="0"/>
              <w:suppressLineNumbers w:val="0"/>
              <w:spacing w:before="0" w:beforeAutospacing="0" w:after="0" w:afterAutospacing="0" w:line="360" w:lineRule="auto"/>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开户行：中国银行股份有限公司聊城高新区支行  </w:t>
            </w:r>
          </w:p>
          <w:p w14:paraId="4FDFDC73">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代理费交纳后由招标代理机构协助招标人和中标人签订合同，因未交纳代理费而导致的一切后果由中标人自行承担。</w:t>
            </w:r>
          </w:p>
        </w:tc>
      </w:tr>
      <w:tr w14:paraId="76FD9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3431DA9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w:t>
            </w:r>
            <w:r>
              <w:rPr>
                <w:rFonts w:hint="eastAsia" w:ascii="宋体" w:hAnsi="宋体" w:cs="宋体"/>
                <w:sz w:val="24"/>
                <w:szCs w:val="24"/>
                <w:highlight w:val="none"/>
                <w:lang w:val="en-US" w:eastAsia="zh-CN"/>
              </w:rPr>
              <w:t>4</w:t>
            </w:r>
          </w:p>
        </w:tc>
        <w:tc>
          <w:tcPr>
            <w:tcW w:w="2042" w:type="dxa"/>
            <w:vAlign w:val="center"/>
          </w:tcPr>
          <w:p w14:paraId="2B77C0B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w:t>
            </w:r>
          </w:p>
        </w:tc>
        <w:tc>
          <w:tcPr>
            <w:tcW w:w="7139" w:type="dxa"/>
            <w:vAlign w:val="center"/>
          </w:tcPr>
          <w:p w14:paraId="294550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无</w:t>
            </w:r>
          </w:p>
        </w:tc>
      </w:tr>
      <w:tr w14:paraId="4C15B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59A546E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w:t>
            </w:r>
            <w:r>
              <w:rPr>
                <w:rFonts w:hint="eastAsia" w:ascii="宋体" w:hAnsi="宋体" w:cs="宋体"/>
                <w:sz w:val="24"/>
                <w:szCs w:val="24"/>
                <w:highlight w:val="none"/>
                <w:lang w:val="en-US" w:eastAsia="zh-CN"/>
              </w:rPr>
              <w:t>5</w:t>
            </w:r>
          </w:p>
        </w:tc>
        <w:tc>
          <w:tcPr>
            <w:tcW w:w="2042" w:type="dxa"/>
            <w:vAlign w:val="center"/>
          </w:tcPr>
          <w:p w14:paraId="1500B41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开标形式</w:t>
            </w:r>
          </w:p>
        </w:tc>
        <w:tc>
          <w:tcPr>
            <w:tcW w:w="7139" w:type="dxa"/>
            <w:vAlign w:val="center"/>
          </w:tcPr>
          <w:p w14:paraId="4B42F76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开标时间：同投标</w:t>
            </w:r>
            <w:r>
              <w:rPr>
                <w:rFonts w:hint="eastAsia" w:ascii="宋体" w:hAnsi="宋体" w:eastAsia="宋体" w:cs="宋体"/>
                <w:b/>
                <w:bCs/>
                <w:sz w:val="24"/>
                <w:szCs w:val="24"/>
                <w:highlight w:val="none"/>
              </w:rPr>
              <w:t>文件递交</w:t>
            </w:r>
            <w:r>
              <w:rPr>
                <w:rFonts w:hint="eastAsia" w:ascii="宋体" w:hAnsi="宋体" w:eastAsia="宋体" w:cs="宋体"/>
                <w:b/>
                <w:bCs/>
                <w:sz w:val="24"/>
                <w:szCs w:val="24"/>
                <w:highlight w:val="none"/>
                <w:lang w:val="en-US"/>
              </w:rPr>
              <w:t>截止时间</w:t>
            </w:r>
          </w:p>
          <w:p w14:paraId="7C639A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rPr>
              <w:t>开标地点：聊城市公共资源交易中心</w:t>
            </w:r>
            <w:r>
              <w:rPr>
                <w:rFonts w:hint="eastAsia" w:ascii="宋体" w:hAnsi="宋体" w:eastAsia="宋体" w:cs="宋体"/>
                <w:b/>
                <w:bCs/>
                <w:sz w:val="24"/>
                <w:szCs w:val="24"/>
                <w:highlight w:val="none"/>
                <w:lang w:val="en-US" w:eastAsia="zh-CN"/>
              </w:rPr>
              <w:t>不见面网上开标大厅</w:t>
            </w:r>
            <w:r>
              <w:rPr>
                <w:rFonts w:hint="eastAsia" w:ascii="宋体" w:hAnsi="宋体" w:eastAsia="宋体" w:cs="宋体"/>
                <w:b/>
                <w:bCs/>
                <w:sz w:val="24"/>
                <w:szCs w:val="24"/>
                <w:highlight w:val="none"/>
                <w:lang w:val="en-US"/>
              </w:rPr>
              <w:t>。</w:t>
            </w:r>
          </w:p>
          <w:p w14:paraId="63A83D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签到时间：投标企业需在开标前登录不见面开标大厅，并完成签到工作，未在开标前完成签到的投标被拒绝且投标文件被退回。</w:t>
            </w:r>
          </w:p>
          <w:p w14:paraId="1D72DE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修改及撤回：</w:t>
            </w:r>
            <w:r>
              <w:rPr>
                <w:rFonts w:hint="eastAsia" w:ascii="宋体" w:hAnsi="宋体" w:eastAsia="宋体" w:cs="宋体"/>
                <w:sz w:val="24"/>
                <w:szCs w:val="24"/>
                <w:highlight w:val="none"/>
                <w:lang w:val="en-US"/>
              </w:rPr>
              <w:t>投标人可在开标前</w:t>
            </w:r>
            <w:r>
              <w:rPr>
                <w:rFonts w:hint="eastAsia" w:ascii="宋体" w:hAnsi="宋体" w:eastAsia="宋体" w:cs="宋体"/>
                <w:sz w:val="24"/>
                <w:szCs w:val="24"/>
                <w:highlight w:val="none"/>
                <w:lang w:val="en-US" w:eastAsia="zh-CN"/>
              </w:rPr>
              <w:t>任</w:t>
            </w:r>
            <w:r>
              <w:rPr>
                <w:rFonts w:hint="eastAsia" w:ascii="宋体" w:hAnsi="宋体" w:eastAsia="宋体" w:cs="宋体"/>
                <w:sz w:val="24"/>
                <w:szCs w:val="24"/>
                <w:highlight w:val="none"/>
                <w:lang w:val="en-US"/>
              </w:rPr>
              <w:t>意时间制作</w:t>
            </w:r>
            <w:r>
              <w:rPr>
                <w:rFonts w:hint="eastAsia" w:ascii="宋体" w:hAnsi="宋体" w:eastAsia="宋体" w:cs="宋体"/>
                <w:sz w:val="24"/>
                <w:szCs w:val="24"/>
                <w:highlight w:val="none"/>
                <w:lang w:val="en-US" w:eastAsia="zh-CN"/>
              </w:rPr>
              <w:t>并</w:t>
            </w:r>
            <w:r>
              <w:rPr>
                <w:rFonts w:hint="eastAsia" w:ascii="宋体" w:hAnsi="宋体" w:eastAsia="宋体" w:cs="宋体"/>
                <w:sz w:val="24"/>
                <w:szCs w:val="24"/>
                <w:highlight w:val="none"/>
                <w:lang w:val="en-US"/>
              </w:rPr>
              <w:t>上传投标文件，若投标文件已上传</w:t>
            </w:r>
            <w:r>
              <w:rPr>
                <w:rFonts w:hint="eastAsia" w:ascii="宋体" w:hAnsi="宋体" w:eastAsia="宋体" w:cs="宋体"/>
                <w:sz w:val="24"/>
                <w:szCs w:val="24"/>
                <w:highlight w:val="none"/>
                <w:lang w:val="en-US" w:eastAsia="zh-CN"/>
              </w:rPr>
              <w:t>且</w:t>
            </w:r>
            <w:r>
              <w:rPr>
                <w:rFonts w:hint="eastAsia" w:ascii="宋体" w:hAnsi="宋体" w:eastAsia="宋体" w:cs="宋体"/>
                <w:sz w:val="24"/>
                <w:szCs w:val="24"/>
                <w:highlight w:val="none"/>
                <w:lang w:val="en-US"/>
              </w:rPr>
              <w:t>距离开标时间</w:t>
            </w:r>
            <w:r>
              <w:rPr>
                <w:rFonts w:hint="eastAsia" w:ascii="宋体" w:hAnsi="宋体" w:eastAsia="宋体" w:cs="宋体"/>
                <w:sz w:val="24"/>
                <w:szCs w:val="24"/>
                <w:highlight w:val="none"/>
                <w:lang w:val="en-US" w:eastAsia="zh-CN"/>
              </w:rPr>
              <w:t>不</w:t>
            </w:r>
            <w:r>
              <w:rPr>
                <w:rFonts w:hint="eastAsia" w:ascii="宋体" w:hAnsi="宋体" w:eastAsia="宋体" w:cs="宋体"/>
                <w:sz w:val="24"/>
                <w:szCs w:val="24"/>
                <w:highlight w:val="none"/>
                <w:lang w:val="en-US"/>
              </w:rPr>
              <w:t>足30分钟，投标文件将无法更改，也</w:t>
            </w:r>
            <w:r>
              <w:rPr>
                <w:rFonts w:hint="eastAsia" w:ascii="宋体" w:hAnsi="宋体" w:eastAsia="宋体" w:cs="宋体"/>
                <w:sz w:val="24"/>
                <w:szCs w:val="24"/>
                <w:highlight w:val="none"/>
                <w:lang w:val="en-US" w:eastAsia="zh-CN"/>
              </w:rPr>
              <w:t>不</w:t>
            </w:r>
            <w:r>
              <w:rPr>
                <w:rFonts w:hint="eastAsia" w:ascii="宋体" w:hAnsi="宋体" w:eastAsia="宋体" w:cs="宋体"/>
                <w:sz w:val="24"/>
                <w:szCs w:val="24"/>
                <w:highlight w:val="none"/>
                <w:lang w:val="en-US"/>
              </w:rPr>
              <w:t>可自行撤回。若投标文件已处</w:t>
            </w:r>
            <w:r>
              <w:rPr>
                <w:rFonts w:hint="eastAsia" w:ascii="宋体" w:hAnsi="宋体" w:eastAsia="宋体" w:cs="宋体"/>
                <w:sz w:val="24"/>
                <w:szCs w:val="24"/>
                <w:highlight w:val="none"/>
                <w:lang w:val="en-US" w:eastAsia="zh-CN"/>
              </w:rPr>
              <w:t>于</w:t>
            </w:r>
            <w:r>
              <w:rPr>
                <w:rFonts w:hint="eastAsia" w:ascii="宋体" w:hAnsi="宋体" w:eastAsia="宋体" w:cs="宋体"/>
                <w:sz w:val="24"/>
                <w:szCs w:val="24"/>
                <w:highlight w:val="none"/>
                <w:lang w:val="en-US"/>
              </w:rPr>
              <w:t>待解密状态，开标前放弃投标的，请联系代理公司工作人员撤回投标文件（可在</w:t>
            </w:r>
            <w:r>
              <w:rPr>
                <w:rFonts w:hint="eastAsia" w:ascii="宋体" w:hAnsi="宋体" w:eastAsia="宋体" w:cs="宋体"/>
                <w:sz w:val="24"/>
                <w:szCs w:val="24"/>
                <w:highlight w:val="none"/>
                <w:lang w:val="en-US" w:eastAsia="zh-CN"/>
              </w:rPr>
              <w:t>不</w:t>
            </w:r>
            <w:r>
              <w:rPr>
                <w:rFonts w:hint="eastAsia" w:ascii="宋体" w:hAnsi="宋体" w:eastAsia="宋体" w:cs="宋体"/>
                <w:sz w:val="24"/>
                <w:szCs w:val="24"/>
                <w:highlight w:val="none"/>
                <w:lang w:val="en-US"/>
              </w:rPr>
              <w:t>见面开标大厅互</w:t>
            </w:r>
            <w:r>
              <w:rPr>
                <w:rFonts w:hint="eastAsia" w:ascii="宋体" w:hAnsi="宋体" w:eastAsia="宋体" w:cs="宋体"/>
                <w:sz w:val="24"/>
                <w:szCs w:val="24"/>
                <w:highlight w:val="none"/>
                <w:lang w:val="en-US" w:eastAsia="zh-CN"/>
              </w:rPr>
              <w:t>动</w:t>
            </w:r>
            <w:r>
              <w:rPr>
                <w:rFonts w:hint="eastAsia" w:ascii="宋体" w:hAnsi="宋体" w:eastAsia="宋体" w:cs="宋体"/>
                <w:sz w:val="24"/>
                <w:szCs w:val="24"/>
                <w:highlight w:val="none"/>
                <w:lang w:val="en-US"/>
              </w:rPr>
              <w:t>交流板块提出）。</w:t>
            </w:r>
          </w:p>
          <w:p w14:paraId="4AACDA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rPr>
            </w:pPr>
            <w:r>
              <w:rPr>
                <w:rFonts w:hint="eastAsia" w:ascii="宋体" w:hAnsi="宋体" w:eastAsia="宋体" w:cs="宋体"/>
                <w:b/>
                <w:bCs/>
                <w:sz w:val="24"/>
                <w:szCs w:val="24"/>
                <w:highlight w:val="none"/>
                <w:lang w:val="en-US"/>
              </w:rPr>
              <w:t>解密时间：投标企业需提前60分钟登录不见面开标大厅，因投标人自身原因导致在规定的解密时间（</w:t>
            </w:r>
            <w:r>
              <w:rPr>
                <w:rFonts w:hint="eastAsia" w:ascii="宋体" w:hAnsi="宋体" w:eastAsia="宋体" w:cs="宋体"/>
                <w:b/>
                <w:bCs/>
                <w:sz w:val="24"/>
                <w:szCs w:val="24"/>
                <w:highlight w:val="none"/>
                <w:lang w:val="en-US" w:eastAsia="zh-CN"/>
              </w:rPr>
              <w:t>从投标人解密环节开始计时，</w:t>
            </w:r>
            <w:r>
              <w:rPr>
                <w:rFonts w:hint="eastAsia" w:ascii="宋体" w:hAnsi="宋体" w:eastAsia="宋体" w:cs="宋体"/>
                <w:b/>
                <w:bCs/>
                <w:sz w:val="24"/>
                <w:szCs w:val="24"/>
                <w:highlight w:val="none"/>
                <w:lang w:val="en-US"/>
              </w:rPr>
              <w:t>每个投标人限30分钟）内解密失败的，其投标被拒绝且投标文件被退回。</w:t>
            </w:r>
            <w:r>
              <w:rPr>
                <w:rFonts w:hint="eastAsia" w:ascii="宋体" w:hAnsi="宋体" w:eastAsia="宋体" w:cs="宋体"/>
                <w:sz w:val="24"/>
                <w:szCs w:val="24"/>
                <w:highlight w:val="none"/>
                <w:lang w:val="en-US"/>
              </w:rPr>
              <w:t xml:space="preserve"> </w:t>
            </w:r>
          </w:p>
          <w:p w14:paraId="3C26CCB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投标企业对线上投标文件开启过程和开标记录有异议的， 可在不见面开标大厅互动交流板块提出并询问，如未提出异议视为认同开标结果。</w:t>
            </w:r>
          </w:p>
          <w:p w14:paraId="7960A8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rPr>
              <w:t>其他要求：评标过程中产生的所有数值均保留2位小数，不四舍五入。无效投标人的投标报价不计入评标基准价的计算。</w:t>
            </w:r>
          </w:p>
        </w:tc>
      </w:tr>
      <w:tr w14:paraId="663E6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14" w:type="dxa"/>
            <w:vAlign w:val="center"/>
          </w:tcPr>
          <w:p w14:paraId="4A9285F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lang w:val="en-US" w:eastAsia="zh-CN"/>
              </w:rPr>
              <w:t>6</w:t>
            </w:r>
          </w:p>
        </w:tc>
        <w:tc>
          <w:tcPr>
            <w:tcW w:w="2042" w:type="dxa"/>
            <w:vAlign w:val="center"/>
          </w:tcPr>
          <w:p w14:paraId="3FA4F24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电子招投标的</w:t>
            </w:r>
          </w:p>
          <w:p w14:paraId="6D5980D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应急措施</w:t>
            </w:r>
          </w:p>
          <w:p w14:paraId="5093A62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p>
        </w:tc>
        <w:tc>
          <w:tcPr>
            <w:tcW w:w="7139" w:type="dxa"/>
            <w:vAlign w:val="center"/>
          </w:tcPr>
          <w:p w14:paraId="45A6C87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电子开标、评标如出现下列原因，导致系统无法正常运行或无法正常评标时，应采取应急措施。 </w:t>
            </w:r>
          </w:p>
          <w:p w14:paraId="015227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（1）系统服务器发生故障，无法访问或无法使用系统；</w:t>
            </w:r>
          </w:p>
          <w:p w14:paraId="3E6955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（2）系统的软件或数据库出现错误，不能进行正常操作；</w:t>
            </w:r>
          </w:p>
          <w:p w14:paraId="11C881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（3）系统发现有安全漏洞，有潜在的泄密危险；</w:t>
            </w:r>
          </w:p>
          <w:p w14:paraId="3215C50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（4）病毒发作或受到外来病毒的攻击；</w:t>
            </w:r>
          </w:p>
          <w:p w14:paraId="166940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eastAsia="zh-CN"/>
              </w:rPr>
              <w:t>招标代理机构</w:t>
            </w:r>
            <w:r>
              <w:rPr>
                <w:rFonts w:hint="eastAsia" w:ascii="宋体" w:hAnsi="宋体" w:eastAsia="宋体" w:cs="宋体"/>
                <w:sz w:val="24"/>
                <w:szCs w:val="24"/>
                <w:highlight w:val="none"/>
              </w:rPr>
              <w:t>的CA锁失效等原因导致无法解密的；</w:t>
            </w:r>
          </w:p>
          <w:p w14:paraId="72E39E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）出现其他不可抗拒的客观原因造成开评标系统无法正常使用。</w:t>
            </w:r>
          </w:p>
          <w:p w14:paraId="33F4098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出现上述情况时，对于未开标的项目应暂停开标，对已在系统内评审的，也应立即停止。交易中心信息科确认问题原因后，交易中心政府采购科视情况提议，并经</w:t>
            </w:r>
            <w:r>
              <w:rPr>
                <w:rFonts w:hint="eastAsia" w:ascii="宋体" w:hAnsi="宋体" w:eastAsia="宋体" w:cs="宋体"/>
                <w:sz w:val="24"/>
                <w:szCs w:val="24"/>
                <w:highlight w:val="none"/>
                <w:lang w:val="en-US" w:eastAsia="zh-CN"/>
              </w:rPr>
              <w:t>评标委员会</w:t>
            </w:r>
            <w:r>
              <w:rPr>
                <w:rFonts w:hint="eastAsia" w:ascii="宋体" w:hAnsi="宋体" w:eastAsia="宋体" w:cs="宋体"/>
                <w:sz w:val="24"/>
                <w:szCs w:val="24"/>
                <w:highlight w:val="none"/>
              </w:rPr>
              <w:t>同意后，对于非系统原因的可将系统内加密版电子文件评审改为系统内导入非加密版电子文件评审；对于系统原因造成项目无法评审，可将系统内评审改为PDF版文件评审。采取应急措施时，必须对原有资料及信息作妥善保密处理。</w:t>
            </w:r>
          </w:p>
          <w:p w14:paraId="058A79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注：</w:t>
            </w:r>
          </w:p>
          <w:p w14:paraId="2EA2B4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开标前投标人需在不见面开标大厅完成签到工作，开标时投标人需对电子投标文件进行线上解密，因投标人开标前未在不见面大厅签到或因投标人自身原因导致其电子投标文件无法解密，其投标文件将被拒绝。具体步骤详见《聊城不见面开标大厅-操作手册（投标人）》。</w:t>
            </w:r>
          </w:p>
        </w:tc>
      </w:tr>
      <w:tr w14:paraId="7FFBF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4" w:hRule="atLeast"/>
        </w:trPr>
        <w:tc>
          <w:tcPr>
            <w:tcW w:w="714" w:type="dxa"/>
            <w:vAlign w:val="center"/>
          </w:tcPr>
          <w:p w14:paraId="6C13CC3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w:t>
            </w:r>
            <w:r>
              <w:rPr>
                <w:rFonts w:hint="eastAsia" w:ascii="宋体" w:hAnsi="宋体" w:cs="宋体"/>
                <w:sz w:val="24"/>
                <w:szCs w:val="24"/>
                <w:highlight w:val="none"/>
                <w:lang w:val="en-US" w:eastAsia="zh-CN"/>
              </w:rPr>
              <w:t>7</w:t>
            </w:r>
          </w:p>
        </w:tc>
        <w:tc>
          <w:tcPr>
            <w:tcW w:w="2042" w:type="dxa"/>
            <w:vAlign w:val="center"/>
          </w:tcPr>
          <w:p w14:paraId="354E4EE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c>
          <w:tcPr>
            <w:tcW w:w="7139" w:type="dxa"/>
            <w:vAlign w:val="center"/>
          </w:tcPr>
          <w:p w14:paraId="359947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次招标文件以聊城市公共资源交易平台系统内发售下载的为准，各投标企业需及时查看系统内澄清答疑情况，澄清答疑后的文件为最终文件。电子评标答疑文件的格式为.lccf，请投标人务必把最新的澄清文件导入到投标文件制作工具中，否则无法生成最新投标文件。</w:t>
            </w:r>
          </w:p>
        </w:tc>
      </w:tr>
      <w:tr w14:paraId="56624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714" w:type="dxa"/>
            <w:vAlign w:val="center"/>
          </w:tcPr>
          <w:p w14:paraId="78A8180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p>
          <w:p w14:paraId="3C1481D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p>
          <w:p w14:paraId="1806E04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p>
          <w:p w14:paraId="0F349C3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lang w:val="en-US" w:eastAsia="zh-CN"/>
              </w:rPr>
              <w:t>8</w:t>
            </w:r>
          </w:p>
        </w:tc>
        <w:tc>
          <w:tcPr>
            <w:tcW w:w="2042" w:type="dxa"/>
            <w:vAlign w:val="center"/>
          </w:tcPr>
          <w:p w14:paraId="08CD02C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p>
          <w:p w14:paraId="5B2A267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p>
          <w:p w14:paraId="1492FB1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p>
          <w:p w14:paraId="13AD11C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p>
          <w:p w14:paraId="660E288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同一品牌产品相关问题</w:t>
            </w:r>
          </w:p>
        </w:tc>
        <w:tc>
          <w:tcPr>
            <w:tcW w:w="7139" w:type="dxa"/>
            <w:vAlign w:val="center"/>
          </w:tcPr>
          <w:p w14:paraId="5B06A8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采用最低评标价法的采购项目，提供相同品牌产品的不同投标人参加同一合同项下投标的，以其中通过资格审查、符合性审查且报价最低的参加评标；报价相同的，由招标人或者招标人委托评标委员会按照招标文件规定的方式确定一个参加评标的投标人，招标文件未规定的采取随机抽取方式确定，其他投标无效。</w:t>
            </w:r>
          </w:p>
          <w:p w14:paraId="76166DE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3D7DBD5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非单一产品采购项目，招标人应当根据采购项目技术构成、产品价格比重等合理确定核心产品，并在招标文件中载明。多家投标人提供的核心产品品牌相同的，按前两款规定处理。</w:t>
            </w:r>
          </w:p>
        </w:tc>
      </w:tr>
      <w:tr w14:paraId="7CF2E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714" w:type="dxa"/>
            <w:vAlign w:val="center"/>
          </w:tcPr>
          <w:p w14:paraId="5A23D56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lang w:val="en-US" w:eastAsia="zh-CN"/>
              </w:rPr>
              <w:t>9</w:t>
            </w:r>
          </w:p>
        </w:tc>
        <w:tc>
          <w:tcPr>
            <w:tcW w:w="2042" w:type="dxa"/>
            <w:vAlign w:val="center"/>
          </w:tcPr>
          <w:p w14:paraId="1798BB6A">
            <w:pPr>
              <w:pStyle w:val="719"/>
              <w:spacing w:before="79" w:line="360" w:lineRule="auto"/>
              <w:ind w:left="107" w:leftChars="0" w:right="193" w:rightChars="0"/>
              <w:jc w:val="center"/>
              <w:rPr>
                <w:rFonts w:hint="eastAsia" w:ascii="宋体" w:hAnsi="宋体" w:eastAsia="宋体" w:cs="宋体"/>
                <w:sz w:val="24"/>
                <w:szCs w:val="24"/>
                <w:highlight w:val="none"/>
                <w:lang w:eastAsia="zh-CN"/>
              </w:rPr>
            </w:pPr>
            <w:r>
              <w:rPr>
                <w:rFonts w:hint="eastAsia" w:ascii="宋体" w:hAnsi="宋体" w:eastAsia="宋体" w:cs="宋体"/>
                <w:b/>
                <w:bCs/>
                <w:color w:val="auto"/>
                <w:sz w:val="24"/>
                <w:szCs w:val="24"/>
                <w:highlight w:val="none"/>
                <w:lang w:eastAsia="zh-CN"/>
              </w:rPr>
              <w:t>电子文件签章要求</w:t>
            </w:r>
          </w:p>
        </w:tc>
        <w:tc>
          <w:tcPr>
            <w:tcW w:w="7139" w:type="dxa"/>
            <w:vAlign w:val="top"/>
          </w:tcPr>
          <w:p w14:paraId="34892545">
            <w:pPr>
              <w:pStyle w:val="719"/>
              <w:tabs>
                <w:tab w:val="left" w:pos="471"/>
              </w:tabs>
              <w:spacing w:before="3" w:line="360" w:lineRule="auto"/>
              <w:ind w:left="108"/>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1、电子</w:t>
            </w:r>
            <w:r>
              <w:rPr>
                <w:rFonts w:hint="eastAsia" w:ascii="宋体" w:hAnsi="宋体" w:eastAsia="宋体" w:cs="宋体"/>
                <w:b/>
                <w:bCs/>
                <w:color w:val="auto"/>
                <w:sz w:val="24"/>
                <w:szCs w:val="24"/>
                <w:highlight w:val="none"/>
                <w:lang w:eastAsia="zh-CN"/>
              </w:rPr>
              <w:t>响应</w:t>
            </w:r>
            <w:r>
              <w:rPr>
                <w:rFonts w:hint="eastAsia" w:ascii="宋体" w:hAnsi="宋体" w:eastAsia="宋体" w:cs="宋体"/>
                <w:b/>
                <w:bCs/>
                <w:color w:val="auto"/>
                <w:sz w:val="24"/>
                <w:szCs w:val="24"/>
                <w:highlight w:val="none"/>
              </w:rPr>
              <w:t>文件签章要求:</w:t>
            </w:r>
            <w:r>
              <w:rPr>
                <w:rFonts w:hint="eastAsia" w:ascii="宋体" w:hAnsi="宋体" w:eastAsia="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应在电子</w:t>
            </w:r>
            <w:r>
              <w:rPr>
                <w:rFonts w:hint="eastAsia" w:ascii="宋体" w:hAnsi="宋体" w:eastAsia="宋体" w:cs="宋体"/>
                <w:b/>
                <w:bCs/>
                <w:color w:val="auto"/>
                <w:sz w:val="24"/>
                <w:szCs w:val="24"/>
                <w:highlight w:val="none"/>
                <w:lang w:eastAsia="zh-CN"/>
              </w:rPr>
              <w:t>招标</w:t>
            </w:r>
            <w:r>
              <w:rPr>
                <w:rFonts w:hint="eastAsia" w:ascii="宋体" w:hAnsi="宋体" w:eastAsia="宋体" w:cs="宋体"/>
                <w:b/>
                <w:bCs/>
                <w:color w:val="auto"/>
                <w:sz w:val="24"/>
                <w:szCs w:val="24"/>
                <w:highlight w:val="none"/>
              </w:rPr>
              <w:t>文件规定的应签章处均须使用CA印章进行签章，未按要求进行签章的响应文件，作无效标处理。</w:t>
            </w:r>
          </w:p>
          <w:p w14:paraId="1A1EF70C">
            <w:pPr>
              <w:pStyle w:val="719"/>
              <w:tabs>
                <w:tab w:val="left" w:pos="471"/>
              </w:tabs>
              <w:spacing w:before="3" w:line="360" w:lineRule="auto"/>
              <w:ind w:left="108"/>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2、“法定代表人(签章)”要求键盘输入法定代表人姓名后再盖法</w:t>
            </w:r>
          </w:p>
          <w:p w14:paraId="41CA1B4F">
            <w:pPr>
              <w:pStyle w:val="719"/>
              <w:tabs>
                <w:tab w:val="left" w:pos="471"/>
              </w:tabs>
              <w:spacing w:before="3" w:line="360" w:lineRule="auto"/>
              <w:ind w:left="108" w:leftChars="0"/>
              <w:jc w:val="both"/>
              <w:rPr>
                <w:rFonts w:hint="eastAsia" w:ascii="宋体" w:hAnsi="宋体" w:eastAsia="宋体" w:cs="宋体"/>
                <w:sz w:val="24"/>
                <w:szCs w:val="24"/>
                <w:highlight w:val="none"/>
                <w:lang w:eastAsia="zh-CN"/>
              </w:rPr>
            </w:pPr>
            <w:r>
              <w:rPr>
                <w:rFonts w:hint="eastAsia" w:ascii="宋体" w:hAnsi="宋体" w:eastAsia="宋体" w:cs="宋体"/>
                <w:b/>
                <w:bCs/>
                <w:color w:val="auto"/>
                <w:sz w:val="24"/>
                <w:szCs w:val="24"/>
                <w:highlight w:val="none"/>
              </w:rPr>
              <w:t>人章:“法定代表人、委托代理人(签字)”要求键盘输入姓名后并亲笔签字。签章和盖章具有同等法律效力。</w:t>
            </w:r>
          </w:p>
        </w:tc>
      </w:tr>
      <w:tr w14:paraId="28D31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14" w:type="dxa"/>
            <w:vAlign w:val="center"/>
          </w:tcPr>
          <w:p w14:paraId="28C0929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30</w:t>
            </w:r>
          </w:p>
        </w:tc>
        <w:tc>
          <w:tcPr>
            <w:tcW w:w="2042" w:type="dxa"/>
            <w:vAlign w:val="center"/>
          </w:tcPr>
          <w:p w14:paraId="6C4F698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政府采购政策</w:t>
            </w:r>
          </w:p>
        </w:tc>
        <w:tc>
          <w:tcPr>
            <w:tcW w:w="7139" w:type="dxa"/>
            <w:vAlign w:val="center"/>
          </w:tcPr>
          <w:p w14:paraId="4308412E">
            <w:pPr>
              <w:pStyle w:val="719"/>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1、除本</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中明确规定使用进口产品外，</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中不允许含有产自境外的进口产品，否则其</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按无效处理。</w:t>
            </w:r>
          </w:p>
          <w:p w14:paraId="13E51EFE">
            <w:pPr>
              <w:pStyle w:val="719"/>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政府采购节能产品、环境标志产品实施品目清单管理，强制采购《节能产品政府采购品目清单》内规定的强制节能产品，具体见品目清单中“★”标注的产品；优先采购列入《节能产品政府采购品目清单》（财库[2019]19号）内的不加“★”标注的节能产品和列入《环境标志产品政府采购品目清单》（财库[2019]19号）内的环境标志产品。</w:t>
            </w:r>
          </w:p>
          <w:p w14:paraId="07302782">
            <w:pPr>
              <w:pStyle w:val="719"/>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2.1.本次采购若涉及《节能产品政府采购品目清单》内强制采购的节能产品，无论项目说明中是否明确为强制节能产品，</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都必须投报强制节能产品并提供有效的认证证书，</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必须填写《强制节能产品清单报价表》，格式见附件，填表要求按附件表下附注，否则按无效</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处理。</w:t>
            </w:r>
          </w:p>
          <w:p w14:paraId="08BF0129">
            <w:pPr>
              <w:pStyle w:val="719"/>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本次采购的产品如是列入《节能产品政府采购品目清单》中优先采购的节能产品，需要享受价格扣除或加分的政策的，须填写《优先节能产品清单报价表》，格式见附件，填写要求按附件中表下附注。要求提供的节能产品认证证书，是指由市场监管总局《关于发布参与实施政府采购节能产品、环境标志产品认证机构名录的公告》 2019 年第 16 号文件公布的机构出具的有效期内的节能认证证书原件扫描件。</w:t>
            </w:r>
          </w:p>
          <w:p w14:paraId="238DDC5F">
            <w:pPr>
              <w:pStyle w:val="719"/>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的产品如是列入《环境标志产品政府采购品目清单》内的环境标志产品，需要享受价格扣除或加分的政策的，须填写《环境标志产品报价说明表》，格式见附件，填写要求按附件中表下附注。要求提供的环境标志产品认证证书，是指由市场监管总局《关于发布参与实施政府采购节能产品、环境标志产品认证机构名录的公告》 2019 年第 16 号文件公布的机构出具的有效期内的环境标志产品认证证书原件扫描件。</w:t>
            </w:r>
          </w:p>
          <w:p w14:paraId="08423079">
            <w:pPr>
              <w:keepNext w:val="0"/>
              <w:keepLines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加分标准：</w:t>
            </w:r>
            <w:r>
              <w:rPr>
                <w:rFonts w:hint="eastAsia" w:ascii="宋体" w:hAnsi="宋体" w:eastAsia="宋体" w:cs="宋体"/>
                <w:color w:val="000000"/>
                <w:kern w:val="0"/>
                <w:sz w:val="24"/>
                <w:szCs w:val="24"/>
                <w:highlight w:val="none"/>
                <w:lang w:val="en-US" w:eastAsia="zh-CN" w:bidi="ar"/>
              </w:rPr>
              <w:t>（1）报价加分：环保产品报价/总报价*</w:t>
            </w:r>
            <w:r>
              <w:rPr>
                <w:rFonts w:hint="eastAsia" w:ascii="宋体" w:hAnsi="宋体" w:cs="宋体"/>
                <w:color w:val="000000"/>
                <w:kern w:val="0"/>
                <w:sz w:val="24"/>
                <w:szCs w:val="24"/>
                <w:highlight w:val="none"/>
                <w:lang w:val="en-US" w:eastAsia="zh-CN" w:bidi="ar"/>
              </w:rPr>
              <w:t>5</w:t>
            </w:r>
            <w:r>
              <w:rPr>
                <w:rFonts w:hint="eastAsia" w:ascii="宋体" w:hAnsi="宋体" w:eastAsia="宋体" w:cs="宋体"/>
                <w:color w:val="000000"/>
                <w:kern w:val="0"/>
                <w:sz w:val="24"/>
                <w:szCs w:val="24"/>
                <w:highlight w:val="none"/>
                <w:lang w:val="en-US" w:eastAsia="zh-CN" w:bidi="ar"/>
              </w:rPr>
              <w:t xml:space="preserve">%*价格分 </w:t>
            </w:r>
          </w:p>
          <w:p w14:paraId="33A6C121">
            <w:pPr>
              <w:keepNext w:val="0"/>
              <w:keepLines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（2）技术加分：环保产品报价/总报价*</w:t>
            </w:r>
            <w:r>
              <w:rPr>
                <w:rFonts w:hint="eastAsia" w:ascii="宋体" w:hAnsi="宋体" w:cs="宋体"/>
                <w:color w:val="000000"/>
                <w:kern w:val="0"/>
                <w:sz w:val="24"/>
                <w:szCs w:val="24"/>
                <w:highlight w:val="none"/>
                <w:lang w:val="en-US" w:eastAsia="zh-CN" w:bidi="ar"/>
              </w:rPr>
              <w:t>5</w:t>
            </w:r>
            <w:r>
              <w:rPr>
                <w:rFonts w:hint="eastAsia" w:ascii="宋体" w:hAnsi="宋体" w:eastAsia="宋体" w:cs="宋体"/>
                <w:color w:val="000000"/>
                <w:kern w:val="0"/>
                <w:sz w:val="24"/>
                <w:szCs w:val="24"/>
                <w:highlight w:val="none"/>
                <w:lang w:val="en-US" w:eastAsia="zh-CN" w:bidi="ar"/>
              </w:rPr>
              <w:t xml:space="preserve">%*技术分 </w:t>
            </w:r>
          </w:p>
          <w:p w14:paraId="552457B5">
            <w:pPr>
              <w:keepNext w:val="0"/>
              <w:keepLines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产品既是环境标志产品，又是节能产品的均予加分，其中节能产品 </w:t>
            </w:r>
          </w:p>
          <w:p w14:paraId="60A7D8DF">
            <w:pPr>
              <w:keepNext w:val="0"/>
              <w:keepLines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加分时不含强制节能产品。</w:t>
            </w:r>
          </w:p>
          <w:p w14:paraId="01A3C1B4">
            <w:pPr>
              <w:pStyle w:val="719"/>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3、对农副产品的采购项目，政府优先采购贫困地区的农副产品，</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中声明原产地，招标代理机构在评标时通过国务院相关网站提供相关证据。对注册地在 832 个国家级贫困县域内，且聘用建档立卡贫困人员达到公司员工（含服务外包用工）30%以上的物业公司在物业政府采购时优先采购，物业公司出具贫困县物业公司声明，格式自拟，并附贫困人员卡。</w:t>
            </w:r>
          </w:p>
          <w:p w14:paraId="6270DE4C">
            <w:pPr>
              <w:pStyle w:val="719"/>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4、政府采购项目支持监狱企业、中小企业发展，支持残疾人就业。</w:t>
            </w:r>
          </w:p>
          <w:p w14:paraId="5AA228A6">
            <w:pPr>
              <w:pStyle w:val="719"/>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为监狱企业或所报产品为监狱企业产品并需要价格扣除的，应当提供省级以上监狱管理局、戒毒管理局（含新疆生产建设兵团）出具的属于监狱企业的证明文件原件的彩色扫描件加盖公章，并且填写《监狱企业、小型和微型企业、残疾人福利性单位产品报价说明表》（格式见</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附件，填写要求按附件中表下附注）。</w:t>
            </w:r>
          </w:p>
          <w:p w14:paraId="7FD5BC98">
            <w:pPr>
              <w:pStyle w:val="719"/>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政府采购活动中，</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提供的货物、工程或者服务符合下列情形的，享受中小企业扶持政策：</w:t>
            </w:r>
          </w:p>
          <w:p w14:paraId="7F89FFA5">
            <w:pPr>
              <w:pStyle w:val="719"/>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 货物采购项目中，货物由中小企业制造，即货物由中小企业生产且使用该中小企业商号或者注册商标。</w:t>
            </w:r>
          </w:p>
          <w:p w14:paraId="73AB4674">
            <w:pPr>
              <w:pStyle w:val="719"/>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 在工程采购项目中，工程由中小企业承建，即工程施工单位为中小企业。</w:t>
            </w:r>
          </w:p>
          <w:p w14:paraId="10F25DCB">
            <w:pPr>
              <w:pStyle w:val="719"/>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 在服务采购项目中，服务由中小企业承接，即提供服务的人员为中小企业依照《中华人民共和国劳动合同法》订立劳动合同的从业人员。</w:t>
            </w:r>
          </w:p>
          <w:p w14:paraId="44451DD1">
            <w:pPr>
              <w:pStyle w:val="719"/>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4.2.4 在货物采购项目中，</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提供的货物既有中小企业制造货物，也有大型企业制造货物的，不享受《政府采购促进中小企业发展管理办法》（财库﹝2020﹞46 号）规定的中小企业扶持政策。</w:t>
            </w:r>
          </w:p>
          <w:p w14:paraId="3F054CCD">
            <w:pPr>
              <w:pStyle w:val="719"/>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4.2.5 以联合体形式参加政府采购活动，联合体各方均为中小企业的，联合体视同中小企业。其中，联合体各方均为小微企业的，联合体视同小微企业。</w:t>
            </w:r>
          </w:p>
          <w:p w14:paraId="150AA05D">
            <w:pPr>
              <w:pStyle w:val="719"/>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4.2.6 组成联合体或者接受分包的小微企业与联合体内其他企业、分包企业之间存在直接控股、管理关系的，不享受价格扣除优惠政策。</w:t>
            </w:r>
          </w:p>
          <w:p w14:paraId="6D6F5F75">
            <w:pPr>
              <w:pStyle w:val="719"/>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4.2.7 对于经主管预算单位统筹后未预留份额专门面向中小企业采购的采购项目，以及预留份额项目中的非预留部分采购包，</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招标代理机构</w:t>
            </w:r>
            <w:r>
              <w:rPr>
                <w:rFonts w:hint="eastAsia" w:ascii="宋体" w:hAnsi="宋体" w:eastAsia="宋体" w:cs="宋体"/>
                <w:color w:val="auto"/>
                <w:sz w:val="24"/>
                <w:szCs w:val="24"/>
                <w:highlight w:val="none"/>
              </w:rPr>
              <w:t>应当对符合《政府采购促进中小企业发展管理办法》（财库﹝2020﹞46 号）规定的小微企业报价给予10%（工程项目为5%）的扣除，用扣除后的价格参加评审。适用招标投标法的政府采购工程建设项目，采用综合评估法但未采用低价优先法计算价格分的，评标时应当在采用原报价进行评分的基础上增加其价格得分的 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-5%作为其价格分。中小企业参加政府采购活动，应当出具《中小企业声明函》，并且填写《监狱企业、小型和微型企业、残疾人福利性单位产品报价说明表》（格式见</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附件，填写要求按附件中表下附注），否则不得享受相关中小企业扶持政策。</w:t>
            </w:r>
          </w:p>
          <w:p w14:paraId="67429C3A">
            <w:pPr>
              <w:pStyle w:val="719"/>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4.2.8 接受大中型企业与小微企业组成联合体或者允许大中型企业向一家或者多家小微企业分包的采购项目，对于联合协议或者分包意向协议约定小微企业的合同份额占到合同总金额 30%以上的，</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招标代理机构</w:t>
            </w:r>
            <w:r>
              <w:rPr>
                <w:rFonts w:hint="eastAsia" w:ascii="宋体" w:hAnsi="宋体" w:eastAsia="宋体" w:cs="宋体"/>
                <w:color w:val="auto"/>
                <w:sz w:val="24"/>
                <w:szCs w:val="24"/>
                <w:highlight w:val="none"/>
              </w:rPr>
              <w:t xml:space="preserve">应当对联合体或者大中型企业的报价给予3%（工程项目为 2%）的扣除，用扣除后的价格参加评审。适用招标投标法的政府采购工程建设项目，采用综合评估法但未采用低价优先法计算价格分的，评标时应当在采用原报价进行评分的基础上增加其价格得分的 </w:t>
            </w:r>
            <w:r>
              <w:rPr>
                <w:rFonts w:hint="eastAsia" w:ascii="宋体" w:hAnsi="宋体" w:eastAsia="宋体" w:cs="宋体"/>
                <w:color w:val="auto"/>
                <w:sz w:val="24"/>
                <w:szCs w:val="24"/>
                <w:highlight w:val="none"/>
                <w:lang w:eastAsia="zh-CN"/>
              </w:rPr>
              <w:t>1%-2%</w:t>
            </w:r>
            <w:r>
              <w:rPr>
                <w:rFonts w:hint="eastAsia" w:ascii="宋体" w:hAnsi="宋体" w:eastAsia="宋体" w:cs="宋体"/>
                <w:color w:val="auto"/>
                <w:sz w:val="24"/>
                <w:szCs w:val="24"/>
                <w:highlight w:val="none"/>
              </w:rPr>
              <w:t>作为其价格分。</w:t>
            </w:r>
          </w:p>
          <w:p w14:paraId="7D35DF1B">
            <w:pPr>
              <w:pStyle w:val="719"/>
              <w:tabs>
                <w:tab w:val="left" w:pos="471"/>
              </w:tabs>
              <w:spacing w:before="3" w:line="360" w:lineRule="auto"/>
              <w:ind w:left="1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4.2.9 价格扣除比例对小型企业和微型企业同等对待，不作区分。</w:t>
            </w:r>
          </w:p>
          <w:p w14:paraId="173FEE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eastAsia="zh-CN"/>
              </w:rPr>
            </w:pPr>
            <w:r>
              <w:rPr>
                <w:rFonts w:hint="eastAsia" w:ascii="宋体" w:hAnsi="宋体" w:eastAsia="宋体" w:cs="宋体"/>
                <w:color w:val="auto"/>
                <w:kern w:val="2"/>
                <w:sz w:val="24"/>
                <w:szCs w:val="24"/>
                <w:highlight w:val="none"/>
                <w:lang w:val="zh-CN" w:eastAsia="zh-CN" w:bidi="zh-CN"/>
              </w:rPr>
              <w:t>4.3 按照《财政部 民</w:t>
            </w:r>
            <w:r>
              <w:rPr>
                <w:rFonts w:hint="eastAsia" w:ascii="宋体" w:hAnsi="宋体" w:eastAsia="宋体" w:cs="宋体"/>
                <w:color w:val="auto"/>
                <w:sz w:val="24"/>
                <w:szCs w:val="24"/>
                <w:highlight w:val="none"/>
              </w:rPr>
              <w:t>政部 中国残疾人联合会关于促进残疾人就业政府采购政策的通知》（财库〔2017〕141 号）的规定，在政府采购活动中，残疾人福利性单位视同小型、微型企业，享受评审中价格扣除的政府采购政策。如</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为残疾人福利性单位，应当提供《残疾人福利性单位声明函》（格式见</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 xml:space="preserve">附件）。中小企业参加政府采购活动，应当出具《中小企业声明函》。 </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即是监狱和戒毒企业，又属小型企业或微型企业或残疾人福利性单位的不重复折扣，只计取一项。</w:t>
            </w:r>
          </w:p>
        </w:tc>
      </w:tr>
      <w:tr w14:paraId="6CAFA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14" w:type="dxa"/>
            <w:vAlign w:val="center"/>
          </w:tcPr>
          <w:p w14:paraId="4C4EFDF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cs="宋体"/>
                <w:sz w:val="24"/>
                <w:szCs w:val="24"/>
                <w:highlight w:val="none"/>
                <w:lang w:val="en-US" w:eastAsia="zh-CN"/>
              </w:rPr>
              <w:t>1</w:t>
            </w:r>
          </w:p>
        </w:tc>
        <w:tc>
          <w:tcPr>
            <w:tcW w:w="2042" w:type="dxa"/>
            <w:vAlign w:val="center"/>
          </w:tcPr>
          <w:p w14:paraId="17C3861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pacing w:val="-3"/>
                <w:kern w:val="2"/>
                <w:sz w:val="24"/>
                <w:szCs w:val="24"/>
                <w:highlight w:val="none"/>
                <w:lang w:val="en-US" w:eastAsia="zh-CN" w:bidi="zh-CN"/>
              </w:rPr>
            </w:pPr>
            <w:r>
              <w:rPr>
                <w:rFonts w:hint="eastAsia" w:ascii="宋体" w:hAnsi="宋体" w:eastAsia="宋体" w:cs="宋体"/>
                <w:spacing w:val="-3"/>
                <w:kern w:val="2"/>
                <w:sz w:val="24"/>
                <w:szCs w:val="24"/>
                <w:highlight w:val="none"/>
                <w:lang w:val="en-US" w:eastAsia="zh-CN" w:bidi="zh-CN"/>
              </w:rPr>
              <w:t>说明</w:t>
            </w:r>
          </w:p>
        </w:tc>
        <w:tc>
          <w:tcPr>
            <w:tcW w:w="7139" w:type="dxa"/>
            <w:vAlign w:val="center"/>
          </w:tcPr>
          <w:p w14:paraId="1037EAAE">
            <w:pPr>
              <w:keepNext w:val="0"/>
              <w:keepLines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（1）本项目所属行业为</w:t>
            </w:r>
            <w:r>
              <w:rPr>
                <w:rFonts w:hint="eastAsia" w:ascii="宋体" w:hAnsi="宋体" w:cs="宋体"/>
                <w:b/>
                <w:bCs/>
                <w:sz w:val="24"/>
                <w:szCs w:val="24"/>
                <w:highlight w:val="none"/>
                <w:lang w:val="en-US" w:eastAsia="zh-CN"/>
              </w:rPr>
              <w:t>批发业</w:t>
            </w:r>
            <w:r>
              <w:rPr>
                <w:rFonts w:hint="eastAsia" w:ascii="宋体" w:hAnsi="宋体" w:eastAsia="宋体" w:cs="宋体"/>
                <w:sz w:val="24"/>
                <w:szCs w:val="24"/>
                <w:highlight w:val="none"/>
                <w:lang w:val="en-US" w:eastAsia="zh-CN"/>
              </w:rPr>
              <w:t xml:space="preserve">。 </w:t>
            </w:r>
          </w:p>
          <w:p w14:paraId="0AA438CA">
            <w:pPr>
              <w:keepNext w:val="0"/>
              <w:keepLines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（2）现已启用省信息公开平台线上投诉功能，投标人可在信息公 </w:t>
            </w:r>
          </w:p>
          <w:p w14:paraId="70A01625">
            <w:pPr>
              <w:keepNext w:val="0"/>
              <w:keepLines w:val="0"/>
              <w:widowControl/>
              <w:suppressLineNumbers w:val="0"/>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开平台进行线上投诉（http://www.ccgp-shandong-rz.cn/）。</w:t>
            </w:r>
          </w:p>
          <w:p w14:paraId="04B61A4A">
            <w:pPr>
              <w:pStyle w:val="95"/>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highlight w:val="none"/>
                <w:lang w:val="en-US" w:eastAsia="zh-CN" w:bidi="ar-SA"/>
              </w:rPr>
              <w:t>（3）中标（成交）供应商可按相关规定申请政府采购合同融资，具体规定、操作流程详见山东省政府采购合同融资与履约保函服务平台（http://www.ccgp-shandong-rz.cn/）。</w:t>
            </w:r>
          </w:p>
        </w:tc>
      </w:tr>
    </w:tbl>
    <w:p w14:paraId="06EE06E2">
      <w:pPr>
        <w:spacing w:line="360" w:lineRule="auto"/>
        <w:rPr>
          <w:rFonts w:hint="eastAsia" w:ascii="宋体" w:hAnsi="宋体" w:cs="宋体"/>
          <w:b/>
          <w:color w:val="000000" w:themeColor="text1"/>
          <w:sz w:val="24"/>
          <w:szCs w:val="24"/>
          <w:highlight w:val="none"/>
          <w14:textFill>
            <w14:solidFill>
              <w14:schemeClr w14:val="tx1"/>
            </w14:solidFill>
          </w14:textFill>
        </w:rPr>
      </w:pPr>
    </w:p>
    <w:p w14:paraId="35C22DE0">
      <w:p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一、适用范围</w:t>
      </w:r>
    </w:p>
    <w:p w14:paraId="3755DB1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本招标文件仅适用于本次招标公告中所叙述的项目。投标人应当按照本招标文件的要求进行投标。</w:t>
      </w:r>
    </w:p>
    <w:p w14:paraId="0174B10D">
      <w:pPr>
        <w:tabs>
          <w:tab w:val="center" w:pos="4156"/>
        </w:tabs>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二、总则</w:t>
      </w:r>
    </w:p>
    <w:p w14:paraId="59DE1B0A">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（一）定义</w:t>
      </w:r>
    </w:p>
    <w:p w14:paraId="4B6904F9">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”系</w:t>
      </w:r>
      <w:r>
        <w:rPr>
          <w:rFonts w:hint="eastAsia" w:ascii="宋体" w:hAnsi="宋体" w:cs="宋体"/>
          <w:color w:val="000000" w:themeColor="text1"/>
          <w:sz w:val="24"/>
          <w:szCs w:val="24"/>
          <w:highlight w:val="none"/>
          <w:lang w:eastAsia="zh-CN"/>
          <w14:textFill>
            <w14:solidFill>
              <w14:schemeClr w14:val="tx1"/>
            </w14:solidFill>
          </w14:textFill>
        </w:rPr>
        <w:t>聊城市公安局交通巡逻警察支队直属二大队</w:t>
      </w:r>
      <w:r>
        <w:rPr>
          <w:rFonts w:hint="eastAsia" w:ascii="宋体" w:hAnsi="宋体" w:cs="宋体"/>
          <w:color w:val="000000" w:themeColor="text1"/>
          <w:sz w:val="24"/>
          <w:szCs w:val="24"/>
          <w:highlight w:val="none"/>
          <w14:textFill>
            <w14:solidFill>
              <w14:schemeClr w14:val="tx1"/>
            </w14:solidFill>
          </w14:textFill>
        </w:rPr>
        <w:t>。</w:t>
      </w:r>
    </w:p>
    <w:p w14:paraId="1B77514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”系指</w:t>
      </w:r>
      <w:r>
        <w:rPr>
          <w:rFonts w:hint="eastAsia" w:ascii="宋体" w:hAnsi="宋体" w:cs="宋体"/>
          <w:color w:val="000000" w:themeColor="text1"/>
          <w:kern w:val="0"/>
          <w:sz w:val="24"/>
          <w:szCs w:val="24"/>
          <w:highlight w:val="none"/>
          <w:lang w:eastAsia="zh-CN"/>
          <w14:textFill>
            <w14:solidFill>
              <w14:schemeClr w14:val="tx1"/>
            </w14:solidFill>
          </w14:textFill>
        </w:rPr>
        <w:t>中凡建设项目管理（山东）有限公司</w:t>
      </w:r>
      <w:r>
        <w:rPr>
          <w:rFonts w:hint="eastAsia" w:ascii="宋体" w:hAnsi="宋体" w:cs="宋体"/>
          <w:color w:val="000000" w:themeColor="text1"/>
          <w:kern w:val="0"/>
          <w:sz w:val="24"/>
          <w:szCs w:val="24"/>
          <w:highlight w:val="none"/>
          <w14:textFill>
            <w14:solidFill>
              <w14:schemeClr w14:val="tx1"/>
            </w14:solidFill>
          </w14:textFill>
        </w:rPr>
        <w:t>。</w:t>
      </w:r>
    </w:p>
    <w:p w14:paraId="72F665E6">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3、“投标人”系指向</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索取招标文件并提交投标文件的法人或其他组织。</w:t>
      </w:r>
    </w:p>
    <w:p w14:paraId="3C9D869C">
      <w:pPr>
        <w:spacing w:line="360" w:lineRule="auto"/>
        <w:ind w:left="2" w:leftChars="1"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r>
        <w:rPr>
          <w:rFonts w:hint="eastAsia" w:ascii="宋体" w:hAnsi="宋体" w:cs="宋体"/>
          <w:color w:val="000000" w:themeColor="text1"/>
          <w:sz w:val="24"/>
          <w:szCs w:val="24"/>
          <w:highlight w:val="none"/>
          <w:lang w:eastAsia="zh-CN"/>
          <w14:textFill>
            <w14:solidFill>
              <w14:schemeClr w14:val="tx1"/>
            </w14:solidFill>
          </w14:textFill>
        </w:rPr>
        <w:t>合格</w:t>
      </w:r>
      <w:r>
        <w:rPr>
          <w:rFonts w:hint="eastAsia" w:ascii="宋体" w:hAnsi="宋体" w:cs="宋体"/>
          <w:color w:val="000000" w:themeColor="text1"/>
          <w:sz w:val="24"/>
          <w:szCs w:val="24"/>
          <w:highlight w:val="none"/>
          <w14:textFill>
            <w14:solidFill>
              <w14:schemeClr w14:val="tx1"/>
            </w14:solidFill>
          </w14:textFill>
        </w:rPr>
        <w:t>投标人”系指经评标委员会初步评审，投标人的各项指标均符合招标文件要求，进入综合评审阶段的投标人。</w:t>
      </w:r>
    </w:p>
    <w:p w14:paraId="088F33D5">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5、“中标候选人”系指由评标委员会对入围投标人综合评审后，评选出的对招标文件</w:t>
      </w:r>
      <w:r>
        <w:rPr>
          <w:rFonts w:hint="eastAsia" w:ascii="宋体" w:hAnsi="宋体" w:cs="宋体"/>
          <w:color w:val="000000" w:themeColor="text1"/>
          <w:sz w:val="24"/>
          <w:szCs w:val="24"/>
          <w:highlight w:val="none"/>
          <w:lang w:eastAsia="zh-CN"/>
          <w14:textFill>
            <w14:solidFill>
              <w14:schemeClr w14:val="tx1"/>
            </w14:solidFill>
          </w14:textFill>
        </w:rPr>
        <w:t>作出</w:t>
      </w:r>
      <w:r>
        <w:rPr>
          <w:rFonts w:hint="eastAsia" w:ascii="宋体" w:hAnsi="宋体" w:cs="宋体"/>
          <w:color w:val="000000" w:themeColor="text1"/>
          <w:sz w:val="24"/>
          <w:szCs w:val="24"/>
          <w:highlight w:val="none"/>
          <w14:textFill>
            <w14:solidFill>
              <w14:schemeClr w14:val="tx1"/>
            </w14:solidFill>
          </w14:textFill>
        </w:rPr>
        <w:t>实质性响应、综合竞争实力强、报价合理且有能力为</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提供货物和服务，遵守投标文件和询标时的承诺，赢得或潜在赢得供货合同的投标人。</w:t>
      </w:r>
    </w:p>
    <w:p w14:paraId="49F2273B">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w:t>
      </w:r>
      <w:r>
        <w:rPr>
          <w:rFonts w:hint="eastAsia" w:ascii="宋体" w:hAnsi="宋体" w:cs="宋体"/>
          <w:color w:val="000000" w:themeColor="text1"/>
          <w:sz w:val="24"/>
          <w:szCs w:val="24"/>
          <w:highlight w:val="none"/>
          <w:lang w:val="en-US" w:eastAsia="zh-CN"/>
          <w14:textFill>
            <w14:solidFill>
              <w14:schemeClr w14:val="tx1"/>
            </w14:solidFill>
          </w14:textFill>
        </w:rPr>
        <w:t>货物</w:t>
      </w:r>
      <w:r>
        <w:rPr>
          <w:rFonts w:hint="eastAsia" w:ascii="宋体" w:hAnsi="宋体" w:cs="宋体"/>
          <w:color w:val="000000" w:themeColor="text1"/>
          <w:sz w:val="24"/>
          <w:szCs w:val="24"/>
          <w:highlight w:val="none"/>
          <w14:textFill>
            <w14:solidFill>
              <w14:schemeClr w14:val="tx1"/>
            </w14:solidFill>
          </w14:textFill>
        </w:rPr>
        <w:t>”系指中标人按招标文件和政府采购合同的要求，向</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提供所需的货物、服务及有关技术资料。</w:t>
      </w:r>
    </w:p>
    <w:p w14:paraId="7EA7119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“服务”系指招标文件规定投标人须承担的</w:t>
      </w:r>
      <w:r>
        <w:rPr>
          <w:rFonts w:hint="eastAsia" w:ascii="宋体" w:hAnsi="宋体" w:cs="宋体"/>
          <w:color w:val="000000" w:themeColor="text1"/>
          <w:sz w:val="24"/>
          <w:szCs w:val="24"/>
          <w:highlight w:val="none"/>
          <w:lang w:val="en-US" w:eastAsia="zh-CN"/>
          <w14:textFill>
            <w14:solidFill>
              <w14:schemeClr w14:val="tx1"/>
            </w14:solidFill>
          </w14:textFill>
        </w:rPr>
        <w:t>采购、配送</w:t>
      </w:r>
      <w:r>
        <w:rPr>
          <w:rFonts w:hint="eastAsia" w:ascii="宋体" w:hAnsi="宋体" w:eastAsia="宋体" w:cs="宋体"/>
          <w:color w:val="000000" w:themeColor="text1"/>
          <w:sz w:val="24"/>
          <w:szCs w:val="24"/>
          <w:highlight w:val="none"/>
          <w14:textFill>
            <w14:solidFill>
              <w14:schemeClr w14:val="tx1"/>
            </w14:solidFill>
          </w14:textFill>
        </w:rPr>
        <w:t>、售后服务以及其它相关的义务。</w:t>
      </w:r>
    </w:p>
    <w:p w14:paraId="3F856718">
      <w:pPr>
        <w:pageBreakBefore w:val="0"/>
        <w:widowControl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val="0"/>
          <w:bCs w:val="0"/>
          <w:color w:val="000000" w:themeColor="text1"/>
          <w:sz w:val="24"/>
          <w:szCs w:val="24"/>
          <w:highlight w:val="none"/>
          <w14:textFill>
            <w14:solidFill>
              <w14:schemeClr w14:val="tx1"/>
            </w14:solidFill>
          </w14:textFill>
        </w:rPr>
        <w:t>适用</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的</w:t>
      </w:r>
      <w:r>
        <w:rPr>
          <w:rFonts w:hint="eastAsia" w:ascii="宋体" w:hAnsi="宋体" w:eastAsia="宋体" w:cs="宋体"/>
          <w:b w:val="0"/>
          <w:bCs w:val="0"/>
          <w:color w:val="000000" w:themeColor="text1"/>
          <w:sz w:val="24"/>
          <w:szCs w:val="24"/>
          <w:highlight w:val="none"/>
          <w14:textFill>
            <w14:solidFill>
              <w14:schemeClr w14:val="tx1"/>
            </w14:solidFill>
          </w14:textFill>
        </w:rPr>
        <w:t>法律法规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等</w:t>
      </w:r>
    </w:p>
    <w:p w14:paraId="4A83A5EC">
      <w:pPr>
        <w:pageBreakBefore w:val="0"/>
        <w:widowControl w:val="0"/>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《中华人民共和国政府采购法》；</w:t>
      </w:r>
    </w:p>
    <w:p w14:paraId="38D88EF7">
      <w:pPr>
        <w:pageBreakBefore w:val="0"/>
        <w:widowControl w:val="0"/>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《中华人民共和国政府采购法实施条例》；</w:t>
      </w:r>
    </w:p>
    <w:p w14:paraId="155719E7">
      <w:pPr>
        <w:pageBreakBefore w:val="0"/>
        <w:widowControl w:val="0"/>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《政府采购货物和服务招标投标管理办法》（财政部令第87号）；</w:t>
      </w:r>
    </w:p>
    <w:p w14:paraId="68A0B339">
      <w:pPr>
        <w:pageBreakBefore w:val="0"/>
        <w:widowControl w:val="0"/>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其他有关政府采购的法律、行政法规及省市规范性文件规定。</w:t>
      </w:r>
    </w:p>
    <w:p w14:paraId="5C85ED7F">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（二）投标保证金：</w:t>
      </w:r>
      <w:r>
        <w:rPr>
          <w:rFonts w:hint="eastAsia" w:ascii="宋体" w:hAnsi="宋体" w:eastAsia="宋体" w:cs="宋体"/>
          <w:color w:val="000000" w:themeColor="text1"/>
          <w:sz w:val="24"/>
          <w:szCs w:val="24"/>
          <w:highlight w:val="none"/>
          <w:lang w:eastAsia="zh-CN"/>
          <w14:textFill>
            <w14:solidFill>
              <w14:schemeClr w14:val="tx1"/>
            </w14:solidFill>
          </w14:textFill>
        </w:rPr>
        <w:t>详见投标人</w:t>
      </w:r>
      <w:r>
        <w:rPr>
          <w:rFonts w:hint="eastAsia" w:ascii="宋体" w:hAnsi="宋体" w:eastAsia="宋体" w:cs="宋体"/>
          <w:color w:val="000000" w:themeColor="text1"/>
          <w:sz w:val="24"/>
          <w:szCs w:val="24"/>
          <w:highlight w:val="none"/>
          <w14:textFill>
            <w14:solidFill>
              <w14:schemeClr w14:val="tx1"/>
            </w14:solidFill>
          </w14:textFill>
        </w:rPr>
        <w:t>须知前附表。</w:t>
      </w:r>
    </w:p>
    <w:p w14:paraId="6F7894E9">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（三）投标费用</w:t>
      </w:r>
    </w:p>
    <w:p w14:paraId="342DEB4B">
      <w:pPr>
        <w:spacing w:line="360" w:lineRule="auto"/>
        <w:ind w:left="479" w:leftChars="228" w:firstLine="0" w:firstLineChars="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无论评标方法和结果如何，投标人均应自行承担所有与本次投标活动有关的相关费用</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45D9293">
      <w:p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三、招标文件说明</w:t>
      </w:r>
    </w:p>
    <w:p w14:paraId="2790133A">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（一）招标文件的组成</w:t>
      </w:r>
    </w:p>
    <w:p w14:paraId="486FD0C9">
      <w:pPr>
        <w:pStyle w:val="10"/>
        <w:ind w:firstLine="480"/>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1、招标公告</w:t>
      </w:r>
    </w:p>
    <w:p w14:paraId="302DF0EE">
      <w:pPr>
        <w:pStyle w:val="10"/>
        <w:tabs>
          <w:tab w:val="left" w:pos="180"/>
          <w:tab w:val="left" w:pos="360"/>
          <w:tab w:val="left" w:pos="540"/>
        </w:tabs>
        <w:ind w:firstLine="480"/>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2、投标人须知</w:t>
      </w:r>
    </w:p>
    <w:p w14:paraId="5CC2053F">
      <w:pPr>
        <w:pStyle w:val="10"/>
        <w:ind w:firstLine="480"/>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3、项目说明</w:t>
      </w:r>
    </w:p>
    <w:p w14:paraId="1E071B74">
      <w:pPr>
        <w:pStyle w:val="10"/>
        <w:ind w:firstLine="480"/>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4、开标、评标、定标</w:t>
      </w:r>
    </w:p>
    <w:p w14:paraId="284DB37E">
      <w:pPr>
        <w:pStyle w:val="10"/>
        <w:ind w:firstLine="480"/>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5、合同格式</w:t>
      </w:r>
    </w:p>
    <w:p w14:paraId="03C5EA07">
      <w:pPr>
        <w:pStyle w:val="10"/>
        <w:ind w:firstLine="480"/>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6、投标书格式</w:t>
      </w:r>
    </w:p>
    <w:p w14:paraId="00F20EE6">
      <w:pPr>
        <w:pStyle w:val="10"/>
        <w:ind w:firstLine="480"/>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7、政府采购政策。</w:t>
      </w:r>
    </w:p>
    <w:p w14:paraId="4B4C5D93">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（二）招标文件的修改</w:t>
      </w:r>
    </w:p>
    <w:p w14:paraId="780398CB">
      <w:pPr>
        <w:spacing w:line="360" w:lineRule="auto"/>
        <w:ind w:left="2" w:leftChars="1"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对招标文件必要的澄清或修改：详见投标人须知；</w:t>
      </w:r>
    </w:p>
    <w:p w14:paraId="2E6B2EC3">
      <w:pPr>
        <w:spacing w:line="360" w:lineRule="auto"/>
        <w:ind w:left="2" w:leftChars="1"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2、为使投标人有足够的时间按照招标文件的修改要求考虑修正投标文件，</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可酌情推迟投标的截止日期和开标日期，并将此变更通知上述每一潜在投标人。</w:t>
      </w:r>
    </w:p>
    <w:p w14:paraId="678D61EE">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（三）招标文件的澄清</w:t>
      </w:r>
    </w:p>
    <w:p w14:paraId="08C2287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各潜在投标人对招标文件如有疑问可要求澄清，要求澄清的潜在投标人应按照投标须知表规定的时间和方式通知</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将视情况确定采用适当的方式予以澄清或以书面形式予以答复，并在其认为必要时，将不标明查询来源的书面答复发给所有购买招标文件的潜在投标人。</w:t>
      </w:r>
    </w:p>
    <w:p w14:paraId="780116D7">
      <w:p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四、投标文件的编制</w:t>
      </w:r>
    </w:p>
    <w:p w14:paraId="4970F8C2">
      <w:pPr>
        <w:spacing w:line="360" w:lineRule="auto"/>
        <w:ind w:firstLine="480" w:firstLineChars="200"/>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投标人应认真阅读招标文件中所有内容，并按照招标文件的要求提供投标文件，保证所提供的全部资料的真实性、准确性，以使其投标对招标文件</w:t>
      </w:r>
      <w:r>
        <w:rPr>
          <w:rFonts w:hint="eastAsia" w:ascii="宋体" w:hAnsi="宋体" w:cs="宋体"/>
          <w:b w:val="0"/>
          <w:bCs/>
          <w:color w:val="000000" w:themeColor="text1"/>
          <w:sz w:val="24"/>
          <w:szCs w:val="24"/>
          <w:highlight w:val="none"/>
          <w:lang w:eastAsia="zh-CN"/>
          <w14:textFill>
            <w14:solidFill>
              <w14:schemeClr w14:val="tx1"/>
            </w14:solidFill>
          </w14:textFill>
        </w:rPr>
        <w:t>作出</w:t>
      </w:r>
      <w:r>
        <w:rPr>
          <w:rFonts w:hint="eastAsia" w:ascii="宋体" w:hAnsi="宋体" w:cs="宋体"/>
          <w:b w:val="0"/>
          <w:bCs/>
          <w:color w:val="000000" w:themeColor="text1"/>
          <w:sz w:val="24"/>
          <w:szCs w:val="24"/>
          <w:highlight w:val="none"/>
          <w14:textFill>
            <w14:solidFill>
              <w14:schemeClr w14:val="tx1"/>
            </w14:solidFill>
          </w14:textFill>
        </w:rPr>
        <w:t>实质性响应。否则，其投标将被</w:t>
      </w:r>
      <w:r>
        <w:rPr>
          <w:rFonts w:hint="eastAsia" w:ascii="宋体" w:hAnsi="宋体" w:cs="宋体"/>
          <w:b w:val="0"/>
          <w:bCs/>
          <w:color w:val="000000" w:themeColor="text1"/>
          <w:sz w:val="24"/>
          <w:szCs w:val="24"/>
          <w:highlight w:val="none"/>
          <w:lang w:eastAsia="zh-CN"/>
          <w14:textFill>
            <w14:solidFill>
              <w14:schemeClr w14:val="tx1"/>
            </w14:solidFill>
          </w14:textFill>
        </w:rPr>
        <w:t>作</w:t>
      </w:r>
      <w:r>
        <w:rPr>
          <w:rFonts w:hint="eastAsia" w:ascii="宋体" w:hAnsi="宋体" w:cs="宋体"/>
          <w:b w:val="0"/>
          <w:bCs/>
          <w:color w:val="000000" w:themeColor="text1"/>
          <w:sz w:val="24"/>
          <w:szCs w:val="24"/>
          <w:highlight w:val="none"/>
          <w14:textFill>
            <w14:solidFill>
              <w14:schemeClr w14:val="tx1"/>
            </w14:solidFill>
          </w14:textFill>
        </w:rPr>
        <w:t>为无效投标。</w:t>
      </w:r>
    </w:p>
    <w:p w14:paraId="5903A426">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（一）投标文件的组成（以电子标系统中为准）</w:t>
      </w:r>
    </w:p>
    <w:p w14:paraId="39AC57FA">
      <w:pPr>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1、投标文件格式</w:t>
      </w:r>
    </w:p>
    <w:p w14:paraId="77C0077A">
      <w:pPr>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（1）封面</w:t>
      </w:r>
    </w:p>
    <w:p w14:paraId="0B37F213">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2、开标一览表及</w:t>
      </w:r>
      <w:r>
        <w:rPr>
          <w:rFonts w:hint="eastAsia" w:ascii="宋体" w:hAnsi="宋体" w:cs="宋体"/>
          <w:b w:val="0"/>
          <w:bCs/>
          <w:color w:val="000000" w:themeColor="text1"/>
          <w:sz w:val="24"/>
          <w:szCs w:val="24"/>
          <w:highlight w:val="none"/>
          <w14:textFill>
            <w14:solidFill>
              <w14:schemeClr w14:val="tx1"/>
            </w14:solidFill>
          </w14:textFill>
        </w:rPr>
        <w:t>投标函</w:t>
      </w:r>
    </w:p>
    <w:p w14:paraId="0B4471CF">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（1）开标一览表</w:t>
      </w:r>
    </w:p>
    <w:p w14:paraId="4B9CC113">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w:t>
      </w:r>
      <w:r>
        <w:rPr>
          <w:rFonts w:hint="eastAsia" w:ascii="宋体" w:hAnsi="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cs="宋体"/>
          <w:b w:val="0"/>
          <w:bCs/>
          <w:color w:val="000000" w:themeColor="text1"/>
          <w:sz w:val="24"/>
          <w:szCs w:val="24"/>
          <w:highlight w:val="none"/>
          <w:lang w:eastAsia="zh-CN"/>
          <w14:textFill>
            <w14:solidFill>
              <w14:schemeClr w14:val="tx1"/>
            </w14:solidFill>
          </w14:textFill>
        </w:rPr>
        <w:t>）</w:t>
      </w:r>
      <w:r>
        <w:rPr>
          <w:rFonts w:hint="eastAsia" w:ascii="宋体" w:hAnsi="宋体" w:cs="宋体"/>
          <w:b w:val="0"/>
          <w:bCs/>
          <w:color w:val="000000" w:themeColor="text1"/>
          <w:sz w:val="24"/>
          <w:szCs w:val="24"/>
          <w:highlight w:val="none"/>
          <w14:textFill>
            <w14:solidFill>
              <w14:schemeClr w14:val="tx1"/>
            </w14:solidFill>
          </w14:textFill>
        </w:rPr>
        <w:t>投标函</w:t>
      </w:r>
    </w:p>
    <w:p w14:paraId="77C2AF9A">
      <w:pPr>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3、资信标</w:t>
      </w:r>
    </w:p>
    <w:p w14:paraId="2BD8A973">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w:t>
      </w:r>
      <w:r>
        <w:rPr>
          <w:rFonts w:hint="eastAsia" w:ascii="宋体" w:hAnsi="宋体" w:cs="宋体"/>
          <w:b w:val="0"/>
          <w:bCs/>
          <w:color w:val="000000" w:themeColor="text1"/>
          <w:sz w:val="24"/>
          <w:szCs w:val="24"/>
          <w:highlight w:val="none"/>
          <w:lang w:val="en-US" w:eastAsia="zh-CN"/>
          <w14:textFill>
            <w14:solidFill>
              <w14:schemeClr w14:val="tx1"/>
            </w14:solidFill>
          </w14:textFill>
        </w:rPr>
        <w:t>1</w:t>
      </w:r>
      <w:r>
        <w:rPr>
          <w:rFonts w:hint="eastAsia" w:ascii="宋体" w:hAnsi="宋体" w:cs="宋体"/>
          <w:b w:val="0"/>
          <w:bCs/>
          <w:color w:val="000000" w:themeColor="text1"/>
          <w:sz w:val="24"/>
          <w:szCs w:val="24"/>
          <w:highlight w:val="none"/>
          <w:lang w:eastAsia="zh-CN"/>
          <w14:textFill>
            <w14:solidFill>
              <w14:schemeClr w14:val="tx1"/>
            </w14:solidFill>
          </w14:textFill>
        </w:rPr>
        <w:t>）</w:t>
      </w:r>
      <w:r>
        <w:rPr>
          <w:rFonts w:hint="eastAsia" w:ascii="宋体" w:hAnsi="宋体" w:cs="宋体"/>
          <w:b w:val="0"/>
          <w:bCs/>
          <w:color w:val="000000" w:themeColor="text1"/>
          <w:sz w:val="24"/>
          <w:szCs w:val="24"/>
          <w:highlight w:val="none"/>
          <w14:textFill>
            <w14:solidFill>
              <w14:schemeClr w14:val="tx1"/>
            </w14:solidFill>
          </w14:textFill>
        </w:rPr>
        <w:t>法定代表人身份证明</w:t>
      </w:r>
    </w:p>
    <w:p w14:paraId="0FBFD7A8">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w:t>
      </w:r>
      <w:r>
        <w:rPr>
          <w:rFonts w:hint="eastAsia" w:ascii="宋体" w:hAnsi="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cs="宋体"/>
          <w:b w:val="0"/>
          <w:bCs/>
          <w:color w:val="000000" w:themeColor="text1"/>
          <w:sz w:val="24"/>
          <w:szCs w:val="24"/>
          <w:highlight w:val="none"/>
          <w:lang w:eastAsia="zh-CN"/>
          <w14:textFill>
            <w14:solidFill>
              <w14:schemeClr w14:val="tx1"/>
            </w14:solidFill>
          </w14:textFill>
        </w:rPr>
        <w:t>）法人</w:t>
      </w:r>
      <w:r>
        <w:rPr>
          <w:rFonts w:hint="eastAsia" w:ascii="宋体" w:hAnsi="宋体" w:cs="宋体"/>
          <w:b w:val="0"/>
          <w:bCs/>
          <w:color w:val="000000" w:themeColor="text1"/>
          <w:sz w:val="24"/>
          <w:szCs w:val="24"/>
          <w:highlight w:val="none"/>
          <w14:textFill>
            <w14:solidFill>
              <w14:schemeClr w14:val="tx1"/>
            </w14:solidFill>
          </w14:textFill>
        </w:rPr>
        <w:t>授权委托书</w:t>
      </w:r>
    </w:p>
    <w:p w14:paraId="0D4D50B3">
      <w:pPr>
        <w:spacing w:line="360" w:lineRule="auto"/>
        <w:rPr>
          <w:rFonts w:hint="eastAsia" w:ascii="宋体" w:hAnsi="宋体" w:cs="宋体"/>
          <w:b w:val="0"/>
          <w:bCs/>
          <w:color w:val="000000" w:themeColor="text1"/>
          <w:sz w:val="24"/>
          <w:szCs w:val="24"/>
          <w:highlight w:val="none"/>
          <w:lang w:eastAsia="zh-CN"/>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w:t>
      </w:r>
      <w:r>
        <w:rPr>
          <w:rFonts w:hint="eastAsia" w:ascii="宋体" w:hAnsi="宋体" w:cs="宋体"/>
          <w:b w:val="0"/>
          <w:bCs/>
          <w:color w:val="000000" w:themeColor="text1"/>
          <w:sz w:val="24"/>
          <w:szCs w:val="24"/>
          <w:highlight w:val="none"/>
          <w:lang w:val="en-US" w:eastAsia="zh-CN"/>
          <w14:textFill>
            <w14:solidFill>
              <w14:schemeClr w14:val="tx1"/>
            </w14:solidFill>
          </w14:textFill>
        </w:rPr>
        <w:t>3</w:t>
      </w:r>
      <w:r>
        <w:rPr>
          <w:rFonts w:hint="eastAsia" w:ascii="宋体" w:hAnsi="宋体" w:cs="宋体"/>
          <w:b w:val="0"/>
          <w:bCs/>
          <w:color w:val="000000" w:themeColor="text1"/>
          <w:sz w:val="24"/>
          <w:szCs w:val="24"/>
          <w:highlight w:val="none"/>
          <w:lang w:eastAsia="zh-CN"/>
          <w14:textFill>
            <w14:solidFill>
              <w14:schemeClr w14:val="tx1"/>
            </w14:solidFill>
          </w14:textFill>
        </w:rPr>
        <w:t>）联合体协议</w:t>
      </w:r>
      <w:r>
        <w:rPr>
          <w:rFonts w:hint="eastAsia" w:ascii="宋体" w:hAnsi="宋体" w:cs="宋体"/>
          <w:b w:val="0"/>
          <w:bCs/>
          <w:color w:val="000000" w:themeColor="text1"/>
          <w:sz w:val="24"/>
          <w:szCs w:val="24"/>
          <w:highlight w:val="none"/>
          <w14:textFill>
            <w14:solidFill>
              <w14:schemeClr w14:val="tx1"/>
            </w14:solidFill>
          </w14:textFill>
        </w:rPr>
        <w:t>（本项目不适用）</w:t>
      </w:r>
    </w:p>
    <w:p w14:paraId="76F34B16">
      <w:pPr>
        <w:spacing w:line="360" w:lineRule="auto"/>
        <w:rPr>
          <w:rFonts w:hint="eastAsia" w:ascii="宋体" w:hAnsi="宋体" w:cs="宋体"/>
          <w:b w:val="0"/>
          <w:bCs/>
          <w:color w:val="000000" w:themeColor="text1"/>
          <w:sz w:val="24"/>
          <w:szCs w:val="24"/>
          <w:highlight w:val="none"/>
          <w:lang w:eastAsia="zh-CN"/>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w:t>
      </w:r>
      <w:r>
        <w:rPr>
          <w:rFonts w:hint="eastAsia" w:ascii="宋体" w:hAnsi="宋体" w:cs="宋体"/>
          <w:b w:val="0"/>
          <w:bCs/>
          <w:color w:val="000000" w:themeColor="text1"/>
          <w:sz w:val="24"/>
          <w:szCs w:val="24"/>
          <w:highlight w:val="none"/>
          <w:lang w:val="en-US" w:eastAsia="zh-CN"/>
          <w14:textFill>
            <w14:solidFill>
              <w14:schemeClr w14:val="tx1"/>
            </w14:solidFill>
          </w14:textFill>
        </w:rPr>
        <w:t>4</w:t>
      </w:r>
      <w:r>
        <w:rPr>
          <w:rFonts w:hint="eastAsia" w:ascii="宋体" w:hAnsi="宋体" w:cs="宋体"/>
          <w:b w:val="0"/>
          <w:bCs/>
          <w:color w:val="000000" w:themeColor="text1"/>
          <w:sz w:val="24"/>
          <w:szCs w:val="24"/>
          <w:highlight w:val="none"/>
          <w:lang w:eastAsia="zh-CN"/>
          <w14:textFill>
            <w14:solidFill>
              <w14:schemeClr w14:val="tx1"/>
            </w14:solidFill>
          </w14:textFill>
        </w:rPr>
        <w:t>）资格审查资料</w:t>
      </w:r>
    </w:p>
    <w:p w14:paraId="6F4C2E6C">
      <w:pPr>
        <w:spacing w:line="360" w:lineRule="auto"/>
        <w:rPr>
          <w:rFonts w:hint="eastAsia" w:ascii="宋体" w:hAnsi="宋体" w:cs="宋体"/>
          <w:b w:val="0"/>
          <w:bCs/>
          <w:color w:val="000000" w:themeColor="text1"/>
          <w:sz w:val="24"/>
          <w:szCs w:val="24"/>
          <w:highlight w:val="none"/>
          <w:lang w:eastAsia="zh-CN"/>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w:t>
      </w:r>
      <w:r>
        <w:rPr>
          <w:rFonts w:hint="eastAsia" w:ascii="宋体" w:hAnsi="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cs="宋体"/>
          <w:b w:val="0"/>
          <w:bCs/>
          <w:color w:val="000000" w:themeColor="text1"/>
          <w:sz w:val="24"/>
          <w:szCs w:val="24"/>
          <w:highlight w:val="none"/>
          <w:lang w:eastAsia="zh-CN"/>
          <w14:textFill>
            <w14:solidFill>
              <w14:schemeClr w14:val="tx1"/>
            </w14:solidFill>
          </w14:textFill>
        </w:rPr>
        <w:t>）近年完成类似业绩</w:t>
      </w:r>
    </w:p>
    <w:p w14:paraId="23908D0A">
      <w:pPr>
        <w:spacing w:line="360" w:lineRule="auto"/>
        <w:rPr>
          <w:rFonts w:hint="eastAsia" w:ascii="宋体" w:hAnsi="宋体" w:cs="宋体"/>
          <w:b w:val="0"/>
          <w:bCs/>
          <w:color w:val="000000" w:themeColor="text1"/>
          <w:sz w:val="24"/>
          <w:szCs w:val="24"/>
          <w:highlight w:val="none"/>
          <w:lang w:eastAsia="zh-CN"/>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w:t>
      </w:r>
      <w:r>
        <w:rPr>
          <w:rFonts w:hint="eastAsia" w:ascii="宋体" w:hAnsi="宋体" w:cs="宋体"/>
          <w:b w:val="0"/>
          <w:bCs/>
          <w:color w:val="000000" w:themeColor="text1"/>
          <w:sz w:val="24"/>
          <w:szCs w:val="24"/>
          <w:highlight w:val="none"/>
          <w:lang w:val="en-US" w:eastAsia="zh-CN"/>
          <w14:textFill>
            <w14:solidFill>
              <w14:schemeClr w14:val="tx1"/>
            </w14:solidFill>
          </w14:textFill>
        </w:rPr>
        <w:t>6</w:t>
      </w:r>
      <w:r>
        <w:rPr>
          <w:rFonts w:hint="eastAsia" w:ascii="宋体" w:hAnsi="宋体" w:cs="宋体"/>
          <w:b w:val="0"/>
          <w:bCs/>
          <w:color w:val="000000" w:themeColor="text1"/>
          <w:sz w:val="24"/>
          <w:szCs w:val="24"/>
          <w:highlight w:val="none"/>
          <w:lang w:eastAsia="zh-CN"/>
          <w14:textFill>
            <w14:solidFill>
              <w14:schemeClr w14:val="tx1"/>
            </w14:solidFill>
          </w14:textFill>
        </w:rPr>
        <w:t>）拟投入本项目从业人员</w:t>
      </w:r>
    </w:p>
    <w:p w14:paraId="5E1543B9">
      <w:pPr>
        <w:spacing w:line="360" w:lineRule="auto"/>
        <w:rPr>
          <w:rFonts w:hint="eastAsia" w:ascii="宋体" w:hAnsi="宋体" w:cs="宋体"/>
          <w:b w:val="0"/>
          <w:bCs/>
          <w:color w:val="000000" w:themeColor="text1"/>
          <w:sz w:val="24"/>
          <w:szCs w:val="24"/>
          <w:highlight w:val="none"/>
          <w:lang w:eastAsia="zh-CN"/>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w:t>
      </w:r>
      <w:r>
        <w:rPr>
          <w:rFonts w:hint="eastAsia" w:ascii="宋体" w:hAnsi="宋体" w:cs="宋体"/>
          <w:b w:val="0"/>
          <w:bCs/>
          <w:color w:val="000000" w:themeColor="text1"/>
          <w:sz w:val="24"/>
          <w:szCs w:val="24"/>
          <w:highlight w:val="none"/>
          <w:lang w:val="en-US" w:eastAsia="zh-CN"/>
          <w14:textFill>
            <w14:solidFill>
              <w14:schemeClr w14:val="tx1"/>
            </w14:solidFill>
          </w14:textFill>
        </w:rPr>
        <w:t>7</w:t>
      </w:r>
      <w:r>
        <w:rPr>
          <w:rFonts w:hint="eastAsia" w:ascii="宋体" w:hAnsi="宋体" w:cs="宋体"/>
          <w:b w:val="0"/>
          <w:bCs/>
          <w:color w:val="000000" w:themeColor="text1"/>
          <w:sz w:val="24"/>
          <w:szCs w:val="24"/>
          <w:highlight w:val="none"/>
          <w:lang w:eastAsia="zh-CN"/>
          <w14:textFill>
            <w14:solidFill>
              <w14:schemeClr w14:val="tx1"/>
            </w14:solidFill>
          </w14:textFill>
        </w:rPr>
        <w:t>）企业获奖</w:t>
      </w:r>
    </w:p>
    <w:p w14:paraId="003B74CB">
      <w:pPr>
        <w:spacing w:line="360" w:lineRule="auto"/>
        <w:rPr>
          <w:rFonts w:hint="eastAsia" w:ascii="宋体" w:hAnsi="宋体" w:cs="宋体"/>
          <w:b w:val="0"/>
          <w:bCs/>
          <w:color w:val="000000" w:themeColor="text1"/>
          <w:sz w:val="24"/>
          <w:szCs w:val="24"/>
          <w:highlight w:val="none"/>
          <w:lang w:eastAsia="zh-CN"/>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w:t>
      </w:r>
      <w:r>
        <w:rPr>
          <w:rFonts w:hint="eastAsia" w:ascii="宋体" w:hAnsi="宋体" w:cs="宋体"/>
          <w:b w:val="0"/>
          <w:bCs/>
          <w:color w:val="000000" w:themeColor="text1"/>
          <w:sz w:val="24"/>
          <w:szCs w:val="24"/>
          <w:highlight w:val="none"/>
          <w:lang w:val="en-US" w:eastAsia="zh-CN"/>
          <w14:textFill>
            <w14:solidFill>
              <w14:schemeClr w14:val="tx1"/>
            </w14:solidFill>
          </w14:textFill>
        </w:rPr>
        <w:t>8</w:t>
      </w:r>
      <w:r>
        <w:rPr>
          <w:rFonts w:hint="eastAsia" w:ascii="宋体" w:hAnsi="宋体" w:cs="宋体"/>
          <w:b w:val="0"/>
          <w:bCs/>
          <w:color w:val="000000" w:themeColor="text1"/>
          <w:sz w:val="24"/>
          <w:szCs w:val="24"/>
          <w:highlight w:val="none"/>
          <w:lang w:eastAsia="zh-CN"/>
          <w14:textFill>
            <w14:solidFill>
              <w14:schemeClr w14:val="tx1"/>
            </w14:solidFill>
          </w14:textFill>
        </w:rPr>
        <w:t>）企业各类证书</w:t>
      </w:r>
    </w:p>
    <w:p w14:paraId="786AA43B">
      <w:pPr>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（9）商务和技术偏差表</w:t>
      </w:r>
    </w:p>
    <w:p w14:paraId="5C17C30A">
      <w:pPr>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4、商务标</w:t>
      </w:r>
    </w:p>
    <w:p w14:paraId="387C55EC">
      <w:pPr>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（1）分项报价表</w:t>
      </w:r>
    </w:p>
    <w:p w14:paraId="57127A0A">
      <w:pPr>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（2）节能环保产品证明（若有）</w:t>
      </w:r>
    </w:p>
    <w:p w14:paraId="386EA142">
      <w:pPr>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（3）强制节能清单（若有）</w:t>
      </w:r>
    </w:p>
    <w:p w14:paraId="418EA429">
      <w:pPr>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（4）小微企业证明</w:t>
      </w:r>
    </w:p>
    <w:p w14:paraId="4BB2938B">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5、技术标</w:t>
      </w:r>
    </w:p>
    <w:p w14:paraId="737F2092">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）按照招标文件中明确的投标文件目录和技术标格式进行编制</w:t>
      </w:r>
      <w:r>
        <w:rPr>
          <w:rFonts w:hint="eastAsia" w:ascii="宋体" w:hAnsi="宋体" w:eastAsia="宋体" w:cs="宋体"/>
          <w:sz w:val="24"/>
          <w:szCs w:val="24"/>
          <w:highlight w:val="none"/>
          <w:lang w:val="en-US" w:eastAsia="zh-CN"/>
        </w:rPr>
        <w:t>，保证目录清晰、内容完整。</w:t>
      </w:r>
    </w:p>
    <w:p w14:paraId="18AF055F">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6、投标提供的其他材料</w:t>
      </w:r>
    </w:p>
    <w:p w14:paraId="20C7CF65">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（二）投标文件的语言要求及计量单位</w:t>
      </w:r>
    </w:p>
    <w:p w14:paraId="64BA412F">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1、投标人提交的投标文件及投标人就有关投标的所有来往函电均应使用标准简体中文。投标人可以提交用其他语言印制的资料，但必须译成中文，在有差异和矛盾时以中文材料为准；</w:t>
      </w:r>
    </w:p>
    <w:p w14:paraId="499F95DB">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2、除招标文件的技术规格中另有规定外，投标文件中所使用的计量单位须使用中华人民共和国法定计量单位。</w:t>
      </w:r>
    </w:p>
    <w:p w14:paraId="0A14DC8A">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（三）投标文件的格式要求</w:t>
      </w:r>
    </w:p>
    <w:p w14:paraId="621427F1">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1、电子</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签章要求：</w:t>
      </w:r>
    </w:p>
    <w:p w14:paraId="3C406626">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投标文件封面、开标一览表及电子招标文件规定的其它应签章/签字处。未按要求进行签章/签字的投标文件，作无效处理。</w:t>
      </w:r>
    </w:p>
    <w:p w14:paraId="723C77FD">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2、</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的份数：</w:t>
      </w:r>
    </w:p>
    <w:p w14:paraId="1AAE7A03">
      <w:pPr>
        <w:spacing w:line="360" w:lineRule="auto"/>
        <w:ind w:left="0" w:leftChars="0" w:firstLine="420" w:firstLineChars="175"/>
        <w:rPr>
          <w:rFonts w:hint="eastAsia" w:ascii="宋体" w:hAnsi="宋体" w:eastAsia="宋体" w:cs="宋体"/>
          <w:color w:val="000000"/>
          <w:sz w:val="24"/>
          <w:szCs w:val="24"/>
          <w:highlight w:val="none"/>
        </w:rPr>
      </w:pPr>
      <w:r>
        <w:rPr>
          <w:rFonts w:hint="eastAsia" w:ascii="宋体" w:hAnsi="宋体" w:cs="宋体"/>
          <w:b w:val="0"/>
          <w:bCs/>
          <w:color w:val="000000" w:themeColor="text1"/>
          <w:sz w:val="24"/>
          <w:szCs w:val="24"/>
          <w:highlight w:val="none"/>
          <w14:textFill>
            <w14:solidFill>
              <w14:schemeClr w14:val="tx1"/>
            </w14:solidFill>
          </w14:textFill>
        </w:rPr>
        <w:t>电子投标文件：</w:t>
      </w:r>
      <w:r>
        <w:rPr>
          <w:rFonts w:hint="eastAsia" w:ascii="宋体" w:hAnsi="宋体" w:eastAsia="宋体" w:cs="宋体"/>
          <w:color w:val="000000"/>
          <w:sz w:val="24"/>
          <w:szCs w:val="24"/>
          <w:highlight w:val="none"/>
        </w:rPr>
        <w:t>加密文件1份，为.lctf文件，在会员系统中上传；</w:t>
      </w:r>
    </w:p>
    <w:p w14:paraId="658733AE">
      <w:pPr>
        <w:spacing w:line="360" w:lineRule="auto"/>
        <w:ind w:left="0" w:leftChars="0" w:firstLine="420" w:firstLineChars="175"/>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若中标，中标人还需提交</w:t>
      </w:r>
      <w:r>
        <w:rPr>
          <w:rFonts w:hint="eastAsia" w:ascii="宋体" w:hAnsi="宋体" w:cs="宋体"/>
          <w:b w:val="0"/>
          <w:bCs/>
          <w:color w:val="000000" w:themeColor="text1"/>
          <w:sz w:val="24"/>
          <w:szCs w:val="24"/>
          <w:highlight w:val="none"/>
          <w:lang w:eastAsia="zh-CN"/>
          <w14:textFill>
            <w14:solidFill>
              <w14:schemeClr w14:val="tx1"/>
            </w14:solidFill>
          </w14:textFill>
        </w:rPr>
        <w:t>四份</w:t>
      </w:r>
      <w:r>
        <w:rPr>
          <w:rFonts w:hint="eastAsia" w:ascii="宋体" w:hAnsi="宋体" w:cs="宋体"/>
          <w:b w:val="0"/>
          <w:bCs/>
          <w:color w:val="000000" w:themeColor="text1"/>
          <w:sz w:val="24"/>
          <w:szCs w:val="24"/>
          <w:highlight w:val="none"/>
          <w14:textFill>
            <w14:solidFill>
              <w14:schemeClr w14:val="tx1"/>
            </w14:solidFill>
          </w14:textFill>
        </w:rPr>
        <w:t>胶装的系统内生成的PDF版纸质投标文件，并按要求加盖公章。</w:t>
      </w:r>
    </w:p>
    <w:p w14:paraId="638AE0F7">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 3、电子</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的制作：</w:t>
      </w:r>
    </w:p>
    <w:p w14:paraId="50216759">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（1）</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制作时，不同内容按标签提示制作导入，按照</w:t>
      </w:r>
      <w:r>
        <w:rPr>
          <w:rFonts w:hint="eastAsia" w:ascii="宋体" w:hAnsi="宋体" w:cs="宋体"/>
          <w:b w:val="0"/>
          <w:bCs/>
          <w:color w:val="000000" w:themeColor="text1"/>
          <w:sz w:val="24"/>
          <w:szCs w:val="24"/>
          <w:highlight w:val="none"/>
          <w:lang w:eastAsia="zh-CN"/>
          <w14:textFill>
            <w14:solidFill>
              <w14:schemeClr w14:val="tx1"/>
            </w14:solidFill>
          </w14:textFill>
        </w:rPr>
        <w:t>招标文件</w:t>
      </w:r>
      <w:r>
        <w:rPr>
          <w:rFonts w:hint="eastAsia" w:ascii="宋体" w:hAnsi="宋体" w:cs="宋体"/>
          <w:b w:val="0"/>
          <w:bCs/>
          <w:color w:val="000000" w:themeColor="text1"/>
          <w:sz w:val="24"/>
          <w:szCs w:val="24"/>
          <w:highlight w:val="none"/>
          <w14:textFill>
            <w14:solidFill>
              <w14:schemeClr w14:val="tx1"/>
            </w14:solidFill>
          </w14:textFill>
        </w:rPr>
        <w:t>中明确的</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目录和技术标格式进行编制，保证目录清晰、内容完整。</w:t>
      </w:r>
    </w:p>
    <w:p w14:paraId="4D84721F">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（2）</w:t>
      </w:r>
      <w:r>
        <w:rPr>
          <w:rFonts w:hint="eastAsia" w:ascii="宋体" w:hAnsi="宋体" w:cs="宋体"/>
          <w:b w:val="0"/>
          <w:bCs/>
          <w:color w:val="000000" w:themeColor="text1"/>
          <w:sz w:val="24"/>
          <w:szCs w:val="24"/>
          <w:highlight w:val="none"/>
          <w:lang w:eastAsia="zh-CN"/>
          <w14:textFill>
            <w14:solidFill>
              <w14:schemeClr w14:val="tx1"/>
            </w14:solidFill>
          </w14:textFill>
        </w:rPr>
        <w:t>投标人</w:t>
      </w:r>
      <w:r>
        <w:rPr>
          <w:rFonts w:hint="eastAsia" w:ascii="宋体" w:hAnsi="宋体" w:cs="宋体"/>
          <w:b w:val="0"/>
          <w:bCs/>
          <w:color w:val="000000" w:themeColor="text1"/>
          <w:sz w:val="24"/>
          <w:szCs w:val="24"/>
          <w:highlight w:val="none"/>
          <w14:textFill>
            <w14:solidFill>
              <w14:schemeClr w14:val="tx1"/>
            </w14:solidFill>
          </w14:textFill>
        </w:rPr>
        <w:t>递交的电子</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因</w:t>
      </w:r>
      <w:r>
        <w:rPr>
          <w:rFonts w:hint="eastAsia" w:ascii="宋体" w:hAnsi="宋体" w:cs="宋体"/>
          <w:b w:val="0"/>
          <w:bCs/>
          <w:color w:val="000000" w:themeColor="text1"/>
          <w:sz w:val="24"/>
          <w:szCs w:val="24"/>
          <w:highlight w:val="none"/>
          <w:lang w:eastAsia="zh-CN"/>
          <w14:textFill>
            <w14:solidFill>
              <w14:schemeClr w14:val="tx1"/>
            </w14:solidFill>
          </w14:textFill>
        </w:rPr>
        <w:t>投标人</w:t>
      </w:r>
      <w:r>
        <w:rPr>
          <w:rFonts w:hint="eastAsia" w:ascii="宋体" w:hAnsi="宋体" w:cs="宋体"/>
          <w:b w:val="0"/>
          <w:bCs/>
          <w:color w:val="000000" w:themeColor="text1"/>
          <w:sz w:val="24"/>
          <w:szCs w:val="24"/>
          <w:highlight w:val="none"/>
          <w14:textFill>
            <w14:solidFill>
              <w14:schemeClr w14:val="tx1"/>
            </w14:solidFill>
          </w14:textFill>
        </w:rPr>
        <w:t>自身原因而导致无法导入电子辅助评标系统，该</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视为无效</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w:t>
      </w:r>
    </w:p>
    <w:p w14:paraId="500E0617">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（3）电子招</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具有法律效力,与其他形式的招</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在内容和格式上等同，若</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与</w:t>
      </w:r>
      <w:r>
        <w:rPr>
          <w:rFonts w:hint="eastAsia" w:ascii="宋体" w:hAnsi="宋体" w:cs="宋体"/>
          <w:b w:val="0"/>
          <w:bCs/>
          <w:color w:val="000000" w:themeColor="text1"/>
          <w:sz w:val="24"/>
          <w:szCs w:val="24"/>
          <w:highlight w:val="none"/>
          <w:lang w:eastAsia="zh-CN"/>
          <w14:textFill>
            <w14:solidFill>
              <w14:schemeClr w14:val="tx1"/>
            </w14:solidFill>
          </w14:textFill>
        </w:rPr>
        <w:t>招标文件</w:t>
      </w:r>
      <w:r>
        <w:rPr>
          <w:rFonts w:hint="eastAsia" w:ascii="宋体" w:hAnsi="宋体" w:cs="宋体"/>
          <w:b w:val="0"/>
          <w:bCs/>
          <w:color w:val="000000" w:themeColor="text1"/>
          <w:sz w:val="24"/>
          <w:szCs w:val="24"/>
          <w:highlight w:val="none"/>
          <w14:textFill>
            <w14:solidFill>
              <w14:schemeClr w14:val="tx1"/>
            </w14:solidFill>
          </w14:textFill>
        </w:rPr>
        <w:t>要求不一致，其内容影响</w:t>
      </w:r>
      <w:r>
        <w:rPr>
          <w:rFonts w:hint="eastAsia" w:ascii="宋体" w:hAnsi="宋体" w:cs="宋体"/>
          <w:b w:val="0"/>
          <w:bCs/>
          <w:color w:val="000000" w:themeColor="text1"/>
          <w:sz w:val="24"/>
          <w:szCs w:val="24"/>
          <w:highlight w:val="none"/>
          <w:lang w:eastAsia="zh-CN"/>
          <w14:textFill>
            <w14:solidFill>
              <w14:schemeClr w14:val="tx1"/>
            </w14:solidFill>
          </w14:textFill>
        </w:rPr>
        <w:t>中标</w:t>
      </w:r>
      <w:r>
        <w:rPr>
          <w:rFonts w:hint="eastAsia" w:ascii="宋体" w:hAnsi="宋体" w:cs="宋体"/>
          <w:b w:val="0"/>
          <w:bCs/>
          <w:color w:val="000000" w:themeColor="text1"/>
          <w:sz w:val="24"/>
          <w:szCs w:val="24"/>
          <w:highlight w:val="none"/>
          <w14:textFill>
            <w14:solidFill>
              <w14:schemeClr w14:val="tx1"/>
            </w14:solidFill>
          </w14:textFill>
        </w:rPr>
        <w:t>结果时，责任由</w:t>
      </w:r>
      <w:r>
        <w:rPr>
          <w:rFonts w:hint="eastAsia" w:ascii="宋体" w:hAnsi="宋体" w:cs="宋体"/>
          <w:b w:val="0"/>
          <w:bCs/>
          <w:color w:val="000000" w:themeColor="text1"/>
          <w:sz w:val="24"/>
          <w:szCs w:val="24"/>
          <w:highlight w:val="none"/>
          <w:lang w:eastAsia="zh-CN"/>
          <w14:textFill>
            <w14:solidFill>
              <w14:schemeClr w14:val="tx1"/>
            </w14:solidFill>
          </w14:textFill>
        </w:rPr>
        <w:t>投标人</w:t>
      </w:r>
      <w:r>
        <w:rPr>
          <w:rFonts w:hint="eastAsia" w:ascii="宋体" w:hAnsi="宋体" w:cs="宋体"/>
          <w:b w:val="0"/>
          <w:bCs/>
          <w:color w:val="000000" w:themeColor="text1"/>
          <w:sz w:val="24"/>
          <w:szCs w:val="24"/>
          <w:highlight w:val="none"/>
          <w14:textFill>
            <w14:solidFill>
              <w14:schemeClr w14:val="tx1"/>
            </w14:solidFill>
          </w14:textFill>
        </w:rPr>
        <w:t>自行承担。</w:t>
      </w:r>
    </w:p>
    <w:p w14:paraId="5FEECD4B">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（4）为了保证电子标书的合法性、安全性和完整性，电子标书转换完成后，应在规定部位加盖</w:t>
      </w:r>
      <w:r>
        <w:rPr>
          <w:rFonts w:hint="eastAsia" w:ascii="宋体" w:hAnsi="宋体" w:cs="宋体"/>
          <w:b w:val="0"/>
          <w:bCs/>
          <w:color w:val="000000" w:themeColor="text1"/>
          <w:sz w:val="24"/>
          <w:szCs w:val="24"/>
          <w:highlight w:val="none"/>
          <w:lang w:eastAsia="zh-CN"/>
          <w14:textFill>
            <w14:solidFill>
              <w14:schemeClr w14:val="tx1"/>
            </w14:solidFill>
          </w14:textFill>
        </w:rPr>
        <w:t>投标人</w:t>
      </w:r>
      <w:r>
        <w:rPr>
          <w:rFonts w:hint="eastAsia" w:ascii="宋体" w:hAnsi="宋体" w:cs="宋体"/>
          <w:b w:val="0"/>
          <w:bCs/>
          <w:color w:val="000000" w:themeColor="text1"/>
          <w:sz w:val="24"/>
          <w:szCs w:val="24"/>
          <w:highlight w:val="none"/>
          <w14:textFill>
            <w14:solidFill>
              <w14:schemeClr w14:val="tx1"/>
            </w14:solidFill>
          </w14:textFill>
        </w:rPr>
        <w:t>单位电子签章和法定代表人CA印章。</w:t>
      </w:r>
    </w:p>
    <w:p w14:paraId="76C9CB46">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4</w:t>
      </w:r>
      <w:r>
        <w:rPr>
          <w:rFonts w:hint="eastAsia" w:ascii="宋体" w:hAnsi="宋体" w:cs="宋体"/>
          <w:b w:val="0"/>
          <w:bCs/>
          <w:color w:val="000000" w:themeColor="text1"/>
          <w:sz w:val="24"/>
          <w:szCs w:val="24"/>
          <w:highlight w:val="none"/>
          <w14:textFill>
            <w14:solidFill>
              <w14:schemeClr w14:val="tx1"/>
            </w14:solidFill>
          </w14:textFill>
        </w:rPr>
        <w:t>、</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因字迹不清晰或表达不清楚所引起的后果由</w:t>
      </w:r>
      <w:r>
        <w:rPr>
          <w:rFonts w:hint="eastAsia" w:ascii="宋体" w:hAnsi="宋体" w:cs="宋体"/>
          <w:b w:val="0"/>
          <w:bCs/>
          <w:color w:val="000000" w:themeColor="text1"/>
          <w:sz w:val="24"/>
          <w:szCs w:val="24"/>
          <w:highlight w:val="none"/>
          <w:lang w:eastAsia="zh-CN"/>
          <w14:textFill>
            <w14:solidFill>
              <w14:schemeClr w14:val="tx1"/>
            </w14:solidFill>
          </w14:textFill>
        </w:rPr>
        <w:t>投标人</w:t>
      </w:r>
      <w:r>
        <w:rPr>
          <w:rFonts w:hint="eastAsia" w:ascii="宋体" w:hAnsi="宋体" w:cs="宋体"/>
          <w:b w:val="0"/>
          <w:bCs/>
          <w:color w:val="000000" w:themeColor="text1"/>
          <w:sz w:val="24"/>
          <w:szCs w:val="24"/>
          <w:highlight w:val="none"/>
          <w14:textFill>
            <w14:solidFill>
              <w14:schemeClr w14:val="tx1"/>
            </w14:solidFill>
          </w14:textFill>
        </w:rPr>
        <w:t>负责；</w:t>
      </w:r>
    </w:p>
    <w:p w14:paraId="7DDA6280">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cs="宋体"/>
          <w:b w:val="0"/>
          <w:bCs/>
          <w:color w:val="000000" w:themeColor="text1"/>
          <w:sz w:val="24"/>
          <w:szCs w:val="24"/>
          <w:highlight w:val="none"/>
          <w14:textFill>
            <w14:solidFill>
              <w14:schemeClr w14:val="tx1"/>
            </w14:solidFill>
          </w14:textFill>
        </w:rPr>
        <w:t>、电子邮件、电话、传真形式的</w:t>
      </w:r>
      <w:r>
        <w:rPr>
          <w:rFonts w:hint="eastAsia" w:ascii="宋体" w:hAnsi="宋体" w:cs="宋体"/>
          <w:b w:val="0"/>
          <w:bCs/>
          <w:color w:val="000000" w:themeColor="text1"/>
          <w:sz w:val="24"/>
          <w:szCs w:val="24"/>
          <w:highlight w:val="none"/>
          <w:lang w:eastAsia="zh-CN"/>
          <w14:textFill>
            <w14:solidFill>
              <w14:schemeClr w14:val="tx1"/>
            </w14:solidFill>
          </w14:textFill>
        </w:rPr>
        <w:t>投标文件</w:t>
      </w:r>
      <w:r>
        <w:rPr>
          <w:rFonts w:hint="eastAsia" w:ascii="宋体" w:hAnsi="宋体" w:cs="宋体"/>
          <w:b w:val="0"/>
          <w:bCs/>
          <w:color w:val="000000" w:themeColor="text1"/>
          <w:sz w:val="24"/>
          <w:szCs w:val="24"/>
          <w:highlight w:val="none"/>
          <w14:textFill>
            <w14:solidFill>
              <w14:schemeClr w14:val="tx1"/>
            </w14:solidFill>
          </w14:textFill>
        </w:rPr>
        <w:t>概不接受。</w:t>
      </w:r>
    </w:p>
    <w:p w14:paraId="667BBD35">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（四）投标报价要求</w:t>
      </w:r>
    </w:p>
    <w:p w14:paraId="458F996E">
      <w:pPr>
        <w:spacing w:line="360" w:lineRule="auto"/>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1、</w:t>
      </w:r>
      <w:r>
        <w:rPr>
          <w:rFonts w:hint="eastAsia" w:ascii="宋体" w:hAnsi="宋体" w:cs="宋体"/>
          <w:b/>
          <w:bCs w:val="0"/>
          <w:color w:val="000000" w:themeColor="text1"/>
          <w:sz w:val="24"/>
          <w:szCs w:val="24"/>
          <w:highlight w:val="none"/>
          <w14:textFill>
            <w14:solidFill>
              <w14:schemeClr w14:val="tx1"/>
            </w14:solidFill>
          </w14:textFill>
        </w:rPr>
        <w:t>报价为一次性报价且只有一种方案</w:t>
      </w:r>
      <w:r>
        <w:rPr>
          <w:rFonts w:hint="eastAsia" w:ascii="宋体" w:hAnsi="宋体" w:cs="宋体"/>
          <w:b w:val="0"/>
          <w:bCs/>
          <w:color w:val="000000" w:themeColor="text1"/>
          <w:sz w:val="24"/>
          <w:szCs w:val="24"/>
          <w:highlight w:val="none"/>
          <w14:textFill>
            <w14:solidFill>
              <w14:schemeClr w14:val="tx1"/>
            </w14:solidFill>
          </w14:textFill>
        </w:rPr>
        <w:t>，报价时需按照“</w:t>
      </w:r>
      <w:r>
        <w:rPr>
          <w:rFonts w:hint="eastAsia" w:ascii="宋体" w:hAnsi="宋体" w:cs="宋体"/>
          <w:b w:val="0"/>
          <w:bCs/>
          <w:color w:val="000000" w:themeColor="text1"/>
          <w:sz w:val="24"/>
          <w:szCs w:val="24"/>
          <w:highlight w:val="none"/>
          <w:lang w:eastAsia="zh-CN"/>
          <w14:textFill>
            <w14:solidFill>
              <w14:schemeClr w14:val="tx1"/>
            </w14:solidFill>
          </w14:textFill>
        </w:rPr>
        <w:t>分项报价表</w:t>
      </w:r>
      <w:r>
        <w:rPr>
          <w:rFonts w:hint="eastAsia" w:ascii="宋体" w:hAnsi="宋体" w:cs="宋体"/>
          <w:b w:val="0"/>
          <w:bCs/>
          <w:color w:val="000000" w:themeColor="text1"/>
          <w:sz w:val="24"/>
          <w:szCs w:val="24"/>
          <w:highlight w:val="none"/>
          <w14:textFill>
            <w14:solidFill>
              <w14:schemeClr w14:val="tx1"/>
            </w14:solidFill>
          </w14:textFill>
        </w:rPr>
        <w:t>”格式将每种货物的单价和合价报出，报价币种为人民币。</w:t>
      </w:r>
      <w:r>
        <w:rPr>
          <w:rFonts w:hint="eastAsia" w:ascii="宋体" w:hAnsi="宋体" w:cs="宋体"/>
          <w:b w:val="0"/>
          <w:bCs/>
          <w:color w:val="000000" w:themeColor="text1"/>
          <w:sz w:val="24"/>
          <w:szCs w:val="24"/>
          <w:highlight w:val="none"/>
          <w:lang w:val="en-US" w:eastAsia="zh-CN"/>
          <w14:textFill>
            <w14:solidFill>
              <w14:schemeClr w14:val="tx1"/>
            </w14:solidFill>
          </w14:textFill>
        </w:rPr>
        <w:t>报价为一次性报价。报价币种为人民币。投标报价应包含货物的生产、包装、运输、装卸、调试、验收、保险、税金、运杂、安装所需的零部件、附材及质保服务等全部费用。投标人应列入而未列入的费用，均视为已包含在投标总价中。</w:t>
      </w:r>
    </w:p>
    <w:p w14:paraId="43353C9C">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2、“开标一览表”不允许涂抹、修改，表中相应内容的报价必须计算正确；如果大写金额与小写金额不一致，以大写为准；</w:t>
      </w:r>
    </w:p>
    <w:p w14:paraId="0C3D726A">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3、投标人必须报出所投货物的单项报价和总价；</w:t>
      </w:r>
    </w:p>
    <w:p w14:paraId="55192F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4、投标人免费提供的项目，应先写明该项目的实际价格，并注明免费，此项不计入总价或合计价。</w:t>
      </w:r>
    </w:p>
    <w:p w14:paraId="3ECB1B6D">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五、投标文件的递交</w:t>
      </w:r>
    </w:p>
    <w:p w14:paraId="65AA624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（1）</w:t>
      </w:r>
      <w:r>
        <w:rPr>
          <w:rFonts w:hint="eastAsia" w:ascii="宋体" w:hAnsi="宋体" w:eastAsia="宋体" w:cs="宋体"/>
          <w:b/>
          <w:bCs/>
          <w:color w:val="000000"/>
          <w:sz w:val="24"/>
          <w:szCs w:val="24"/>
          <w:highlight w:val="none"/>
          <w:lang w:val="en-US" w:eastAsia="zh-CN"/>
        </w:rPr>
        <w:t>将电子投标文件在投标文件递交截止时间前上传到</w:t>
      </w:r>
      <w:r>
        <w:rPr>
          <w:rFonts w:hint="eastAsia" w:ascii="宋体" w:hAnsi="宋体" w:eastAsia="宋体" w:cs="宋体"/>
          <w:b/>
          <w:bCs/>
          <w:color w:val="000000"/>
          <w:sz w:val="24"/>
          <w:szCs w:val="24"/>
          <w:highlight w:val="none"/>
          <w:lang w:eastAsia="zh-CN"/>
        </w:rPr>
        <w:t>聊城市公共资源招投标会员网上交易系统</w:t>
      </w:r>
      <w:r>
        <w:rPr>
          <w:rFonts w:hint="eastAsia" w:ascii="宋体" w:hAnsi="宋体" w:eastAsia="宋体" w:cs="宋体"/>
          <w:b/>
          <w:bCs/>
          <w:color w:val="000000"/>
          <w:sz w:val="24"/>
          <w:szCs w:val="24"/>
          <w:highlight w:val="none"/>
          <w:lang w:val="en-US" w:eastAsia="zh-CN"/>
        </w:rPr>
        <w:t>；</w:t>
      </w:r>
    </w:p>
    <w:p w14:paraId="08296E8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（2）开标前登录网上不见面开标大厅，完成签到工作；在开标前未在不见面开标大厅完成签到工作、逾期解密的</w:t>
      </w:r>
      <w:r>
        <w:rPr>
          <w:rFonts w:hint="eastAsia" w:ascii="宋体" w:hAnsi="宋体" w:cs="宋体"/>
          <w:b/>
          <w:bCs/>
          <w:color w:val="000000"/>
          <w:sz w:val="24"/>
          <w:szCs w:val="24"/>
          <w:highlight w:val="none"/>
          <w:lang w:val="en-US" w:eastAsia="zh-CN"/>
        </w:rPr>
        <w:t>投标</w:t>
      </w:r>
      <w:r>
        <w:rPr>
          <w:rFonts w:hint="eastAsia" w:ascii="宋体" w:hAnsi="宋体" w:eastAsia="宋体" w:cs="宋体"/>
          <w:b/>
          <w:bCs/>
          <w:color w:val="000000"/>
          <w:sz w:val="24"/>
          <w:szCs w:val="24"/>
          <w:highlight w:val="none"/>
          <w:lang w:val="en-US" w:eastAsia="zh-CN"/>
        </w:rPr>
        <w:t>文件，</w:t>
      </w:r>
      <w:r>
        <w:rPr>
          <w:rFonts w:hint="eastAsia" w:ascii="宋体" w:hAnsi="宋体" w:cs="宋体"/>
          <w:b/>
          <w:bCs/>
          <w:color w:val="000000"/>
          <w:sz w:val="24"/>
          <w:szCs w:val="24"/>
          <w:highlight w:val="none"/>
          <w:lang w:val="en-US" w:eastAsia="zh-CN"/>
        </w:rPr>
        <w:t>招标人</w:t>
      </w:r>
      <w:r>
        <w:rPr>
          <w:rFonts w:hint="eastAsia" w:ascii="宋体" w:hAnsi="宋体" w:eastAsia="宋体" w:cs="宋体"/>
          <w:b/>
          <w:bCs/>
          <w:color w:val="000000"/>
          <w:sz w:val="24"/>
          <w:szCs w:val="24"/>
          <w:highlight w:val="none"/>
          <w:lang w:val="en-US" w:eastAsia="zh-CN"/>
        </w:rPr>
        <w:t>将不予受理。</w:t>
      </w:r>
      <w:r>
        <w:rPr>
          <w:rFonts w:hint="eastAsia" w:ascii="宋体" w:hAnsi="宋体" w:eastAsia="宋体" w:cs="宋体"/>
          <w:b/>
          <w:bCs/>
          <w:color w:val="000000"/>
          <w:sz w:val="24"/>
          <w:szCs w:val="24"/>
          <w:highlight w:val="none"/>
          <w:lang w:eastAsia="zh-CN"/>
        </w:rPr>
        <w:t xml:space="preserve">  </w:t>
      </w:r>
    </w:p>
    <w:p w14:paraId="7FFBCF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（二）投标截止日期</w:t>
      </w:r>
    </w:p>
    <w:p w14:paraId="1DF15D68">
      <w:pPr>
        <w:keepNext w:val="0"/>
        <w:keepLines w:val="0"/>
        <w:pageBreakBefore w:val="0"/>
        <w:widowControl w:val="0"/>
        <w:tabs>
          <w:tab w:val="left" w:pos="180"/>
          <w:tab w:val="left" w:pos="360"/>
          <w:tab w:val="left" w:pos="540"/>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1、投标文件递交截止时间：详见投标须知表；</w:t>
      </w:r>
    </w:p>
    <w:p w14:paraId="551B0A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2、投标人代表必须在投标截止时间前将投标文件</w:t>
      </w:r>
      <w:r>
        <w:rPr>
          <w:rFonts w:hint="eastAsia" w:ascii="宋体" w:hAnsi="宋体" w:cs="宋体"/>
          <w:color w:val="000000" w:themeColor="text1"/>
          <w:sz w:val="24"/>
          <w:szCs w:val="24"/>
          <w:highlight w:val="none"/>
          <w:lang w:val="en-US" w:eastAsia="zh-CN"/>
          <w14:textFill>
            <w14:solidFill>
              <w14:schemeClr w14:val="tx1"/>
            </w14:solidFill>
          </w14:textFill>
        </w:rPr>
        <w:t>上传至</w:t>
      </w:r>
      <w:r>
        <w:rPr>
          <w:rFonts w:hint="eastAsia" w:ascii="宋体" w:hAnsi="宋体" w:eastAsia="宋体" w:cs="宋体"/>
          <w:color w:val="000000" w:themeColor="text1"/>
          <w:sz w:val="24"/>
          <w:szCs w:val="24"/>
          <w:highlight w:val="none"/>
          <w14:textFill>
            <w14:solidFill>
              <w14:schemeClr w14:val="tx1"/>
            </w14:solidFill>
          </w14:textFill>
        </w:rPr>
        <w:t>指定地点。如因招标文件的修改，提前或推迟截止时间的，则按</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eastAsia="宋体" w:cs="宋体"/>
          <w:color w:val="000000" w:themeColor="text1"/>
          <w:sz w:val="24"/>
          <w:szCs w:val="24"/>
          <w:highlight w:val="none"/>
          <w14:textFill>
            <w14:solidFill>
              <w14:schemeClr w14:val="tx1"/>
            </w14:solidFill>
          </w14:textFill>
        </w:rPr>
        <w:t>通知的时间递交；</w:t>
      </w:r>
    </w:p>
    <w:p w14:paraId="3CF137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3、不论采购过程和结果如何，对</w:t>
      </w:r>
      <w:r>
        <w:rPr>
          <w:rFonts w:hint="eastAsia" w:ascii="宋体" w:hAnsi="宋体" w:eastAsia="宋体" w:cs="宋体"/>
          <w:color w:val="000000" w:themeColor="text1"/>
          <w:sz w:val="24"/>
          <w:szCs w:val="24"/>
          <w:highlight w:val="none"/>
          <w:lang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提交的</w:t>
      </w:r>
      <w:r>
        <w:rPr>
          <w:rFonts w:hint="eastAsia" w:ascii="宋体" w:hAnsi="宋体" w:eastAsia="宋体" w:cs="宋体"/>
          <w:color w:val="000000" w:themeColor="text1"/>
          <w:sz w:val="24"/>
          <w:szCs w:val="24"/>
          <w:highlight w:val="none"/>
          <w:lang w:eastAsia="zh-CN"/>
          <w14:textFill>
            <w14:solidFill>
              <w14:schemeClr w14:val="tx1"/>
            </w14:solidFill>
          </w14:textFill>
        </w:rPr>
        <w:t>投标文件</w:t>
      </w:r>
      <w:r>
        <w:rPr>
          <w:rFonts w:hint="eastAsia" w:ascii="宋体" w:hAnsi="宋体" w:eastAsia="宋体" w:cs="宋体"/>
          <w:color w:val="000000" w:themeColor="text1"/>
          <w:sz w:val="24"/>
          <w:szCs w:val="24"/>
          <w:highlight w:val="none"/>
          <w14:textFill>
            <w14:solidFill>
              <w14:schemeClr w14:val="tx1"/>
            </w14:solidFill>
          </w14:textFill>
        </w:rPr>
        <w:t>文件在</w:t>
      </w:r>
      <w:r>
        <w:rPr>
          <w:rFonts w:hint="eastAsia" w:ascii="宋体" w:hAnsi="宋体" w:eastAsia="宋体" w:cs="宋体"/>
          <w:color w:val="000000" w:themeColor="text1"/>
          <w:sz w:val="24"/>
          <w:szCs w:val="24"/>
          <w:highlight w:val="none"/>
          <w:lang w:eastAsia="zh-CN"/>
          <w14:textFill>
            <w14:solidFill>
              <w14:schemeClr w14:val="tx1"/>
            </w14:solidFill>
          </w14:textFill>
        </w:rPr>
        <w:t>投标</w:t>
      </w:r>
      <w:r>
        <w:rPr>
          <w:rFonts w:hint="eastAsia" w:ascii="宋体" w:hAnsi="宋体" w:eastAsia="宋体" w:cs="宋体"/>
          <w:color w:val="000000" w:themeColor="text1"/>
          <w:sz w:val="24"/>
          <w:szCs w:val="24"/>
          <w:highlight w:val="none"/>
          <w14:textFill>
            <w14:solidFill>
              <w14:schemeClr w14:val="tx1"/>
            </w14:solidFill>
          </w14:textFill>
        </w:rPr>
        <w:t>截止时间后均不退还。</w:t>
      </w:r>
    </w:p>
    <w:p w14:paraId="0CCFAB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（三）投标文件有下列情形之一的，招标人/招标代理机构不予受理（已接收的视为无效投标）：</w:t>
      </w:r>
    </w:p>
    <w:p w14:paraId="79B677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1、逾期递交的或者未递交成功的投标文件，招标代理机构不予受理；</w:t>
      </w:r>
    </w:p>
    <w:p w14:paraId="74CC65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2、未按招标文件要求加密的。</w:t>
      </w:r>
    </w:p>
    <w:p w14:paraId="7FF69DF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（四）投标文件的修改和撤回</w:t>
      </w:r>
    </w:p>
    <w:p w14:paraId="572A278F">
      <w:pPr>
        <w:keepNext w:val="0"/>
        <w:keepLines w:val="0"/>
        <w:pageBreakBefore w:val="0"/>
        <w:widowControl w:val="0"/>
        <w:kinsoku/>
        <w:wordWrap/>
        <w:overflowPunct/>
        <w:topLinePunct w:val="0"/>
        <w:autoSpaceDE/>
        <w:autoSpaceDN/>
        <w:bidi w:val="0"/>
        <w:adjustRightInd/>
        <w:snapToGrid/>
        <w:spacing w:line="360" w:lineRule="auto"/>
        <w:ind w:left="2" w:leftChars="1"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标企业可在开标前任意时间制作并上传投标文件，若投标文件已上传且距离开标时间不足30分钟，投标文件将不可自行撤回、更改。若投标文件已处于待解密状态，开标前放弃投标或撤回文件的，请联系现场代理公司工作人员进行撤回</w:t>
      </w:r>
      <w:r>
        <w:rPr>
          <w:rFonts w:hint="eastAsia" w:ascii="宋体" w:hAnsi="宋体" w:eastAsia="宋体" w:cs="宋体"/>
          <w:color w:val="000000" w:themeColor="text1"/>
          <w:sz w:val="24"/>
          <w:szCs w:val="24"/>
          <w:highlight w:val="none"/>
          <w:lang w:eastAsia="zh-CN"/>
          <w14:textFill>
            <w14:solidFill>
              <w14:schemeClr w14:val="tx1"/>
            </w14:solidFill>
          </w14:textFill>
        </w:rPr>
        <w:t>并</w:t>
      </w:r>
      <w:r>
        <w:rPr>
          <w:rFonts w:hint="eastAsia" w:ascii="宋体" w:hAnsi="宋体" w:eastAsia="宋体" w:cs="宋体"/>
          <w:color w:val="000000" w:themeColor="text1"/>
          <w:sz w:val="24"/>
          <w:szCs w:val="24"/>
          <w:highlight w:val="none"/>
          <w14:textFill>
            <w14:solidFill>
              <w14:schemeClr w14:val="tx1"/>
            </w14:solidFill>
          </w14:textFill>
        </w:rPr>
        <w:t>出具</w:t>
      </w:r>
      <w:r>
        <w:rPr>
          <w:rFonts w:hint="eastAsia" w:ascii="宋体" w:hAnsi="宋体" w:eastAsia="宋体" w:cs="宋体"/>
          <w:color w:val="000000" w:themeColor="text1"/>
          <w:sz w:val="24"/>
          <w:szCs w:val="24"/>
          <w:highlight w:val="none"/>
          <w:lang w:eastAsia="zh-CN"/>
          <w14:textFill>
            <w14:solidFill>
              <w14:schemeClr w14:val="tx1"/>
            </w14:solidFill>
          </w14:textFill>
        </w:rPr>
        <w:t>书面</w:t>
      </w:r>
      <w:r>
        <w:rPr>
          <w:rFonts w:hint="eastAsia" w:ascii="宋体" w:hAnsi="宋体" w:eastAsia="宋体" w:cs="宋体"/>
          <w:color w:val="000000" w:themeColor="text1"/>
          <w:sz w:val="24"/>
          <w:szCs w:val="24"/>
          <w:highlight w:val="none"/>
          <w14:textFill>
            <w14:solidFill>
              <w14:schemeClr w14:val="tx1"/>
            </w14:solidFill>
          </w14:textFill>
        </w:rPr>
        <w:t>申请。</w:t>
      </w:r>
    </w:p>
    <w:p w14:paraId="7BA673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2、开标后不允许对投标文件做实质性修改或补充；</w:t>
      </w:r>
    </w:p>
    <w:p w14:paraId="6546A2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3、开标后投标人在投标有效期内不得撤销投标。</w:t>
      </w:r>
    </w:p>
    <w:p w14:paraId="32B72A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六、无效投标</w:t>
      </w:r>
    </w:p>
    <w:p w14:paraId="11B98448">
      <w:pPr>
        <w:numPr>
          <w:ilvl w:val="0"/>
          <w:numId w:val="3"/>
        </w:numPr>
        <w:tabs>
          <w:tab w:val="left" w:pos="0"/>
          <w:tab w:val="left" w:pos="180"/>
        </w:tabs>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投标文件未按招标文件的规定签署、盖章</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Times New Roman" w:cs="Times New Roman"/>
          <w:color w:val="auto"/>
          <w:sz w:val="24"/>
          <w:szCs w:val="24"/>
          <w:highlight w:val="none"/>
          <w:lang w:eastAsia="zh-CN"/>
        </w:rPr>
        <w:t>报名时的联系人和响应文件中的授权代表非同一人的</w:t>
      </w:r>
      <w:r>
        <w:rPr>
          <w:rFonts w:hint="eastAsia" w:ascii="宋体" w:hAnsi="宋体" w:eastAsia="宋体" w:cs="宋体"/>
          <w:color w:val="auto"/>
          <w:sz w:val="24"/>
          <w:szCs w:val="24"/>
          <w:highlight w:val="none"/>
        </w:rPr>
        <w:t>；</w:t>
      </w:r>
    </w:p>
    <w:p w14:paraId="3FEABDB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）未按规定报价</w:t>
      </w:r>
      <w:r>
        <w:rPr>
          <w:rFonts w:hint="eastAsia" w:ascii="宋体" w:hAnsi="宋体" w:eastAsia="宋体" w:cs="宋体"/>
          <w:b/>
          <w:bCs/>
          <w:color w:val="auto"/>
          <w:sz w:val="24"/>
          <w:szCs w:val="24"/>
          <w:highlight w:val="none"/>
          <w:lang w:eastAsia="zh-CN"/>
        </w:rPr>
        <w:t>或</w:t>
      </w:r>
      <w:r>
        <w:rPr>
          <w:rFonts w:hint="eastAsia" w:ascii="宋体" w:hAnsi="宋体" w:eastAsia="宋体" w:cs="宋体"/>
          <w:b/>
          <w:bCs/>
          <w:color w:val="auto"/>
          <w:sz w:val="24"/>
          <w:szCs w:val="24"/>
          <w:highlight w:val="none"/>
        </w:rPr>
        <w:t>投标文件中未报出分项的价格</w:t>
      </w:r>
      <w:r>
        <w:rPr>
          <w:rFonts w:hint="eastAsia" w:ascii="宋体" w:hAnsi="宋体" w:cs="宋体"/>
          <w:b/>
          <w:bCs/>
          <w:color w:val="auto"/>
          <w:sz w:val="24"/>
          <w:szCs w:val="24"/>
          <w:highlight w:val="none"/>
          <w:lang w:eastAsia="zh-CN"/>
        </w:rPr>
        <w:t>，</w:t>
      </w:r>
      <w:r>
        <w:rPr>
          <w:rFonts w:hint="eastAsia" w:ascii="Times New Roman" w:cs="Times New Roman"/>
          <w:color w:val="auto"/>
          <w:sz w:val="24"/>
          <w:szCs w:val="24"/>
          <w:highlight w:val="none"/>
          <w:lang w:eastAsia="zh-CN"/>
        </w:rPr>
        <w:t>交货期质保期未报出准确数字的</w:t>
      </w:r>
      <w:r>
        <w:rPr>
          <w:rFonts w:hint="eastAsia" w:ascii="宋体" w:hAnsi="宋体" w:eastAsia="宋体" w:cs="宋体"/>
          <w:b/>
          <w:bCs/>
          <w:color w:val="auto"/>
          <w:sz w:val="24"/>
          <w:szCs w:val="24"/>
          <w:highlight w:val="none"/>
        </w:rPr>
        <w:t>；</w:t>
      </w:r>
    </w:p>
    <w:p w14:paraId="511DC1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递交两份或多份内容不同的</w:t>
      </w:r>
      <w:r>
        <w:rPr>
          <w:rFonts w:hint="eastAsia" w:ascii="宋体" w:hAnsi="宋体" w:eastAsia="宋体" w:cs="宋体"/>
          <w:color w:val="000000" w:themeColor="text1"/>
          <w:sz w:val="24"/>
          <w:szCs w:val="24"/>
          <w:highlight w:val="none"/>
          <w:lang w:eastAsia="zh-CN"/>
          <w14:textFill>
            <w14:solidFill>
              <w14:schemeClr w14:val="tx1"/>
            </w14:solidFill>
          </w14:textFill>
        </w:rPr>
        <w:t>投标</w:t>
      </w:r>
      <w:r>
        <w:rPr>
          <w:rFonts w:hint="eastAsia" w:ascii="宋体" w:hAnsi="宋体" w:eastAsia="宋体" w:cs="宋体"/>
          <w:color w:val="000000" w:themeColor="text1"/>
          <w:sz w:val="24"/>
          <w:szCs w:val="24"/>
          <w:highlight w:val="none"/>
          <w14:textFill>
            <w14:solidFill>
              <w14:schemeClr w14:val="tx1"/>
            </w14:solidFill>
          </w14:textFill>
        </w:rPr>
        <w:t>文件，或在一份</w:t>
      </w:r>
      <w:r>
        <w:rPr>
          <w:rFonts w:hint="eastAsia" w:ascii="宋体" w:hAnsi="宋体" w:eastAsia="宋体" w:cs="宋体"/>
          <w:color w:val="000000" w:themeColor="text1"/>
          <w:sz w:val="24"/>
          <w:szCs w:val="24"/>
          <w:highlight w:val="none"/>
          <w:lang w:eastAsia="zh-CN"/>
          <w14:textFill>
            <w14:solidFill>
              <w14:schemeClr w14:val="tx1"/>
            </w14:solidFill>
          </w14:textFill>
        </w:rPr>
        <w:t>投标</w:t>
      </w:r>
      <w:r>
        <w:rPr>
          <w:rFonts w:hint="eastAsia" w:ascii="宋体" w:hAnsi="宋体" w:eastAsia="宋体" w:cs="宋体"/>
          <w:color w:val="000000" w:themeColor="text1"/>
          <w:sz w:val="24"/>
          <w:szCs w:val="24"/>
          <w:highlight w:val="none"/>
          <w14:textFill>
            <w14:solidFill>
              <w14:schemeClr w14:val="tx1"/>
            </w14:solidFill>
          </w14:textFill>
        </w:rPr>
        <w:t>文件中对同一招标项目报有两个或多个报价，且未声明哪一个有效，按</w:t>
      </w:r>
      <w:r>
        <w:rPr>
          <w:rFonts w:hint="eastAsia" w:ascii="宋体" w:hAnsi="宋体" w:eastAsia="宋体" w:cs="宋体"/>
          <w:color w:val="000000" w:themeColor="text1"/>
          <w:sz w:val="24"/>
          <w:szCs w:val="24"/>
          <w:highlight w:val="none"/>
          <w:lang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 xml:space="preserve">文件规定提交备选投标方案的除外；  </w:t>
      </w:r>
    </w:p>
    <w:p w14:paraId="416684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）投标人对招标文件的要求未做出实质性响应；</w:t>
      </w:r>
    </w:p>
    <w:p w14:paraId="79E8B8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）低于成本价且无法提供相关证明材料；</w:t>
      </w:r>
    </w:p>
    <w:p w14:paraId="29819C7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14:textFill>
            <w14:solidFill>
              <w14:schemeClr w14:val="tx1"/>
            </w14:solidFill>
          </w14:textFill>
        </w:rPr>
        <w:t>）投标人的报价超过预算金额的；</w:t>
      </w:r>
    </w:p>
    <w:p w14:paraId="46D3DD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val="0"/>
          <w:bCs w:val="0"/>
          <w:color w:val="000000" w:themeColor="text1"/>
          <w:sz w:val="24"/>
          <w:szCs w:val="24"/>
          <w:highlight w:val="none"/>
          <w14:textFill>
            <w14:solidFill>
              <w14:schemeClr w14:val="tx1"/>
            </w14:solidFill>
          </w14:textFill>
        </w:rPr>
        <w:t>）应提供而未提供政府强制采购节能、环保产品的；</w:t>
      </w:r>
    </w:p>
    <w:p w14:paraId="20B01B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）投标文件含有</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eastAsia="宋体" w:cs="宋体"/>
          <w:color w:val="000000" w:themeColor="text1"/>
          <w:sz w:val="24"/>
          <w:szCs w:val="24"/>
          <w:highlight w:val="none"/>
          <w14:textFill>
            <w14:solidFill>
              <w14:schemeClr w14:val="tx1"/>
            </w14:solidFill>
          </w14:textFill>
        </w:rPr>
        <w:t>不能接受的附加条件的；</w:t>
      </w:r>
    </w:p>
    <w:p w14:paraId="6393E0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）投标文件制作机器码、投标文件创建标识码一致、造价软件加密锁号一致，将视同串通投标作无效标处理，并将有关问题上报至行政监管部门处理。</w:t>
      </w:r>
    </w:p>
    <w:p w14:paraId="294482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）电子清标中，技术标雷同性分析，存在高度雷同的技术标评分项且企业无法合理解释，或高度雷同项达到一定数量的，由评审委员会作无效标处理。（具体数量由评审委员会协商确定）</w:t>
      </w:r>
    </w:p>
    <w:p w14:paraId="0B3110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）法律、法规规定的其他情况。</w:t>
      </w:r>
    </w:p>
    <w:p w14:paraId="6507C3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不符合采购文件中规定的其他实质性要求</w:t>
      </w:r>
      <w:r>
        <w:rPr>
          <w:rFonts w:hint="eastAsia" w:ascii="宋体" w:hAnsi="宋体" w:eastAsia="宋体" w:cs="宋体"/>
          <w:color w:val="auto"/>
          <w:sz w:val="24"/>
          <w:szCs w:val="24"/>
          <w:highlight w:val="none"/>
        </w:rPr>
        <w:t>及授权委托书委托期限与报价有效期不一致的（起始日期为开标当天）；</w:t>
      </w:r>
    </w:p>
    <w:p w14:paraId="095BEE8D">
      <w:pPr>
        <w:pStyle w:val="30"/>
        <w:numPr>
          <w:ilvl w:val="0"/>
          <w:numId w:val="0"/>
        </w:numPr>
        <w:spacing w:line="360" w:lineRule="auto"/>
        <w:ind w:firstLine="480" w:firstLineChars="200"/>
        <w:rPr>
          <w:rFonts w:hint="eastAsia" w:ascii="Times New Roman" w:cs="Times New Roman"/>
          <w:color w:val="auto"/>
          <w:sz w:val="24"/>
          <w:szCs w:val="24"/>
          <w:highlight w:val="none"/>
          <w:lang w:eastAsia="zh-CN"/>
        </w:rPr>
      </w:pPr>
      <w:r>
        <w:rPr>
          <w:rFonts w:hint="eastAsia" w:ascii="宋体" w:hAnsi="宋体" w:eastAsia="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）投标人</w:t>
      </w:r>
      <w:r>
        <w:rPr>
          <w:rFonts w:hint="eastAsia" w:ascii="Times New Roman" w:cs="Times New Roman"/>
          <w:color w:val="auto"/>
          <w:sz w:val="24"/>
          <w:szCs w:val="24"/>
          <w:highlight w:val="none"/>
          <w:lang w:eastAsia="zh-CN"/>
        </w:rPr>
        <w:t>未在开标时间前完成在“中国山东政府采购网”的注册（已注册的，不要求重复注册）；</w:t>
      </w:r>
    </w:p>
    <w:p w14:paraId="119DE6F9">
      <w:pPr>
        <w:spacing w:line="360" w:lineRule="auto"/>
        <w:ind w:firstLine="480" w:firstLineChars="200"/>
        <w:jc w:val="left"/>
        <w:rPr>
          <w:rFonts w:hint="eastAsia"/>
          <w:highlight w:val="none"/>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1</w:t>
      </w:r>
      <w:r>
        <w:rPr>
          <w:rFonts w:hint="eastAsia" w:ascii="宋体" w:hAnsi="宋体" w:cs="宋体"/>
          <w:color w:val="000000"/>
          <w:sz w:val="24"/>
          <w:highlight w:val="none"/>
          <w:lang w:val="en-US" w:eastAsia="zh-CN"/>
        </w:rPr>
        <w:t>4</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参加本项目供应商(须附国家企业信用信息公示系统(网址http://www.gsxt.gov.cn/)公示的企业股东及出资信息(显示股东认缴出资额)、主要人员信息；与其他供应商存在高管人员，股东重叠的</w:t>
      </w:r>
      <w:r>
        <w:rPr>
          <w:rFonts w:hint="eastAsia" w:ascii="宋体" w:hAnsi="宋体" w:eastAsia="宋体" w:cs="宋体"/>
          <w:color w:val="000000"/>
          <w:sz w:val="24"/>
          <w:highlight w:val="none"/>
          <w:lang w:eastAsia="zh-CN"/>
        </w:rPr>
        <w:t>。</w:t>
      </w:r>
    </w:p>
    <w:p w14:paraId="2E737C63">
      <w:pPr>
        <w:keepNext w:val="0"/>
        <w:keepLines w:val="0"/>
        <w:pageBreakBefore w:val="0"/>
        <w:widowControl w:val="0"/>
        <w:kinsoku/>
        <w:wordWrap/>
        <w:overflowPunct/>
        <w:topLinePunct w:val="0"/>
        <w:autoSpaceDE/>
        <w:autoSpaceDN/>
        <w:bidi w:val="0"/>
        <w:adjustRightInd/>
        <w:snapToGrid/>
        <w:spacing w:line="360" w:lineRule="auto"/>
        <w:ind w:left="2" w:leftChars="1"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2、投标人有下列情况之一的，其投标不但被视为无效投标，而且将根据情况性质按照《中华人民共和国政府采购法》及有关法律法规追究其法律责任。投标人给</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eastAsia="宋体" w:cs="宋体"/>
          <w:color w:val="000000" w:themeColor="text1"/>
          <w:sz w:val="24"/>
          <w:szCs w:val="24"/>
          <w:highlight w:val="none"/>
          <w14:textFill>
            <w14:solidFill>
              <w14:schemeClr w14:val="tx1"/>
            </w14:solidFill>
          </w14:textFill>
        </w:rPr>
        <w:t>造成损失的，</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eastAsia="宋体" w:cs="宋体"/>
          <w:color w:val="000000" w:themeColor="text1"/>
          <w:sz w:val="24"/>
          <w:szCs w:val="24"/>
          <w:highlight w:val="none"/>
          <w14:textFill>
            <w14:solidFill>
              <w14:schemeClr w14:val="tx1"/>
            </w14:solidFill>
          </w14:textFill>
        </w:rPr>
        <w:t>有索赔的权利。</w:t>
      </w:r>
    </w:p>
    <w:p w14:paraId="21D776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（1）投标人提供的有关资格、资质证明文件不真实，提供虚假投标材料；</w:t>
      </w:r>
    </w:p>
    <w:p w14:paraId="798107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（2）投标人在投标有效期内撤回投标；</w:t>
      </w:r>
    </w:p>
    <w:p w14:paraId="16B6A2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（3）在整个投标过程中，投标人有企图影响招标结果的任何活动；</w:t>
      </w:r>
    </w:p>
    <w:p w14:paraId="7847FB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（4）投标人串通投标；</w:t>
      </w:r>
    </w:p>
    <w:p w14:paraId="368212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（5）投标人向</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eastAsia="宋体" w:cs="宋体"/>
          <w:color w:val="000000" w:themeColor="text1"/>
          <w:sz w:val="24"/>
          <w:szCs w:val="24"/>
          <w:highlight w:val="none"/>
          <w14:textFill>
            <w14:solidFill>
              <w14:schemeClr w14:val="tx1"/>
            </w14:solidFill>
          </w14:textFill>
        </w:rPr>
        <w:t>、监管机构、</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eastAsia="宋体" w:cs="宋体"/>
          <w:color w:val="000000" w:themeColor="text1"/>
          <w:sz w:val="24"/>
          <w:szCs w:val="24"/>
          <w:highlight w:val="none"/>
          <w14:textFill>
            <w14:solidFill>
              <w14:schemeClr w14:val="tx1"/>
            </w14:solidFill>
          </w14:textFill>
        </w:rPr>
        <w:t>提供不正当利益；</w:t>
      </w:r>
    </w:p>
    <w:p w14:paraId="448015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（6）中标人不按要求提交招标代理费</w:t>
      </w:r>
      <w:r>
        <w:rPr>
          <w:rFonts w:hint="eastAsia" w:ascii="宋体" w:hAnsi="宋体" w:eastAsia="宋体" w:cs="宋体"/>
          <w:color w:val="000000" w:themeColor="text1"/>
          <w:sz w:val="24"/>
          <w:szCs w:val="24"/>
          <w:highlight w:val="none"/>
          <w:lang w:eastAsia="zh-CN"/>
          <w14:textFill>
            <w14:solidFill>
              <w14:schemeClr w14:val="tx1"/>
            </w14:solidFill>
          </w14:textFill>
        </w:rPr>
        <w:t>、履约保证金（如有）</w:t>
      </w:r>
      <w:r>
        <w:rPr>
          <w:rFonts w:hint="eastAsia" w:ascii="宋体" w:hAnsi="宋体" w:eastAsia="宋体" w:cs="宋体"/>
          <w:color w:val="000000" w:themeColor="text1"/>
          <w:sz w:val="24"/>
          <w:szCs w:val="24"/>
          <w:highlight w:val="none"/>
          <w14:textFill>
            <w14:solidFill>
              <w14:schemeClr w14:val="tx1"/>
            </w14:solidFill>
          </w14:textFill>
        </w:rPr>
        <w:t>；</w:t>
      </w:r>
    </w:p>
    <w:p w14:paraId="61A2B6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（7）中标人不按规定签订合同；</w:t>
      </w:r>
    </w:p>
    <w:p w14:paraId="34A459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（8）法律、法规规定的其他情况。</w:t>
      </w:r>
    </w:p>
    <w:p w14:paraId="7828950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七、在招标采购中，出现下列情形之一的，应予以废标：</w:t>
      </w:r>
    </w:p>
    <w:p w14:paraId="396D6B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（1）符合专业条件的投标人或者对招标文件作实质响应的投标人不足三家的；</w:t>
      </w:r>
    </w:p>
    <w:p w14:paraId="1131F8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）出现影响采购公正的违法、违规行为的；</w:t>
      </w:r>
    </w:p>
    <w:p w14:paraId="1CFFC7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）投标人的报价均超过了采购预算，</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eastAsia="宋体" w:cs="宋体"/>
          <w:color w:val="000000" w:themeColor="text1"/>
          <w:sz w:val="24"/>
          <w:szCs w:val="24"/>
          <w:highlight w:val="none"/>
          <w14:textFill>
            <w14:solidFill>
              <w14:schemeClr w14:val="tx1"/>
            </w14:solidFill>
          </w14:textFill>
        </w:rPr>
        <w:t>不能支付的；</w:t>
      </w:r>
    </w:p>
    <w:p w14:paraId="1BED87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）因重大变故，采购任务取消的。</w:t>
      </w:r>
    </w:p>
    <w:p w14:paraId="4D64B6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废标后，</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eastAsia="宋体" w:cs="宋体"/>
          <w:color w:val="000000" w:themeColor="text1"/>
          <w:sz w:val="24"/>
          <w:szCs w:val="24"/>
          <w:highlight w:val="none"/>
          <w14:textFill>
            <w14:solidFill>
              <w14:schemeClr w14:val="tx1"/>
            </w14:solidFill>
          </w14:textFill>
        </w:rPr>
        <w:t>应将废标理由通知所有投标人。</w:t>
      </w:r>
    </w:p>
    <w:p w14:paraId="6D5A43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八、解释权</w:t>
      </w:r>
    </w:p>
    <w:p w14:paraId="4C289E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本次招标的最终解释权为</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eastAsia="宋体" w:cs="宋体"/>
          <w:color w:val="000000" w:themeColor="text1"/>
          <w:sz w:val="24"/>
          <w:szCs w:val="24"/>
          <w:highlight w:val="none"/>
          <w14:textFill>
            <w14:solidFill>
              <w14:schemeClr w14:val="tx1"/>
            </w14:solidFill>
          </w14:textFill>
        </w:rPr>
        <w:t>，当对一个问题有多种解释时以</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eastAsia="宋体" w:cs="宋体"/>
          <w:color w:val="000000" w:themeColor="text1"/>
          <w:sz w:val="24"/>
          <w:szCs w:val="24"/>
          <w:highlight w:val="none"/>
          <w14:textFill>
            <w14:solidFill>
              <w14:schemeClr w14:val="tx1"/>
            </w14:solidFill>
          </w14:textFill>
        </w:rPr>
        <w:t>的书面解释为准。</w:t>
      </w:r>
    </w:p>
    <w:p w14:paraId="26CB52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招标文件未做明示，而又有相关法律、法规规定的，</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eastAsia="宋体" w:cs="宋体"/>
          <w:color w:val="000000" w:themeColor="text1"/>
          <w:sz w:val="24"/>
          <w:szCs w:val="24"/>
          <w:highlight w:val="none"/>
          <w14:textFill>
            <w14:solidFill>
              <w14:schemeClr w14:val="tx1"/>
            </w14:solidFill>
          </w14:textFill>
        </w:rPr>
        <w:t>对此所</w:t>
      </w:r>
      <w:r>
        <w:rPr>
          <w:rFonts w:hint="eastAsia" w:ascii="宋体" w:hAnsi="宋体" w:eastAsia="宋体" w:cs="宋体"/>
          <w:color w:val="000000" w:themeColor="text1"/>
          <w:sz w:val="24"/>
          <w:szCs w:val="24"/>
          <w:highlight w:val="none"/>
          <w:lang w:eastAsia="zh-CN"/>
          <w14:textFill>
            <w14:solidFill>
              <w14:schemeClr w14:val="tx1"/>
            </w14:solidFill>
          </w14:textFill>
        </w:rPr>
        <w:t>作</w:t>
      </w:r>
      <w:r>
        <w:rPr>
          <w:rFonts w:hint="eastAsia" w:ascii="宋体" w:hAnsi="宋体" w:eastAsia="宋体" w:cs="宋体"/>
          <w:color w:val="000000" w:themeColor="text1"/>
          <w:sz w:val="24"/>
          <w:szCs w:val="24"/>
          <w:highlight w:val="none"/>
          <w14:textFill>
            <w14:solidFill>
              <w14:schemeClr w14:val="tx1"/>
            </w14:solidFill>
          </w14:textFill>
        </w:rPr>
        <w:t>解释以相关的法律、法规的规定为依据。</w:t>
      </w:r>
    </w:p>
    <w:p w14:paraId="0456B87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九</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eastAsia="zh-CN"/>
          <w14:textFill>
            <w14:solidFill>
              <w14:schemeClr w14:val="tx1"/>
            </w14:solidFill>
          </w14:textFill>
        </w:rPr>
        <w:t>询问、</w:t>
      </w:r>
      <w:r>
        <w:rPr>
          <w:rFonts w:hint="eastAsia" w:ascii="宋体" w:hAnsi="宋体" w:eastAsia="宋体" w:cs="宋体"/>
          <w:b/>
          <w:bCs/>
          <w:color w:val="000000" w:themeColor="text1"/>
          <w:sz w:val="24"/>
          <w:szCs w:val="24"/>
          <w:highlight w:val="none"/>
          <w14:textFill>
            <w14:solidFill>
              <w14:schemeClr w14:val="tx1"/>
            </w14:solidFill>
          </w14:textFill>
        </w:rPr>
        <w:t>质疑</w:t>
      </w:r>
      <w:r>
        <w:rPr>
          <w:rFonts w:hint="eastAsia" w:ascii="宋体" w:hAnsi="宋体" w:eastAsia="宋体" w:cs="宋体"/>
          <w:b/>
          <w:bCs/>
          <w:color w:val="000000" w:themeColor="text1"/>
          <w:sz w:val="24"/>
          <w:szCs w:val="24"/>
          <w:highlight w:val="none"/>
          <w:lang w:eastAsia="zh-CN"/>
          <w14:textFill>
            <w14:solidFill>
              <w14:schemeClr w14:val="tx1"/>
            </w14:solidFill>
          </w14:textFill>
        </w:rPr>
        <w:t>投诉</w:t>
      </w:r>
      <w:r>
        <w:rPr>
          <w:rFonts w:hint="eastAsia" w:ascii="宋体" w:hAnsi="宋体" w:eastAsia="宋体" w:cs="宋体"/>
          <w:b/>
          <w:bCs/>
          <w:color w:val="000000" w:themeColor="text1"/>
          <w:sz w:val="24"/>
          <w:szCs w:val="24"/>
          <w:highlight w:val="none"/>
          <w14:textFill>
            <w14:solidFill>
              <w14:schemeClr w14:val="tx1"/>
            </w14:solidFill>
          </w14:textFill>
        </w:rPr>
        <w:t xml:space="preserve"> </w:t>
      </w:r>
    </w:p>
    <w:p w14:paraId="431773F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质疑投诉：</w:t>
      </w:r>
    </w:p>
    <w:p w14:paraId="010E75C5">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（一）质疑</w:t>
      </w:r>
    </w:p>
    <w:p w14:paraId="02CAEA5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1、质疑</w:t>
      </w:r>
    </w:p>
    <w:p w14:paraId="4AE3FB5E">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按照《中华人民共和国政府采购法》、《中华人民共和国政府采购法实施条例》、《政府采购质疑和投诉办法》等有关规定，参加本次政府采购活动的供应商认为采购文件、招标过程和中标结果使自己的权益受到损害的，可以在知道或者应知道其权益受到损害之日起七个工作日内，以书面形式向</w:t>
      </w:r>
      <w:r>
        <w:rPr>
          <w:rFonts w:hint="eastAsia" w:ascii="宋体" w:hAnsi="宋体" w:cs="宋体"/>
          <w:sz w:val="24"/>
          <w:szCs w:val="24"/>
          <w:highlight w:val="none"/>
          <w:lang w:eastAsia="zh-CN"/>
        </w:rPr>
        <w:t>招标人</w:t>
      </w:r>
      <w:r>
        <w:rPr>
          <w:rFonts w:hint="eastAsia" w:ascii="宋体" w:hAnsi="宋体" w:eastAsia="宋体" w:cs="宋体"/>
          <w:sz w:val="24"/>
          <w:szCs w:val="24"/>
          <w:highlight w:val="none"/>
        </w:rPr>
        <w:t>或者采购代理机构提出质疑。</w:t>
      </w:r>
    </w:p>
    <w:p w14:paraId="2D99ECA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2、供应商提出质疑应当提交质疑函和必要的证明材料。质疑函应当包括下列内容：</w:t>
      </w:r>
    </w:p>
    <w:p w14:paraId="6BC3581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（1）供应商的姓名或者名称、地址、邮编、联系人及联系电话；</w:t>
      </w:r>
    </w:p>
    <w:p w14:paraId="08BE279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（2）质疑项目的名称、编号；</w:t>
      </w:r>
    </w:p>
    <w:p w14:paraId="498326B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（3）具体、明确的质疑事项和与质疑事项相关的请求；</w:t>
      </w:r>
    </w:p>
    <w:p w14:paraId="0D92C37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（4）事实依据；</w:t>
      </w:r>
    </w:p>
    <w:p w14:paraId="731B470C">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（5）必要的法律依据；</w:t>
      </w:r>
    </w:p>
    <w:p w14:paraId="182A4D65">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（6）提出质疑的日期。</w:t>
      </w:r>
    </w:p>
    <w:p w14:paraId="4CB58AC5">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供应商为自然人的，应当由本人签字；供应商为法人或者其他组织的，应当由法定代表人、主要负责人，或者其授权代表签字或者盖章，并加盖公章。</w:t>
      </w:r>
    </w:p>
    <w:p w14:paraId="65BA343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代理人办理质疑事项时，还应当提交授权委托书，授权委托书应当载明代理的具体权限和事项，否则</w:t>
      </w:r>
      <w:r>
        <w:rPr>
          <w:rFonts w:hint="eastAsia" w:ascii="宋体" w:hAnsi="宋体" w:cs="宋体"/>
          <w:sz w:val="24"/>
          <w:szCs w:val="24"/>
          <w:highlight w:val="none"/>
          <w:lang w:eastAsia="zh-CN"/>
        </w:rPr>
        <w:t>招标人</w:t>
      </w:r>
      <w:r>
        <w:rPr>
          <w:rFonts w:hint="eastAsia" w:ascii="宋体" w:hAnsi="宋体" w:eastAsia="宋体" w:cs="宋体"/>
          <w:sz w:val="24"/>
          <w:szCs w:val="24"/>
          <w:highlight w:val="none"/>
        </w:rPr>
        <w:t>或者采购代理机构不予受理。</w:t>
      </w:r>
    </w:p>
    <w:p w14:paraId="4DF6CED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质疑函范本下载地址：http://www.ccgp.gov.cn/</w:t>
      </w:r>
    </w:p>
    <w:p w14:paraId="0DE40BC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接收质疑函的方式：书面形式。其他任何方式的质疑，</w:t>
      </w:r>
      <w:r>
        <w:rPr>
          <w:rFonts w:hint="eastAsia" w:ascii="宋体" w:hAnsi="宋体" w:cs="宋体"/>
          <w:sz w:val="24"/>
          <w:szCs w:val="24"/>
          <w:highlight w:val="none"/>
          <w:lang w:eastAsia="zh-CN"/>
        </w:rPr>
        <w:t>招标人</w:t>
      </w:r>
      <w:r>
        <w:rPr>
          <w:rFonts w:hint="eastAsia" w:ascii="宋体" w:hAnsi="宋体" w:eastAsia="宋体" w:cs="宋体"/>
          <w:sz w:val="24"/>
          <w:szCs w:val="24"/>
          <w:highlight w:val="none"/>
        </w:rPr>
        <w:t>或者采购代理机构均不予接受和回复。</w:t>
      </w:r>
    </w:p>
    <w:p w14:paraId="05F4178C">
      <w:pPr>
        <w:spacing w:line="360" w:lineRule="auto"/>
        <w:rPr>
          <w:rFonts w:hint="eastAsia" w:ascii="宋体" w:hAnsi="宋体" w:eastAsia="宋体" w:cs="宋体"/>
          <w:sz w:val="24"/>
          <w:szCs w:val="24"/>
          <w:highlight w:val="none"/>
          <w:lang w:eastAsia="zh-CN"/>
        </w:rPr>
      </w:pPr>
      <w:bookmarkStart w:id="34" w:name="_Hlk144721818"/>
      <w:r>
        <w:rPr>
          <w:rFonts w:hint="eastAsia" w:ascii="宋体" w:hAnsi="宋体" w:eastAsia="宋体" w:cs="宋体"/>
          <w:sz w:val="24"/>
          <w:szCs w:val="24"/>
          <w:highlight w:val="none"/>
        </w:rPr>
        <w:t>质疑函收件人：</w:t>
      </w:r>
      <w:r>
        <w:rPr>
          <w:rFonts w:hint="eastAsia" w:ascii="宋体" w:hAnsi="宋体" w:cs="宋体"/>
          <w:sz w:val="24"/>
          <w:szCs w:val="24"/>
          <w:highlight w:val="none"/>
          <w:lang w:val="en-US" w:eastAsia="zh-CN"/>
        </w:rPr>
        <w:t>张经理</w:t>
      </w:r>
      <w:r>
        <w:rPr>
          <w:rFonts w:hint="eastAsia" w:ascii="宋体" w:hAnsi="宋体" w:eastAsia="宋体" w:cs="宋体"/>
          <w:sz w:val="24"/>
          <w:szCs w:val="24"/>
          <w:highlight w:val="none"/>
        </w:rPr>
        <w:t xml:space="preserve">    联系电话：</w:t>
      </w:r>
      <w:r>
        <w:rPr>
          <w:rFonts w:hint="eastAsia" w:ascii="宋体" w:hAnsi="宋体" w:cs="宋体"/>
          <w:sz w:val="24"/>
          <w:szCs w:val="24"/>
          <w:highlight w:val="none"/>
          <w:lang w:eastAsia="zh-CN"/>
        </w:rPr>
        <w:t>18769536666</w:t>
      </w:r>
    </w:p>
    <w:p w14:paraId="2A58E88D">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通讯地址：</w:t>
      </w:r>
      <w:r>
        <w:rPr>
          <w:rFonts w:hint="eastAsia" w:ascii="宋体" w:hAnsi="宋体" w:cs="宋体"/>
          <w:sz w:val="24"/>
          <w:szCs w:val="24"/>
          <w:highlight w:val="none"/>
          <w:lang w:eastAsia="zh-CN"/>
        </w:rPr>
        <w:t>山东省聊城市东昌府区许营镇湖南路与庐山路交叉口博奥克东临中冶天工7号楼411室</w:t>
      </w:r>
    </w:p>
    <w:bookmarkEnd w:id="34"/>
    <w:p w14:paraId="5A84CEC7">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3、供应商在法定质疑期内必须一次性提出针对同一采购程序环节的所有质疑，重复质疑或多次质疑</w:t>
      </w:r>
      <w:r>
        <w:rPr>
          <w:rFonts w:hint="eastAsia" w:ascii="宋体" w:hAnsi="宋体" w:cs="宋体"/>
          <w:sz w:val="24"/>
          <w:szCs w:val="24"/>
          <w:highlight w:val="none"/>
          <w:lang w:eastAsia="zh-CN"/>
        </w:rPr>
        <w:t>招标人</w:t>
      </w:r>
      <w:r>
        <w:rPr>
          <w:rFonts w:hint="eastAsia" w:ascii="宋体" w:hAnsi="宋体" w:eastAsia="宋体" w:cs="宋体"/>
          <w:sz w:val="24"/>
          <w:szCs w:val="24"/>
          <w:highlight w:val="none"/>
        </w:rPr>
        <w:t>或者采购代理机构不予受理。</w:t>
      </w:r>
    </w:p>
    <w:p w14:paraId="6DFD4F86">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cs="宋体"/>
          <w:sz w:val="24"/>
          <w:szCs w:val="24"/>
          <w:highlight w:val="none"/>
          <w:lang w:eastAsia="zh-CN"/>
        </w:rPr>
        <w:t>招标人</w:t>
      </w:r>
      <w:r>
        <w:rPr>
          <w:rFonts w:hint="eastAsia" w:ascii="宋体" w:hAnsi="宋体" w:eastAsia="宋体" w:cs="宋体"/>
          <w:sz w:val="24"/>
          <w:szCs w:val="24"/>
          <w:highlight w:val="none"/>
        </w:rPr>
        <w:t>或者采购代理机构在收到质疑书后七个工作日内作出书面答复，但答复不得涉及商业秘密。</w:t>
      </w:r>
    </w:p>
    <w:p w14:paraId="58F9837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5、质疑人对</w:t>
      </w:r>
      <w:r>
        <w:rPr>
          <w:rFonts w:hint="eastAsia" w:ascii="宋体" w:hAnsi="宋体" w:cs="宋体"/>
          <w:sz w:val="24"/>
          <w:szCs w:val="24"/>
          <w:highlight w:val="none"/>
          <w:lang w:eastAsia="zh-CN"/>
        </w:rPr>
        <w:t>招标人</w:t>
      </w:r>
      <w:r>
        <w:rPr>
          <w:rFonts w:hint="eastAsia" w:ascii="宋体" w:hAnsi="宋体" w:eastAsia="宋体" w:cs="宋体"/>
          <w:sz w:val="24"/>
          <w:szCs w:val="24"/>
          <w:highlight w:val="none"/>
        </w:rPr>
        <w:t>、采购代理机构的答复不满意或者</w:t>
      </w:r>
      <w:r>
        <w:rPr>
          <w:rFonts w:hint="eastAsia" w:ascii="宋体" w:hAnsi="宋体" w:cs="宋体"/>
          <w:sz w:val="24"/>
          <w:szCs w:val="24"/>
          <w:highlight w:val="none"/>
          <w:lang w:eastAsia="zh-CN"/>
        </w:rPr>
        <w:t>招标人</w:t>
      </w:r>
      <w:r>
        <w:rPr>
          <w:rFonts w:hint="eastAsia" w:ascii="宋体" w:hAnsi="宋体" w:eastAsia="宋体" w:cs="宋体"/>
          <w:sz w:val="24"/>
          <w:szCs w:val="24"/>
          <w:highlight w:val="none"/>
        </w:rPr>
        <w:t>、采购代理机构未在规定的时间内作出答复的，可以在答复期满后十五个工作日内向同级财政部门投诉。</w:t>
      </w:r>
    </w:p>
    <w:p w14:paraId="652DC37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6、现已启用交易系统在线质疑功能，供应商可在交易系统进行线上质疑。</w:t>
      </w:r>
    </w:p>
    <w:p w14:paraId="4C5B633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（二）投诉</w:t>
      </w:r>
    </w:p>
    <w:p w14:paraId="74D97792">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（1）质疑供应商对</w:t>
      </w:r>
      <w:r>
        <w:rPr>
          <w:rFonts w:hint="eastAsia" w:ascii="宋体" w:hAnsi="宋体" w:cs="宋体"/>
          <w:sz w:val="24"/>
          <w:szCs w:val="24"/>
          <w:highlight w:val="none"/>
          <w:lang w:eastAsia="zh-CN"/>
        </w:rPr>
        <w:t>招标人</w:t>
      </w:r>
      <w:r>
        <w:rPr>
          <w:rFonts w:hint="eastAsia" w:ascii="宋体" w:hAnsi="宋体" w:eastAsia="宋体" w:cs="宋体"/>
          <w:sz w:val="24"/>
          <w:szCs w:val="24"/>
          <w:highlight w:val="none"/>
        </w:rPr>
        <w:t>、采购代理机构的答复不满意，或者</w:t>
      </w:r>
      <w:r>
        <w:rPr>
          <w:rFonts w:hint="eastAsia" w:ascii="宋体" w:hAnsi="宋体" w:cs="宋体"/>
          <w:sz w:val="24"/>
          <w:szCs w:val="24"/>
          <w:highlight w:val="none"/>
          <w:lang w:eastAsia="zh-CN"/>
        </w:rPr>
        <w:t>招标人</w:t>
      </w:r>
      <w:r>
        <w:rPr>
          <w:rFonts w:hint="eastAsia" w:ascii="宋体" w:hAnsi="宋体" w:eastAsia="宋体" w:cs="宋体"/>
          <w:sz w:val="24"/>
          <w:szCs w:val="24"/>
          <w:highlight w:val="none"/>
        </w:rPr>
        <w:t>、采购代理机构未在规定时间内作出答复的，可以在答复期满后 15 个工作日内向相关的财政部门提起投诉。</w:t>
      </w:r>
    </w:p>
    <w:p w14:paraId="4DBB5AE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（2）投诉人投诉时,应当提交投诉书和必要的证明材料，并按照被投诉</w:t>
      </w:r>
      <w:r>
        <w:rPr>
          <w:rFonts w:hint="eastAsia" w:ascii="宋体" w:hAnsi="宋体" w:cs="宋体"/>
          <w:sz w:val="24"/>
          <w:szCs w:val="24"/>
          <w:highlight w:val="none"/>
          <w:lang w:eastAsia="zh-CN"/>
        </w:rPr>
        <w:t>招标人</w:t>
      </w:r>
      <w:r>
        <w:rPr>
          <w:rFonts w:hint="eastAsia" w:ascii="宋体" w:hAnsi="宋体" w:eastAsia="宋体" w:cs="宋体"/>
          <w:sz w:val="24"/>
          <w:szCs w:val="24"/>
          <w:highlight w:val="none"/>
        </w:rPr>
        <w:t>、采购代理机构和与投诉事项有关的供应商数量提供投诉书的副本。投诉书应当包括下列内容：</w:t>
      </w:r>
    </w:p>
    <w:p w14:paraId="1064D1C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（一）投诉人和被投诉人的姓名或者名称、通讯地址、邮编、联系人及联系电话；</w:t>
      </w:r>
    </w:p>
    <w:p w14:paraId="7E935F2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（二）质疑和质疑答复情况说明及相关证明材料；</w:t>
      </w:r>
    </w:p>
    <w:p w14:paraId="0AB9CB9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（三）具体、明确的投诉事项和与投诉事项相关的投诉请求；</w:t>
      </w:r>
    </w:p>
    <w:p w14:paraId="61B123E3">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（四）事实依据；</w:t>
      </w:r>
    </w:p>
    <w:p w14:paraId="09D60D3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（五）法律依据；</w:t>
      </w:r>
    </w:p>
    <w:p w14:paraId="1E3271A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（六）提起投诉的日期。</w:t>
      </w:r>
    </w:p>
    <w:p w14:paraId="0DB448B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投诉人为自然人的，应当由本人签字；投诉人为法人或者其他组织的，应当由法定代表人、主要负责人，或者其授权代表签字或者盖章，并加盖公章。</w:t>
      </w:r>
    </w:p>
    <w:p w14:paraId="4F86E758">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（3）投诉人应当根据规定的信息内容，并按照其规定的方式提起投诉。</w:t>
      </w:r>
    </w:p>
    <w:p w14:paraId="6FD6CAB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投诉人提起投诉应当符合下列条件：</w:t>
      </w:r>
    </w:p>
    <w:p w14:paraId="27ED3787">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（一）提起投诉前已依法进行质疑；</w:t>
      </w:r>
    </w:p>
    <w:p w14:paraId="6BDD08C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（二）投诉书内容符合本办法的规定；</w:t>
      </w:r>
    </w:p>
    <w:p w14:paraId="5384BD8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（三）在投诉有效期限内提起投诉；</w:t>
      </w:r>
    </w:p>
    <w:p w14:paraId="12090C18">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（四）同一投诉事项未经财政部门投诉处理；</w:t>
      </w:r>
    </w:p>
    <w:p w14:paraId="1DD16E7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（五）财政部规定的其他条件。</w:t>
      </w:r>
    </w:p>
    <w:p w14:paraId="6EEFC4E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（4）供应商投诉的事项不得超出已质疑事项的范围，但基于质疑答复内容提出的投诉事项除外。</w:t>
      </w:r>
    </w:p>
    <w:p w14:paraId="59DB89E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（5）现已启用省信息公开平台线上投诉功能 ， 供应商可在信息公开平台进行线上投诉 。</w:t>
      </w:r>
    </w:p>
    <w:p w14:paraId="4CE0DE26">
      <w:pP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br w:type="page"/>
      </w:r>
    </w:p>
    <w:bookmarkEnd w:id="0"/>
    <w:bookmarkEnd w:id="1"/>
    <w:bookmarkEnd w:id="33"/>
    <w:p w14:paraId="2A03FC51">
      <w:pPr>
        <w:spacing w:line="360" w:lineRule="auto"/>
        <w:jc w:val="center"/>
        <w:outlineLvl w:val="0"/>
        <w:rPr>
          <w:b/>
          <w:color w:val="000000" w:themeColor="text1"/>
          <w:sz w:val="36"/>
          <w:szCs w:val="36"/>
          <w:highlight w:val="none"/>
          <w14:textFill>
            <w14:solidFill>
              <w14:schemeClr w14:val="tx1"/>
            </w14:solidFill>
          </w14:textFill>
        </w:rPr>
      </w:pPr>
      <w:bookmarkStart w:id="35" w:name="_Toc28308"/>
      <w:bookmarkStart w:id="36" w:name="_Toc28331"/>
      <w:bookmarkStart w:id="37" w:name="_Toc353257257"/>
      <w:r>
        <w:rPr>
          <w:b/>
          <w:color w:val="000000" w:themeColor="text1"/>
          <w:sz w:val="36"/>
          <w:szCs w:val="36"/>
          <w:highlight w:val="none"/>
          <w14:textFill>
            <w14:solidFill>
              <w14:schemeClr w14:val="tx1"/>
            </w14:solidFill>
          </w14:textFill>
        </w:rPr>
        <w:t>第三部分  项目说明</w:t>
      </w:r>
      <w:bookmarkEnd w:id="35"/>
      <w:bookmarkEnd w:id="36"/>
    </w:p>
    <w:p w14:paraId="4242C78F">
      <w:pPr>
        <w:pStyle w:val="253"/>
        <w:spacing w:line="360" w:lineRule="auto"/>
        <w:jc w:val="left"/>
        <w:rPr>
          <w:rFonts w:hint="eastAsia" w:ascii="宋体" w:hAnsi="宋体" w:eastAsia="宋体" w:cs="宋体"/>
          <w:sz w:val="24"/>
          <w:szCs w:val="24"/>
        </w:rPr>
      </w:pPr>
      <w:bookmarkStart w:id="38" w:name="_Toc4256"/>
      <w:bookmarkStart w:id="39" w:name="_Toc445"/>
      <w:bookmarkStart w:id="40" w:name="_Toc437856505"/>
      <w:r>
        <w:rPr>
          <w:rFonts w:hint="eastAsia" w:ascii="宋体" w:hAnsi="宋体" w:eastAsia="宋体" w:cs="宋体"/>
          <w:sz w:val="24"/>
          <w:szCs w:val="24"/>
        </w:rPr>
        <w:t>一、项目</w:t>
      </w:r>
      <w:r>
        <w:rPr>
          <w:rFonts w:hint="eastAsia" w:ascii="宋体" w:hAnsi="宋体" w:eastAsia="宋体" w:cs="宋体"/>
          <w:sz w:val="24"/>
          <w:szCs w:val="24"/>
          <w:lang w:val="en-US" w:eastAsia="zh-CN"/>
        </w:rPr>
        <w:t>概况</w:t>
      </w:r>
      <w:r>
        <w:rPr>
          <w:rFonts w:hint="eastAsia" w:ascii="宋体" w:hAnsi="宋体" w:eastAsia="宋体" w:cs="宋体"/>
          <w:sz w:val="24"/>
          <w:szCs w:val="24"/>
        </w:rPr>
        <w:t>：</w:t>
      </w:r>
      <w:r>
        <w:rPr>
          <w:rFonts w:hint="eastAsia" w:ascii="宋体" w:hAnsi="宋体" w:eastAsia="宋体" w:cs="宋体"/>
          <w:sz w:val="24"/>
          <w:szCs w:val="24"/>
          <w:lang w:eastAsia="zh-CN"/>
        </w:rPr>
        <w:t>聊城市公安局交通巡逻警察支队直属二大队食材采购项目</w:t>
      </w:r>
      <w:r>
        <w:rPr>
          <w:rFonts w:hint="eastAsia" w:ascii="宋体" w:hAnsi="宋体" w:eastAsia="宋体" w:cs="宋体"/>
          <w:sz w:val="24"/>
          <w:szCs w:val="24"/>
          <w:lang w:val="en-US" w:eastAsia="zh-CN"/>
        </w:rPr>
        <w:t>，预算金额标段一60万元</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标段二：50万元。</w:t>
      </w:r>
      <w:r>
        <w:rPr>
          <w:rFonts w:hint="eastAsia" w:ascii="宋体" w:hAnsi="宋体" w:eastAsia="宋体" w:cs="宋体"/>
          <w:sz w:val="24"/>
          <w:szCs w:val="24"/>
          <w:lang w:eastAsia="zh-CN"/>
        </w:rPr>
        <w:t>本项目需要</w:t>
      </w:r>
      <w:r>
        <w:rPr>
          <w:rFonts w:hint="eastAsia" w:ascii="宋体" w:hAnsi="宋体" w:eastAsia="宋体" w:cs="宋体"/>
          <w:sz w:val="24"/>
          <w:szCs w:val="24"/>
          <w:lang w:val="en-US" w:eastAsia="zh-CN"/>
        </w:rPr>
        <w:t>供应商</w:t>
      </w:r>
      <w:r>
        <w:rPr>
          <w:rFonts w:hint="eastAsia" w:ascii="宋体" w:hAnsi="宋体" w:eastAsia="宋体" w:cs="宋体"/>
          <w:sz w:val="24"/>
          <w:szCs w:val="24"/>
          <w:lang w:eastAsia="zh-CN"/>
        </w:rPr>
        <w:t>报出</w:t>
      </w:r>
      <w:r>
        <w:rPr>
          <w:rFonts w:hint="eastAsia" w:ascii="宋体" w:hAnsi="宋体" w:eastAsia="宋体" w:cs="宋体"/>
          <w:sz w:val="24"/>
          <w:szCs w:val="24"/>
          <w:lang w:val="en-US" w:eastAsia="zh-CN"/>
        </w:rPr>
        <w:t>大型商超</w:t>
      </w:r>
      <w:r>
        <w:rPr>
          <w:rFonts w:hint="eastAsia" w:ascii="宋体" w:hAnsi="宋体" w:eastAsia="宋体" w:cs="宋体"/>
          <w:sz w:val="24"/>
          <w:szCs w:val="24"/>
          <w:lang w:eastAsia="zh-CN"/>
        </w:rPr>
        <w:t>折扣</w:t>
      </w:r>
      <w:r>
        <w:rPr>
          <w:rFonts w:hint="eastAsia" w:ascii="宋体" w:hAnsi="宋体" w:eastAsia="宋体" w:cs="宋体"/>
          <w:sz w:val="24"/>
          <w:szCs w:val="24"/>
        </w:rPr>
        <w:t>。</w:t>
      </w:r>
    </w:p>
    <w:p w14:paraId="594E8E94">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采购需求：</w:t>
      </w:r>
    </w:p>
    <w:tbl>
      <w:tblPr>
        <w:tblStyle w:val="77"/>
        <w:tblW w:w="101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1894"/>
        <w:gridCol w:w="3731"/>
        <w:gridCol w:w="1613"/>
        <w:gridCol w:w="2106"/>
      </w:tblGrid>
      <w:tr w14:paraId="2F908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vAlign w:val="center"/>
          </w:tcPr>
          <w:p w14:paraId="06CC3B98">
            <w:pPr>
              <w:pStyle w:val="93"/>
              <w:ind w:left="0" w:leftChars="0" w:firstLine="0" w:firstLineChars="0"/>
              <w:jc w:val="center"/>
              <w:rPr>
                <w:rFonts w:hint="default"/>
                <w:vertAlign w:val="baseline"/>
                <w:lang w:val="en-US" w:eastAsia="zh-CN"/>
              </w:rPr>
            </w:pPr>
            <w:r>
              <w:rPr>
                <w:rFonts w:hint="eastAsia"/>
                <w:vertAlign w:val="baseline"/>
                <w:lang w:val="en-US" w:eastAsia="zh-CN"/>
              </w:rPr>
              <w:t>标包</w:t>
            </w:r>
          </w:p>
        </w:tc>
        <w:tc>
          <w:tcPr>
            <w:tcW w:w="1894" w:type="dxa"/>
            <w:vAlign w:val="center"/>
          </w:tcPr>
          <w:p w14:paraId="4068F868">
            <w:pPr>
              <w:pStyle w:val="93"/>
              <w:ind w:left="0" w:leftChars="0" w:firstLine="0" w:firstLineChars="0"/>
              <w:jc w:val="center"/>
              <w:rPr>
                <w:rFonts w:hint="default"/>
                <w:vertAlign w:val="baseline"/>
                <w:lang w:val="en-US" w:eastAsia="zh-CN"/>
              </w:rPr>
            </w:pPr>
            <w:r>
              <w:rPr>
                <w:rFonts w:hint="eastAsia"/>
                <w:vertAlign w:val="baseline"/>
                <w:lang w:val="en-US" w:eastAsia="zh-CN"/>
              </w:rPr>
              <w:t>标的名称</w:t>
            </w:r>
          </w:p>
        </w:tc>
        <w:tc>
          <w:tcPr>
            <w:tcW w:w="3731" w:type="dxa"/>
            <w:vAlign w:val="center"/>
          </w:tcPr>
          <w:p w14:paraId="447FB340">
            <w:pPr>
              <w:pStyle w:val="93"/>
              <w:ind w:left="0" w:leftChars="0" w:firstLine="0" w:firstLineChars="0"/>
              <w:jc w:val="center"/>
              <w:rPr>
                <w:rFonts w:hint="default"/>
                <w:vertAlign w:val="baseline"/>
                <w:lang w:val="en-US" w:eastAsia="zh-CN"/>
              </w:rPr>
            </w:pPr>
            <w:r>
              <w:rPr>
                <w:rFonts w:hint="eastAsia"/>
                <w:vertAlign w:val="baseline"/>
                <w:lang w:val="en-US" w:eastAsia="zh-CN"/>
              </w:rPr>
              <w:t>简要技术参数</w:t>
            </w:r>
          </w:p>
        </w:tc>
        <w:tc>
          <w:tcPr>
            <w:tcW w:w="1613" w:type="dxa"/>
            <w:vAlign w:val="center"/>
          </w:tcPr>
          <w:p w14:paraId="0E788AB7">
            <w:pPr>
              <w:pStyle w:val="93"/>
              <w:ind w:left="0" w:leftChars="0" w:firstLine="0" w:firstLineChars="0"/>
              <w:jc w:val="center"/>
              <w:rPr>
                <w:rFonts w:hint="default"/>
                <w:vertAlign w:val="baseline"/>
                <w:lang w:val="en-US" w:eastAsia="zh-CN"/>
              </w:rPr>
            </w:pPr>
            <w:r>
              <w:rPr>
                <w:rFonts w:hint="eastAsia"/>
                <w:vertAlign w:val="baseline"/>
                <w:lang w:val="en-US" w:eastAsia="zh-CN"/>
              </w:rPr>
              <w:t>预算金额</w:t>
            </w:r>
          </w:p>
        </w:tc>
        <w:tc>
          <w:tcPr>
            <w:tcW w:w="2106" w:type="dxa"/>
            <w:vAlign w:val="center"/>
          </w:tcPr>
          <w:p w14:paraId="30BBDF74">
            <w:pPr>
              <w:pStyle w:val="93"/>
              <w:ind w:left="0" w:leftChars="0" w:firstLine="0" w:firstLineChars="0"/>
              <w:jc w:val="center"/>
              <w:rPr>
                <w:rFonts w:hint="default"/>
                <w:vertAlign w:val="baseline"/>
                <w:lang w:val="en-US" w:eastAsia="zh-CN"/>
              </w:rPr>
            </w:pPr>
            <w:r>
              <w:rPr>
                <w:rFonts w:hint="eastAsia"/>
                <w:vertAlign w:val="baseline"/>
                <w:lang w:val="en-US" w:eastAsia="zh-CN"/>
              </w:rPr>
              <w:t>最高限价</w:t>
            </w:r>
          </w:p>
        </w:tc>
      </w:tr>
      <w:tr w14:paraId="43947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vAlign w:val="center"/>
          </w:tcPr>
          <w:p w14:paraId="2BBAA0A0">
            <w:pPr>
              <w:pStyle w:val="93"/>
              <w:ind w:left="0" w:leftChars="0" w:firstLine="0" w:firstLineChars="0"/>
              <w:jc w:val="center"/>
              <w:rPr>
                <w:rFonts w:hint="default"/>
                <w:vertAlign w:val="baseline"/>
                <w:lang w:val="en-US" w:eastAsia="zh-CN"/>
              </w:rPr>
            </w:pPr>
            <w:r>
              <w:rPr>
                <w:rFonts w:hint="eastAsia"/>
                <w:vertAlign w:val="baseline"/>
                <w:lang w:val="en-US" w:eastAsia="zh-CN"/>
              </w:rPr>
              <w:t>一</w:t>
            </w:r>
          </w:p>
        </w:tc>
        <w:tc>
          <w:tcPr>
            <w:tcW w:w="1894" w:type="dxa"/>
            <w:vAlign w:val="center"/>
          </w:tcPr>
          <w:p w14:paraId="0A7E8A14">
            <w:pPr>
              <w:pStyle w:val="93"/>
              <w:ind w:left="0" w:leftChars="0" w:firstLine="0" w:firstLineChars="0"/>
              <w:jc w:val="center"/>
              <w:rPr>
                <w:rFonts w:hint="eastAsia"/>
                <w:vertAlign w:val="baseline"/>
                <w:lang w:eastAsia="zh-CN"/>
              </w:rPr>
            </w:pPr>
            <w:r>
              <w:rPr>
                <w:rFonts w:hint="eastAsia" w:ascii="宋体" w:hAnsi="宋体" w:eastAsia="宋体" w:cs="宋体"/>
                <w:i w:val="0"/>
                <w:iCs w:val="0"/>
                <w:caps w:val="0"/>
                <w:color w:val="000000"/>
                <w:spacing w:val="0"/>
                <w:sz w:val="24"/>
                <w:szCs w:val="24"/>
                <w:shd w:val="clear" w:fill="FFFFFF"/>
              </w:rPr>
              <w:t>肉类、水产品、米面粮油类</w:t>
            </w:r>
            <w:r>
              <w:rPr>
                <w:rFonts w:hint="eastAsia" w:ascii="宋体" w:hAnsi="宋体" w:eastAsia="宋体" w:cs="宋体"/>
                <w:i w:val="0"/>
                <w:iCs w:val="0"/>
                <w:caps w:val="0"/>
                <w:color w:val="000000"/>
                <w:spacing w:val="0"/>
                <w:sz w:val="24"/>
                <w:szCs w:val="24"/>
                <w:shd w:val="clear" w:fill="FFFFFF"/>
                <w:lang w:val="en-US" w:eastAsia="zh-CN"/>
              </w:rPr>
              <w:t>等</w:t>
            </w:r>
            <w:r>
              <w:rPr>
                <w:rFonts w:hint="eastAsia" w:ascii="宋体" w:hAnsi="宋体" w:eastAsia="宋体" w:cs="宋体"/>
                <w:i w:val="0"/>
                <w:iCs w:val="0"/>
                <w:caps w:val="0"/>
                <w:color w:val="000000"/>
                <w:spacing w:val="0"/>
                <w:sz w:val="24"/>
                <w:szCs w:val="24"/>
                <w:shd w:val="clear" w:fill="FFFFFF"/>
              </w:rPr>
              <w:t>食材供应</w:t>
            </w:r>
          </w:p>
        </w:tc>
        <w:tc>
          <w:tcPr>
            <w:tcW w:w="3731" w:type="dxa"/>
            <w:vAlign w:val="center"/>
          </w:tcPr>
          <w:p w14:paraId="307204D8">
            <w:pPr>
              <w:pStyle w:val="93"/>
              <w:ind w:left="0" w:leftChars="0" w:firstLine="0" w:firstLineChars="0"/>
              <w:jc w:val="center"/>
              <w:rPr>
                <w:rFonts w:hint="default"/>
                <w:vertAlign w:val="baseline"/>
                <w:lang w:val="en-US" w:eastAsia="zh-CN"/>
              </w:rPr>
            </w:pPr>
            <w:r>
              <w:rPr>
                <w:rFonts w:hint="default"/>
                <w:vertAlign w:val="baseline"/>
                <w:lang w:val="en-US" w:eastAsia="zh-CN"/>
              </w:rPr>
              <w:t>包含但不限于猪肉、牛肉、羊肉、鸡肉、鱼肉、排骨、速冻水饺、速冻丸子、狮子头</w:t>
            </w:r>
            <w:r>
              <w:rPr>
                <w:rFonts w:hint="eastAsia"/>
                <w:vertAlign w:val="baseline"/>
                <w:lang w:val="en-US" w:eastAsia="zh-CN"/>
              </w:rPr>
              <w:t>、小麦粉、大米、小米、黄豆、小米面、玉米面、豆面、绿豆、八宝粥、淀粉、</w:t>
            </w:r>
            <w:r>
              <w:rPr>
                <w:rFonts w:hint="eastAsia"/>
                <w:vertAlign w:val="baseline"/>
                <w:lang w:eastAsia="zh-CN"/>
              </w:rPr>
              <w:t>一级大豆油、压榨一级花生油</w:t>
            </w:r>
            <w:r>
              <w:rPr>
                <w:rFonts w:hint="eastAsia"/>
                <w:vertAlign w:val="baseline"/>
                <w:lang w:val="en-US" w:eastAsia="zh-CN"/>
              </w:rPr>
              <w:t>等</w:t>
            </w:r>
          </w:p>
        </w:tc>
        <w:tc>
          <w:tcPr>
            <w:tcW w:w="1613" w:type="dxa"/>
            <w:vAlign w:val="center"/>
          </w:tcPr>
          <w:p w14:paraId="36560AC8">
            <w:pPr>
              <w:pStyle w:val="93"/>
              <w:ind w:left="0" w:leftChars="0" w:firstLine="0" w:firstLineChars="0"/>
              <w:jc w:val="center"/>
              <w:rPr>
                <w:rFonts w:hint="default"/>
                <w:vertAlign w:val="baseline"/>
                <w:lang w:val="en-US" w:eastAsia="zh-CN"/>
              </w:rPr>
            </w:pPr>
            <w:r>
              <w:rPr>
                <w:rFonts w:hint="eastAsia"/>
                <w:vertAlign w:val="baseline"/>
                <w:lang w:val="en-US" w:eastAsia="zh-CN"/>
              </w:rPr>
              <w:t>60万元</w:t>
            </w:r>
          </w:p>
        </w:tc>
        <w:tc>
          <w:tcPr>
            <w:tcW w:w="2106" w:type="dxa"/>
            <w:vAlign w:val="center"/>
          </w:tcPr>
          <w:p w14:paraId="71487F85">
            <w:pPr>
              <w:pStyle w:val="93"/>
              <w:ind w:left="0" w:leftChars="0" w:firstLine="0" w:firstLineChars="0"/>
              <w:jc w:val="center"/>
              <w:rPr>
                <w:rFonts w:hint="eastAsia"/>
                <w:highlight w:val="none"/>
                <w:vertAlign w:val="baseline"/>
                <w:lang w:eastAsia="zh-CN"/>
              </w:rPr>
            </w:pPr>
            <w:r>
              <w:rPr>
                <w:rFonts w:hint="eastAsia"/>
                <w:highlight w:val="none"/>
                <w:vertAlign w:val="baseline"/>
                <w:lang w:val="en-US" w:eastAsia="zh-CN"/>
              </w:rPr>
              <w:t>大型商超</w:t>
            </w:r>
            <w:r>
              <w:rPr>
                <w:rFonts w:hint="eastAsia"/>
                <w:highlight w:val="none"/>
                <w:vertAlign w:val="baseline"/>
                <w:lang w:eastAsia="zh-CN"/>
              </w:rPr>
              <w:t>价格的</w:t>
            </w:r>
            <w:r>
              <w:rPr>
                <w:rFonts w:hint="eastAsia"/>
                <w:highlight w:val="none"/>
                <w:vertAlign w:val="baseline"/>
                <w:lang w:val="en-US" w:eastAsia="zh-CN"/>
              </w:rPr>
              <w:t>95%</w:t>
            </w:r>
          </w:p>
        </w:tc>
      </w:tr>
      <w:tr w14:paraId="55C84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6" w:type="dxa"/>
            <w:vAlign w:val="center"/>
          </w:tcPr>
          <w:p w14:paraId="792AB3C8">
            <w:pPr>
              <w:pStyle w:val="93"/>
              <w:ind w:left="0" w:leftChars="0" w:firstLine="0" w:firstLineChars="0"/>
              <w:jc w:val="center"/>
              <w:rPr>
                <w:rFonts w:hint="default"/>
                <w:vertAlign w:val="baseline"/>
                <w:lang w:val="en-US" w:eastAsia="zh-CN"/>
              </w:rPr>
            </w:pPr>
            <w:r>
              <w:rPr>
                <w:rFonts w:hint="eastAsia"/>
                <w:vertAlign w:val="baseline"/>
                <w:lang w:val="en-US" w:eastAsia="zh-CN"/>
              </w:rPr>
              <w:t>二</w:t>
            </w:r>
          </w:p>
        </w:tc>
        <w:tc>
          <w:tcPr>
            <w:tcW w:w="1894" w:type="dxa"/>
            <w:vAlign w:val="center"/>
          </w:tcPr>
          <w:p w14:paraId="69B06A00">
            <w:pPr>
              <w:pStyle w:val="93"/>
              <w:ind w:left="0" w:leftChars="0" w:firstLine="0" w:firstLineChars="0"/>
              <w:jc w:val="center"/>
              <w:rPr>
                <w:rFonts w:hint="eastAsia"/>
                <w:vertAlign w:val="baseline"/>
                <w:lang w:eastAsia="zh-CN"/>
              </w:rPr>
            </w:pPr>
            <w:r>
              <w:rPr>
                <w:rFonts w:hint="eastAsia" w:ascii="宋体" w:hAnsi="宋体" w:eastAsia="宋体" w:cs="宋体"/>
                <w:i w:val="0"/>
                <w:iCs w:val="0"/>
                <w:caps w:val="0"/>
                <w:color w:val="000000"/>
                <w:spacing w:val="0"/>
                <w:sz w:val="24"/>
                <w:szCs w:val="24"/>
                <w:shd w:val="clear" w:fill="FFFFFF"/>
              </w:rPr>
              <w:t>蔬菜水果类、蛋类、奶制品类、调味品</w:t>
            </w:r>
            <w:r>
              <w:rPr>
                <w:rFonts w:hint="eastAsia" w:ascii="宋体" w:hAnsi="宋体" w:eastAsia="宋体" w:cs="宋体"/>
                <w:i w:val="0"/>
                <w:iCs w:val="0"/>
                <w:caps w:val="0"/>
                <w:color w:val="000000"/>
                <w:spacing w:val="0"/>
                <w:sz w:val="24"/>
                <w:szCs w:val="24"/>
                <w:shd w:val="clear" w:fill="FFFFFF"/>
                <w:lang w:val="en-US" w:eastAsia="zh-CN"/>
              </w:rPr>
              <w:t>等</w:t>
            </w:r>
            <w:r>
              <w:rPr>
                <w:rFonts w:hint="eastAsia" w:ascii="宋体" w:hAnsi="宋体" w:eastAsia="宋体" w:cs="宋体"/>
                <w:i w:val="0"/>
                <w:iCs w:val="0"/>
                <w:caps w:val="0"/>
                <w:color w:val="000000"/>
                <w:spacing w:val="0"/>
                <w:sz w:val="24"/>
                <w:szCs w:val="24"/>
                <w:shd w:val="clear" w:fill="FFFFFF"/>
              </w:rPr>
              <w:t>食材供应</w:t>
            </w:r>
          </w:p>
        </w:tc>
        <w:tc>
          <w:tcPr>
            <w:tcW w:w="3731" w:type="dxa"/>
            <w:vAlign w:val="center"/>
          </w:tcPr>
          <w:p w14:paraId="48A92F80">
            <w:pPr>
              <w:pStyle w:val="93"/>
              <w:ind w:left="0" w:leftChars="0" w:firstLine="0" w:firstLineChars="0"/>
              <w:jc w:val="center"/>
              <w:rPr>
                <w:rFonts w:hint="eastAsia"/>
                <w:vertAlign w:val="baseline"/>
                <w:lang w:eastAsia="zh-CN"/>
              </w:rPr>
            </w:pPr>
            <w:r>
              <w:rPr>
                <w:rFonts w:hint="eastAsia"/>
                <w:vertAlign w:val="baseline"/>
                <w:lang w:eastAsia="zh-CN"/>
              </w:rPr>
              <w:t>包含但不限于</w:t>
            </w:r>
            <w:r>
              <w:rPr>
                <w:rFonts w:hint="eastAsia"/>
                <w:vertAlign w:val="baseline"/>
                <w:lang w:val="en-US" w:eastAsia="zh-CN"/>
              </w:rPr>
              <w:t>各种应季蔬菜、水果、</w:t>
            </w:r>
            <w:r>
              <w:rPr>
                <w:rFonts w:hint="eastAsia"/>
                <w:vertAlign w:val="baseline"/>
                <w:lang w:eastAsia="zh-CN"/>
              </w:rPr>
              <w:t>食盐、酱油、食醋、甜酱、老抽、耗油、料酒、香油、味精、鸡精粉、花椒、大料、白砂糖、咸菜、豆腐乳、干辣椒、鸡蛋、咸鸭蛋、纯牛奶、火腿肠、糕点(鸡蛋蛋糕、口酥)等</w:t>
            </w:r>
          </w:p>
        </w:tc>
        <w:tc>
          <w:tcPr>
            <w:tcW w:w="1613" w:type="dxa"/>
            <w:vAlign w:val="center"/>
          </w:tcPr>
          <w:p w14:paraId="675A0883">
            <w:pPr>
              <w:pStyle w:val="93"/>
              <w:ind w:left="0" w:leftChars="0" w:firstLine="0" w:firstLineChars="0"/>
              <w:jc w:val="center"/>
              <w:rPr>
                <w:rFonts w:hint="default"/>
                <w:vertAlign w:val="baseline"/>
                <w:lang w:val="en-US" w:eastAsia="zh-CN"/>
              </w:rPr>
            </w:pPr>
            <w:r>
              <w:rPr>
                <w:rFonts w:hint="eastAsia"/>
                <w:vertAlign w:val="baseline"/>
                <w:lang w:val="en-US" w:eastAsia="zh-CN"/>
              </w:rPr>
              <w:t>50万元</w:t>
            </w:r>
          </w:p>
        </w:tc>
        <w:tc>
          <w:tcPr>
            <w:tcW w:w="2106" w:type="dxa"/>
            <w:vAlign w:val="center"/>
          </w:tcPr>
          <w:p w14:paraId="4395BA4D">
            <w:pPr>
              <w:pStyle w:val="93"/>
              <w:ind w:left="0" w:leftChars="0" w:firstLine="0" w:firstLineChars="0"/>
              <w:jc w:val="center"/>
              <w:rPr>
                <w:rFonts w:hint="eastAsia"/>
                <w:highlight w:val="none"/>
                <w:vertAlign w:val="baseline"/>
                <w:lang w:eastAsia="zh-CN"/>
              </w:rPr>
            </w:pPr>
            <w:r>
              <w:rPr>
                <w:rFonts w:hint="eastAsia"/>
                <w:highlight w:val="none"/>
                <w:vertAlign w:val="baseline"/>
                <w:lang w:val="en-US" w:eastAsia="zh-CN"/>
              </w:rPr>
              <w:t>大型商超</w:t>
            </w:r>
            <w:r>
              <w:rPr>
                <w:rFonts w:hint="eastAsia"/>
                <w:highlight w:val="none"/>
                <w:vertAlign w:val="baseline"/>
                <w:lang w:eastAsia="zh-CN"/>
              </w:rPr>
              <w:t>价格的</w:t>
            </w:r>
            <w:r>
              <w:rPr>
                <w:rFonts w:hint="eastAsia"/>
                <w:highlight w:val="none"/>
                <w:vertAlign w:val="baseline"/>
                <w:lang w:val="en-US" w:eastAsia="zh-CN"/>
              </w:rPr>
              <w:t>95%</w:t>
            </w:r>
          </w:p>
        </w:tc>
      </w:tr>
    </w:tbl>
    <w:p w14:paraId="6411DC47">
      <w:pPr>
        <w:keepNext w:val="0"/>
        <w:keepLines w:val="0"/>
        <w:widowControl/>
        <w:suppressLineNumbers w:val="0"/>
        <w:spacing w:line="360" w:lineRule="auto"/>
        <w:jc w:val="left"/>
        <w:rPr>
          <w:rFonts w:hint="eastAsia" w:asciiTheme="majorEastAsia" w:hAnsiTheme="majorEastAsia" w:eastAsiaTheme="majorEastAsia" w:cstheme="majorEastAsia"/>
        </w:rPr>
      </w:pPr>
      <w:r>
        <w:rPr>
          <w:rFonts w:hint="eastAsia" w:asciiTheme="majorEastAsia" w:hAnsiTheme="majorEastAsia" w:eastAsiaTheme="majorEastAsia" w:cstheme="majorEastAsia"/>
          <w:b/>
          <w:bCs/>
          <w:color w:val="000000"/>
          <w:kern w:val="0"/>
          <w:sz w:val="24"/>
          <w:szCs w:val="24"/>
          <w:lang w:val="en-US" w:eastAsia="zh-CN" w:bidi="ar"/>
        </w:rPr>
        <w:t xml:space="preserve">二、供货要求 </w:t>
      </w:r>
    </w:p>
    <w:p w14:paraId="4A740949">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1、中标人应严格按照售后质量保障体系做好各项服务工作。 </w:t>
      </w:r>
    </w:p>
    <w:p w14:paraId="6FC0C5A0">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2、中标人必须在招标人规定的期限内将货物送达招标人指定地点，否则由此造成的损失由中标人全部承担。 </w:t>
      </w:r>
    </w:p>
    <w:p w14:paraId="31EC4472">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3、中标人必须保证所提供的货物为全新正品，如出现部分与响应文件不符的情况，导致招标人不能使用，中标人除更换不相符的物品外，还要承担由此给招标人带来的全部损失。 </w:t>
      </w:r>
    </w:p>
    <w:p w14:paraId="6EA833FB">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4、本项目不允许采购进口产品。 </w:t>
      </w:r>
    </w:p>
    <w:p w14:paraId="3B812DF7">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bCs/>
          <w:color w:val="000000"/>
          <w:kern w:val="0"/>
          <w:sz w:val="24"/>
          <w:szCs w:val="24"/>
          <w:highlight w:val="none"/>
          <w:lang w:val="en-US" w:eastAsia="zh-CN" w:bidi="ar"/>
        </w:rPr>
        <w:t xml:space="preserve">三、项目清单及要求。服务期间内，中标人配送的种类应以招标人实际下达的订单为准，包含不限于以下产品：  </w:t>
      </w:r>
    </w:p>
    <w:p w14:paraId="62E47DB3">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bCs/>
          <w:color w:val="000000"/>
          <w:kern w:val="0"/>
          <w:sz w:val="24"/>
          <w:szCs w:val="24"/>
          <w:highlight w:val="none"/>
          <w:lang w:val="en-US" w:eastAsia="zh-CN" w:bidi="ar"/>
        </w:rPr>
        <w:t xml:space="preserve">（一）蔬菜种类及质量要求 </w:t>
      </w:r>
    </w:p>
    <w:p w14:paraId="3344896F">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1.1 大白菜:新鲜洁白,表面无黑色斑点,里面无烂心、无开花、坏叶不超过3片； </w:t>
      </w:r>
    </w:p>
    <w:p w14:paraId="4F68E4E2">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1.2 白萝卜:表皮光洁,无黑心、无空心,小的不低于 0.5 斤,大的不超过3斤； </w:t>
      </w:r>
    </w:p>
    <w:p w14:paraId="25364F2E">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1.3 尖椒:无异味,尾部新鲜、硬朗、硬而不青,长度不短于10公分； </w:t>
      </w:r>
    </w:p>
    <w:p w14:paraId="04A0943D">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1.4 圆椒:无异味,尾部新鲜、硬朗、硬而不青； </w:t>
      </w:r>
    </w:p>
    <w:p w14:paraId="370025ED">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1.5 菠菜:鲜嫩、亮丽、无烂叶 </w:t>
      </w:r>
    </w:p>
    <w:p w14:paraId="3F9850F2">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1.6 红椒:无异味,尾部新鲜、硬朗、硬而不烂,长不能太小； </w:t>
      </w:r>
    </w:p>
    <w:p w14:paraId="580AAE61">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1.7 包菜:1.5 斤以上,无黄叶、虫叶、结实无烂心； </w:t>
      </w:r>
    </w:p>
    <w:p w14:paraId="44142D19">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1.8 葱:长而匀称、绿色鲜艳、无暗斑、尾部老硬不能超过 1 寸,没有冻伤(中间抽看,防冻烂)； </w:t>
      </w:r>
    </w:p>
    <w:p w14:paraId="74ABC122">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1.9 红萝卜:直径 2 公分、长度 1 公寸,大而均匀、色泽鲜艳； </w:t>
      </w:r>
    </w:p>
    <w:p w14:paraId="36C19C85">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1.10 花菜:直径 1 公寸,洁白而无黑点斑点,箱装则防冻烂； </w:t>
      </w:r>
    </w:p>
    <w:p w14:paraId="3ADE9E7D">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1.11 西兰花:表面蓓蕾平展,无开花现象，无异味臭味,外表如有潮表色则证明已变质； </w:t>
      </w:r>
    </w:p>
    <w:p w14:paraId="19C1A61F">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1.12 山药:白色,有木质感、结实、外表无凸出枝节； </w:t>
      </w:r>
    </w:p>
    <w:p w14:paraId="08BC29D7">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1.13 冬瓜:个大、结实、无松软感,检查表皮,防烂；</w:t>
      </w:r>
    </w:p>
    <w:p w14:paraId="79463BA8">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1.14 生菜:叶大要嫩、无烂叶； </w:t>
      </w:r>
    </w:p>
    <w:p w14:paraId="62932E6C">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1.15 茄子:长、直、嫩、折断洁白无籽； </w:t>
      </w:r>
    </w:p>
    <w:p w14:paraId="05C15565">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1.16 香菜:味香浓、色泽绿鲜嫩无烂叶； </w:t>
      </w:r>
    </w:p>
    <w:p w14:paraId="1E59FE24">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1.17 生姜:个大、金黄色、无芽； </w:t>
      </w:r>
    </w:p>
    <w:p w14:paraId="672D4B5E">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1.18 西芹:嫩绿色折断无筋,无烂心;进口西芹则棵大、杆长、节稀； </w:t>
      </w:r>
    </w:p>
    <w:p w14:paraId="72EA4BBF">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1.19 土豆:大而圆滑、无泥土、无发芽； </w:t>
      </w:r>
    </w:p>
    <w:p w14:paraId="3F83A039">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1.20 西红柿:红而不软,硬而不青； </w:t>
      </w:r>
    </w:p>
    <w:p w14:paraId="665D688C">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1.21 洋葱:要饱满、无烂皮； </w:t>
      </w:r>
    </w:p>
    <w:p w14:paraId="0DAFC30B">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1.22 油麦菜:鲜嫩、身长叶青、无烂叶； </w:t>
      </w:r>
    </w:p>
    <w:p w14:paraId="489BA912">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1.23 空心菜:鲜嫩、叶青、无烂叶； </w:t>
      </w:r>
    </w:p>
    <w:p w14:paraId="43B89639">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1.24 红薯:大个、无虫眼、无腐烂、肉红水分足； </w:t>
      </w:r>
    </w:p>
    <w:p w14:paraId="1D5EB27F">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1.24 大蒜:新鲜、无腐烂、要均匀； </w:t>
      </w:r>
    </w:p>
    <w:p w14:paraId="32579591">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bCs/>
          <w:color w:val="000000"/>
          <w:kern w:val="0"/>
          <w:sz w:val="24"/>
          <w:szCs w:val="24"/>
          <w:highlight w:val="none"/>
          <w:lang w:val="en-US" w:eastAsia="zh-CN" w:bidi="ar"/>
        </w:rPr>
        <w:t>备注:</w:t>
      </w:r>
      <w:r>
        <w:rPr>
          <w:rFonts w:hint="eastAsia" w:asciiTheme="majorEastAsia" w:hAnsiTheme="majorEastAsia" w:eastAsiaTheme="majorEastAsia" w:cstheme="majorEastAsia"/>
          <w:color w:val="000000"/>
          <w:kern w:val="0"/>
          <w:sz w:val="24"/>
          <w:szCs w:val="24"/>
          <w:highlight w:val="none"/>
          <w:lang w:val="en-US" w:eastAsia="zh-CN" w:bidi="ar"/>
        </w:rPr>
        <w:t xml:space="preserve">1、中标人应根据季节及招标人要求采购市场上的蔬菜，菜品保证正规渠道，蔬菜要求新鲜且为当天供应的蔬菜，蔬菜的可利用率高，达到商场零售标准要求。因蔬菜价格随季节变化浮动较大，价格根据聊城市本地大型超市当日价格，由甲方与中标人共同考察后认定。 </w:t>
      </w:r>
    </w:p>
    <w:p w14:paraId="10D6687D">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2、菜品要求日日配送,新鲜鲜嫩（形态饱满、色泽正常、无泛黄、发病、腐烂、无杂草泥土、嗅觉检验无异味，品质优良）, 农药残留不超标，不得配送陈菜. 要求所配送蔬菜新鲜、干净，无毒、无霉烂变质、污秽不洁、生虫、混有异物等情况，否则招标人可以拒收。 </w:t>
      </w:r>
    </w:p>
    <w:p w14:paraId="447E1AD6">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bCs/>
          <w:color w:val="000000"/>
          <w:kern w:val="0"/>
          <w:sz w:val="24"/>
          <w:szCs w:val="24"/>
          <w:highlight w:val="none"/>
          <w:lang w:val="en-US" w:eastAsia="zh-CN" w:bidi="ar"/>
        </w:rPr>
        <w:t>（二）豆面、黑米面、芝麻、糖等：</w:t>
      </w:r>
      <w:r>
        <w:rPr>
          <w:rFonts w:hint="eastAsia" w:asciiTheme="majorEastAsia" w:hAnsiTheme="majorEastAsia" w:eastAsiaTheme="majorEastAsia" w:cstheme="majorEastAsia"/>
          <w:color w:val="000000"/>
          <w:kern w:val="0"/>
          <w:sz w:val="24"/>
          <w:szCs w:val="24"/>
          <w:highlight w:val="none"/>
          <w:lang w:val="en-US" w:eastAsia="zh-CN" w:bidi="ar"/>
        </w:rPr>
        <w:t xml:space="preserve">质量符合食品安全要求，密封正规包装符合国家食品包装规范要求；外包装无污物、无泄漏，无变质发霉现象。 </w:t>
      </w:r>
    </w:p>
    <w:p w14:paraId="41C99FB0">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bCs/>
          <w:color w:val="000000"/>
          <w:kern w:val="0"/>
          <w:sz w:val="24"/>
          <w:szCs w:val="24"/>
          <w:highlight w:val="none"/>
          <w:lang w:val="en-US" w:eastAsia="zh-CN" w:bidi="ar"/>
        </w:rPr>
        <w:t>（三）猪肉、鸡、鸡蛋、鱼等：</w:t>
      </w:r>
      <w:r>
        <w:rPr>
          <w:rFonts w:hint="eastAsia" w:asciiTheme="majorEastAsia" w:hAnsiTheme="majorEastAsia" w:eastAsiaTheme="majorEastAsia" w:cstheme="majorEastAsia"/>
          <w:color w:val="000000"/>
          <w:kern w:val="0"/>
          <w:sz w:val="24"/>
          <w:szCs w:val="24"/>
          <w:highlight w:val="none"/>
          <w:lang w:val="en-US" w:eastAsia="zh-CN" w:bidi="ar"/>
        </w:rPr>
        <w:t xml:space="preserve">价格根据聊城市本地大型超市当日价格，由招标人与中标人共同考察后认定，配送的数量以招标人下达的订单为准，配送肉制品应符合国家相关食品安全卫生相关标准。 </w:t>
      </w:r>
    </w:p>
    <w:p w14:paraId="6741B731">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鸡、鱼：麻鸡、蛋鸡、草鱼等，应为当日宰杀洗净的新鲜食材，配送应符合国家相关食品安全卫生相关标准。 </w:t>
      </w:r>
    </w:p>
    <w:p w14:paraId="1A2B142B">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鸡蛋： 1.颜色正常，外形协调、个头均匀； 2.外表干净无污物； 3.清、黄分开不浑浊、无受精蛋，保证新鲜； 4.外壳完整、破损率低于 1%。 </w:t>
      </w:r>
      <w:r>
        <w:rPr>
          <w:rFonts w:hint="eastAsia" w:asciiTheme="majorEastAsia" w:hAnsiTheme="majorEastAsia" w:eastAsiaTheme="majorEastAsia" w:cstheme="majorEastAsia"/>
          <w:b/>
          <w:bCs/>
          <w:color w:val="000000"/>
          <w:kern w:val="0"/>
          <w:sz w:val="24"/>
          <w:szCs w:val="24"/>
          <w:highlight w:val="none"/>
          <w:lang w:val="en-US" w:eastAsia="zh-CN" w:bidi="ar"/>
        </w:rPr>
        <w:t xml:space="preserve"> </w:t>
      </w:r>
    </w:p>
    <w:p w14:paraId="2EFD14E1">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bCs/>
          <w:color w:val="000000"/>
          <w:kern w:val="0"/>
          <w:sz w:val="24"/>
          <w:szCs w:val="24"/>
          <w:highlight w:val="none"/>
          <w:lang w:val="en-US" w:eastAsia="zh-CN" w:bidi="ar"/>
        </w:rPr>
        <w:t>（一）大米、小米、高筋面粉：</w:t>
      </w:r>
      <w:r>
        <w:rPr>
          <w:rFonts w:hint="eastAsia" w:asciiTheme="majorEastAsia" w:hAnsiTheme="majorEastAsia" w:eastAsiaTheme="majorEastAsia" w:cstheme="majorEastAsia"/>
          <w:color w:val="000000"/>
          <w:kern w:val="0"/>
          <w:sz w:val="24"/>
          <w:szCs w:val="24"/>
          <w:highlight w:val="none"/>
          <w:lang w:val="en-US" w:eastAsia="zh-CN" w:bidi="ar"/>
        </w:rPr>
        <w:t>颗粒均匀饱满，色泽鲜亮。质量符合食品安全要求，密封正规包装符合国家食品包装规范要求；外包装无污物、无泄漏，无变质发霉现象</w:t>
      </w:r>
    </w:p>
    <w:p w14:paraId="3CF3546F">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bCs/>
          <w:color w:val="000000"/>
          <w:kern w:val="0"/>
          <w:sz w:val="24"/>
          <w:szCs w:val="24"/>
          <w:highlight w:val="none"/>
          <w:lang w:val="en-US" w:eastAsia="zh-CN" w:bidi="ar"/>
        </w:rPr>
        <w:t>（二）油、调味品：</w:t>
      </w:r>
      <w:r>
        <w:rPr>
          <w:rFonts w:hint="eastAsia" w:asciiTheme="majorEastAsia" w:hAnsiTheme="majorEastAsia" w:eastAsiaTheme="majorEastAsia" w:cstheme="majorEastAsia"/>
          <w:color w:val="000000"/>
          <w:kern w:val="0"/>
          <w:sz w:val="24"/>
          <w:szCs w:val="24"/>
          <w:highlight w:val="none"/>
          <w:lang w:val="en-US" w:eastAsia="zh-CN" w:bidi="ar"/>
        </w:rPr>
        <w:t xml:space="preserve">保证所有食品必须为非转基因类，并通过食品质量安全认证；保证配送种类、品牌、规格，质量完全符合招标人要求；包装类食品保证包装完整、无任何破损、无 挤压、无破碎、无异味、无任何表面附着物或衍生物。 </w:t>
      </w:r>
    </w:p>
    <w:p w14:paraId="0D678275">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bCs/>
          <w:color w:val="000000"/>
          <w:kern w:val="0"/>
          <w:sz w:val="24"/>
          <w:szCs w:val="24"/>
          <w:highlight w:val="none"/>
          <w:lang w:val="en-US" w:eastAsia="zh-CN" w:bidi="ar"/>
        </w:rPr>
        <w:t xml:space="preserve">四、项目其他要求： </w:t>
      </w:r>
    </w:p>
    <w:p w14:paraId="3EB03A09">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1、食材价格变化较大时根据聊城市本地大型超市当日价格，由招标人与中标人共同考察后认定。中标人按招标人要求将订单内所有食材送到指定的地点，并提供《送货清单》一式三份，双方现场过秤，食材质量由采购方确认合格后，接收入库，并验收签名。中标人必须积极配合买方核对数量、时间、复核价格等，发现问题及时解决，验收不合格的，招标人有权拒收。中标人应在当日内按约如数更换到位，并保证验收合格。 </w:t>
      </w:r>
    </w:p>
    <w:p w14:paraId="35DA5371">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2、所有食材按除箱净重过秤，其他以双方签字确认的过秤数量为准。 </w:t>
      </w:r>
    </w:p>
    <w:p w14:paraId="7CBA20A5">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3、食材质量必须符合国家相关食品安全卫生标准。 </w:t>
      </w:r>
    </w:p>
    <w:p w14:paraId="345390DC">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4、送货数量以订单为准，超出的部分由中标人带回，不纳入结算，短缺的部分如招标人需要由中标人当日补足。 </w:t>
      </w:r>
    </w:p>
    <w:p w14:paraId="13AE00DE">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5、如招标人临时对订单进行变更品种或增减用量，应于送货的前一天通知供应商，中标人必须按照招标人的要求配送。 </w:t>
      </w:r>
    </w:p>
    <w:p w14:paraId="466EC11B">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 </w:t>
      </w:r>
    </w:p>
    <w:p w14:paraId="06385C46">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6、中标人所配送的货物应当符合标签所标注的数量或体积，不存在缺斤短两的情况，否则中标人按单位货物货款的 2 倍向招标人赔偿损失。 </w:t>
      </w:r>
    </w:p>
    <w:p w14:paraId="0C101519">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7、中标人必须保证提供的产品符合国家相关食品安全卫生标准，保证米、面、油为非转基因食品。 </w:t>
      </w:r>
    </w:p>
    <w:p w14:paraId="20B66E01">
      <w:pPr>
        <w:keepNext w:val="0"/>
        <w:keepLines w:val="0"/>
        <w:widowControl/>
        <w:suppressLineNumbers w:val="0"/>
        <w:spacing w:line="360" w:lineRule="auto"/>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color w:val="000000"/>
          <w:kern w:val="0"/>
          <w:sz w:val="24"/>
          <w:szCs w:val="24"/>
          <w:highlight w:val="none"/>
          <w:lang w:val="en-US" w:eastAsia="zh-CN" w:bidi="ar"/>
        </w:rPr>
        <w:t xml:space="preserve">8、因中标人配送的货物有质量问题，或者造成安全事故的，招标人有权解除合同，中标人应当赔偿因此给招标人造成的一切损失。 </w:t>
      </w:r>
    </w:p>
    <w:p w14:paraId="0D0AEC25">
      <w:pPr>
        <w:keepNext w:val="0"/>
        <w:keepLines w:val="0"/>
        <w:widowControl/>
        <w:suppressLineNumbers w:val="0"/>
        <w:spacing w:line="360" w:lineRule="auto"/>
        <w:jc w:val="left"/>
        <w:rPr>
          <w:rFonts w:hint="eastAsia" w:asciiTheme="majorEastAsia" w:hAnsiTheme="majorEastAsia" w:eastAsiaTheme="majorEastAsia" w:cstheme="majorEastAsia"/>
          <w:b/>
          <w:bCs/>
          <w:szCs w:val="24"/>
          <w:highlight w:val="none"/>
          <w:lang w:eastAsia="zh-CN"/>
        </w:rPr>
      </w:pPr>
      <w:r>
        <w:rPr>
          <w:rFonts w:hint="eastAsia" w:asciiTheme="majorEastAsia" w:hAnsiTheme="majorEastAsia" w:eastAsiaTheme="majorEastAsia" w:cstheme="majorEastAsia"/>
          <w:color w:val="000000"/>
          <w:kern w:val="0"/>
          <w:sz w:val="24"/>
          <w:szCs w:val="24"/>
          <w:highlight w:val="none"/>
          <w:lang w:val="en-US" w:eastAsia="zh-CN" w:bidi="ar"/>
        </w:rPr>
        <w:t>9、招标人对中标人配送的货物有意见或建议时，可随时向供应商提出，中标人应及时改进，无正当理由拒绝改进的，招标人有权暂停其供货资格。</w:t>
      </w:r>
    </w:p>
    <w:p w14:paraId="08CD5881">
      <w:pPr>
        <w:spacing w:line="360" w:lineRule="auto"/>
        <w:ind w:firstLine="480"/>
        <w:outlineLvl w:val="9"/>
        <w:rPr>
          <w:rFonts w:hint="eastAsia" w:ascii="宋体" w:hAnsi="宋体"/>
          <w:sz w:val="24"/>
          <w:szCs w:val="24"/>
          <w:highlight w:val="none"/>
        </w:rPr>
      </w:pPr>
    </w:p>
    <w:p w14:paraId="15F08515">
      <w:pPr>
        <w:spacing w:line="360" w:lineRule="auto"/>
        <w:ind w:firstLine="0" w:firstLineChars="0"/>
        <w:outlineLvl w:val="9"/>
        <w:rPr>
          <w:rFonts w:hint="eastAsia" w:ascii="宋体" w:hAnsi="宋体"/>
          <w:szCs w:val="24"/>
          <w:highlight w:val="none"/>
        </w:rPr>
      </w:pPr>
    </w:p>
    <w:p w14:paraId="4A1D5AFB">
      <w:pPr>
        <w:rPr>
          <w:rFonts w:hint="eastAsia"/>
          <w:sz w:val="28"/>
          <w:szCs w:val="28"/>
          <w:highlight w:val="none"/>
          <w:lang w:eastAsia="zh-CN"/>
        </w:rPr>
      </w:pPr>
      <w:r>
        <w:rPr>
          <w:rFonts w:hint="eastAsia"/>
          <w:sz w:val="28"/>
          <w:szCs w:val="28"/>
          <w:highlight w:val="none"/>
          <w:lang w:eastAsia="zh-CN"/>
        </w:rPr>
        <w:br w:type="page"/>
      </w:r>
    </w:p>
    <w:p w14:paraId="3EA9C606">
      <w:pPr>
        <w:jc w:val="center"/>
        <w:outlineLvl w:val="0"/>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第四部分  开标、评标、定标</w:t>
      </w:r>
      <w:bookmarkEnd w:id="38"/>
      <w:bookmarkEnd w:id="39"/>
      <w:bookmarkEnd w:id="40"/>
    </w:p>
    <w:p w14:paraId="7BC8FC9A">
      <w:pPr>
        <w:spacing w:before="60" w:after="60"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1、开标时间及地点</w:t>
      </w:r>
    </w:p>
    <w:p w14:paraId="64B014F9">
      <w:pPr>
        <w:keepNext w:val="0"/>
        <w:keepLines w:val="0"/>
        <w:pageBreakBefore w:val="0"/>
        <w:kinsoku/>
        <w:wordWrap/>
        <w:overflowPunct/>
        <w:topLinePunct w:val="0"/>
        <w:autoSpaceDE/>
        <w:autoSpaceDN/>
        <w:bidi w:val="0"/>
        <w:adjustRightInd/>
        <w:snapToGrid/>
        <w:spacing w:line="360" w:lineRule="auto"/>
        <w:ind w:firstLine="720" w:firstLineChars="300"/>
        <w:rPr>
          <w:rFonts w:hint="eastAsia" w:ascii="宋体" w:hAnsi="宋体" w:eastAsia="宋体" w:cs="宋体"/>
          <w:b/>
          <w:bCs/>
          <w:sz w:val="24"/>
          <w:szCs w:val="24"/>
          <w:highlight w:val="none"/>
          <w:lang w:eastAsia="zh-CN"/>
        </w:rPr>
      </w:pPr>
      <w:r>
        <w:rPr>
          <w:rFonts w:hint="eastAsia" w:ascii="宋体" w:hAnsi="宋体" w:cs="宋体"/>
          <w:color w:val="000000" w:themeColor="text1"/>
          <w:sz w:val="24"/>
          <w:szCs w:val="24"/>
          <w:highlight w:val="none"/>
          <w:lang w:eastAsia="zh-CN"/>
          <w14:textFill>
            <w14:solidFill>
              <w14:schemeClr w14:val="tx1"/>
            </w14:solidFill>
          </w14:textFill>
        </w:rPr>
        <w:t>详见招标公告</w:t>
      </w:r>
      <w:r>
        <w:rPr>
          <w:rFonts w:hint="eastAsia" w:ascii="宋体" w:hAnsi="宋体" w:eastAsia="宋体" w:cs="宋体"/>
          <w:b/>
          <w:bCs/>
          <w:sz w:val="24"/>
          <w:szCs w:val="24"/>
          <w:highlight w:val="none"/>
          <w:lang w:eastAsia="zh-CN"/>
        </w:rPr>
        <w:t>。</w:t>
      </w:r>
    </w:p>
    <w:p w14:paraId="15CCDBAA">
      <w:pPr>
        <w:spacing w:before="60" w:after="60"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2、开标时间、地点开标形式及解密时间</w:t>
      </w:r>
    </w:p>
    <w:p w14:paraId="7C090693">
      <w:pPr>
        <w:spacing w:before="60" w:after="60" w:line="360" w:lineRule="auto"/>
        <w:ind w:left="0" w:leftChars="0" w:firstLine="420" w:firstLineChars="175"/>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开标时间：同投标截止时间</w:t>
      </w:r>
    </w:p>
    <w:p w14:paraId="2963EB1D">
      <w:pPr>
        <w:spacing w:before="60" w:after="60" w:line="360" w:lineRule="auto"/>
        <w:ind w:left="0" w:leftChars="0" w:firstLine="420" w:firstLineChars="175"/>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开标地点：聊城市公共资源交易中心不见面网上开标大厅。</w:t>
      </w:r>
    </w:p>
    <w:p w14:paraId="2F3731CB">
      <w:pPr>
        <w:spacing w:before="60" w:after="60" w:line="360" w:lineRule="auto"/>
        <w:ind w:left="0" w:leftChars="0" w:firstLine="420" w:firstLineChars="175"/>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签到时间：投标企业需在开标前登录不见面开标大厅，并完成签到工作，未在开标前完成签到的投标被拒绝且投标文件被退回。</w:t>
      </w:r>
    </w:p>
    <w:p w14:paraId="3D0851FD">
      <w:pPr>
        <w:spacing w:before="60" w:after="60" w:line="360" w:lineRule="auto"/>
        <w:ind w:left="0" w:leftChars="0" w:firstLine="420" w:firstLineChars="175"/>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解密时间：投标企业需提前60分钟登录不见面开标大厅，因投标人自身原因导致在规定的解密时间（从投标人解密环节开始计时，每个投标人限30分钟）内解密失败的，其投标被拒绝且投标文件被退回。 </w:t>
      </w:r>
    </w:p>
    <w:p w14:paraId="65A6ED8C">
      <w:pPr>
        <w:spacing w:before="60" w:after="60" w:line="360" w:lineRule="auto"/>
        <w:ind w:left="0" w:leftChars="0" w:firstLine="420" w:firstLineChars="175"/>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投标企业对线上</w:t>
      </w:r>
      <w:r>
        <w:rPr>
          <w:rFonts w:hint="eastAsia" w:ascii="宋体" w:hAnsi="宋体" w:cs="宋体"/>
          <w:sz w:val="24"/>
          <w:szCs w:val="24"/>
          <w:highlight w:val="none"/>
          <w:lang w:val="en-US" w:eastAsia="zh-CN"/>
        </w:rPr>
        <w:t>投标</w:t>
      </w:r>
      <w:r>
        <w:rPr>
          <w:rFonts w:hint="eastAsia" w:ascii="宋体" w:hAnsi="宋体" w:eastAsia="宋体" w:cs="宋体"/>
          <w:sz w:val="24"/>
          <w:szCs w:val="24"/>
          <w:highlight w:val="none"/>
          <w:lang w:val="en-US" w:eastAsia="zh-CN"/>
        </w:rPr>
        <w:t>文件开启过程和开标记录有异议的，可在不见面开标大厅互动交流板块提出并询问，如未提出异议视为认同开标结果。</w:t>
      </w:r>
    </w:p>
    <w:p w14:paraId="4EF34EF1">
      <w:pPr>
        <w:spacing w:before="60" w:after="60" w:line="360" w:lineRule="auto"/>
        <w:ind w:left="0" w:leftChars="0" w:firstLine="420" w:firstLineChars="175"/>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其他要求：评标过程中产生的所有数值均保留2位小数，不四舍五入。无效标投标人的投标报价不计入评标基准价的计算。</w:t>
      </w:r>
    </w:p>
    <w:p w14:paraId="61695295">
      <w:pPr>
        <w:spacing w:before="60" w:after="60" w:line="360" w:lineRule="auto"/>
        <w:ind w:left="0" w:leftChars="0" w:firstLine="420" w:firstLineChars="175"/>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3、电子招投标的应急措施</w:t>
      </w:r>
    </w:p>
    <w:p w14:paraId="12C7530A">
      <w:pPr>
        <w:pStyle w:val="129"/>
        <w:numPr>
          <w:ilvl w:val="0"/>
          <w:numId w:val="0"/>
        </w:numPr>
        <w:tabs>
          <w:tab w:val="left" w:pos="1262"/>
        </w:tabs>
        <w:spacing w:before="0" w:after="0" w:line="360" w:lineRule="auto"/>
        <w:ind w:right="0" w:rightChars="0" w:firstLine="480" w:firstLineChars="200"/>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在不见面开标过程中，如出现下列原因，导致系统无法正常运行或无法正常评标时，应采取应急措施。</w:t>
      </w:r>
    </w:p>
    <w:p w14:paraId="300E8B6F">
      <w:pPr>
        <w:pStyle w:val="129"/>
        <w:numPr>
          <w:ilvl w:val="0"/>
          <w:numId w:val="0"/>
        </w:numPr>
        <w:tabs>
          <w:tab w:val="left" w:pos="1262"/>
        </w:tabs>
        <w:spacing w:before="0" w:after="0" w:line="360" w:lineRule="auto"/>
        <w:ind w:right="0" w:rightChars="0" w:firstLine="480" w:firstLineChars="200"/>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（1）系统服务器发生故障，无法访问或无法使用系统；</w:t>
      </w:r>
    </w:p>
    <w:p w14:paraId="12941CF8">
      <w:pPr>
        <w:pStyle w:val="129"/>
        <w:numPr>
          <w:ilvl w:val="0"/>
          <w:numId w:val="0"/>
        </w:numPr>
        <w:tabs>
          <w:tab w:val="left" w:pos="1262"/>
        </w:tabs>
        <w:spacing w:before="0" w:after="0" w:line="360" w:lineRule="auto"/>
        <w:ind w:right="0" w:rightChars="0" w:firstLine="480" w:firstLineChars="200"/>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（2）系统的软件或数据库出现错误，不能进行正常操作；</w:t>
      </w:r>
    </w:p>
    <w:p w14:paraId="5D533A6D">
      <w:pPr>
        <w:pStyle w:val="129"/>
        <w:numPr>
          <w:ilvl w:val="0"/>
          <w:numId w:val="0"/>
        </w:numPr>
        <w:tabs>
          <w:tab w:val="left" w:pos="1262"/>
        </w:tabs>
        <w:spacing w:before="0" w:after="0" w:line="360" w:lineRule="auto"/>
        <w:ind w:right="0" w:rightChars="0" w:firstLine="480" w:firstLineChars="200"/>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（3）系统发现有安全漏洞，有潜在的泄密危险；</w:t>
      </w:r>
    </w:p>
    <w:p w14:paraId="5AF07422">
      <w:pPr>
        <w:pStyle w:val="129"/>
        <w:numPr>
          <w:ilvl w:val="0"/>
          <w:numId w:val="0"/>
        </w:numPr>
        <w:tabs>
          <w:tab w:val="left" w:pos="1262"/>
        </w:tabs>
        <w:spacing w:before="0" w:after="0" w:line="360" w:lineRule="auto"/>
        <w:ind w:right="0" w:rightChars="0" w:firstLine="480" w:firstLineChars="200"/>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（4）病毒发作或受到外来病毒的攻击；</w:t>
      </w:r>
    </w:p>
    <w:p w14:paraId="1168F487">
      <w:pPr>
        <w:pStyle w:val="129"/>
        <w:numPr>
          <w:ilvl w:val="0"/>
          <w:numId w:val="0"/>
        </w:numPr>
        <w:tabs>
          <w:tab w:val="left" w:pos="1262"/>
        </w:tabs>
        <w:spacing w:before="0" w:after="0" w:line="360" w:lineRule="auto"/>
        <w:ind w:right="0" w:rightChars="0" w:firstLine="480" w:firstLineChars="200"/>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（5）电力系统发生故障导致交易系统无法运行的；</w:t>
      </w:r>
    </w:p>
    <w:p w14:paraId="7F6824C1">
      <w:pPr>
        <w:pStyle w:val="129"/>
        <w:numPr>
          <w:ilvl w:val="0"/>
          <w:numId w:val="0"/>
        </w:numPr>
        <w:tabs>
          <w:tab w:val="left" w:pos="1262"/>
        </w:tabs>
        <w:spacing w:before="0" w:after="0" w:line="360" w:lineRule="auto"/>
        <w:ind w:right="0" w:rightChars="0" w:firstLine="482" w:firstLineChars="200"/>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（6）出现其他非投标人（</w:t>
      </w:r>
      <w:r>
        <w:rPr>
          <w:rFonts w:hint="eastAsia" w:ascii="宋体" w:hAnsi="宋体" w:cs="宋体"/>
          <w:b/>
          <w:bCs/>
          <w:sz w:val="24"/>
          <w:szCs w:val="24"/>
          <w:highlight w:val="none"/>
          <w:lang w:val="en-US" w:eastAsia="zh-CN"/>
        </w:rPr>
        <w:t>投标人</w:t>
      </w:r>
      <w:r>
        <w:rPr>
          <w:rFonts w:hint="eastAsia" w:ascii="宋体" w:hAnsi="宋体" w:eastAsia="宋体" w:cs="宋体"/>
          <w:b/>
          <w:bCs/>
          <w:sz w:val="24"/>
          <w:szCs w:val="24"/>
          <w:highlight w:val="none"/>
          <w:lang w:val="en-US" w:eastAsia="zh-CN"/>
        </w:rPr>
        <w:t>）原因导致开标活动无法正常进行的不可抗拒的客观原因造成开评标系统无法正常使用；</w:t>
      </w:r>
    </w:p>
    <w:p w14:paraId="747853A1">
      <w:pPr>
        <w:pStyle w:val="129"/>
        <w:numPr>
          <w:ilvl w:val="0"/>
          <w:numId w:val="0"/>
        </w:numPr>
        <w:tabs>
          <w:tab w:val="left" w:pos="1262"/>
        </w:tabs>
        <w:spacing w:before="0" w:after="0" w:line="360" w:lineRule="auto"/>
        <w:ind w:right="0" w:rightChars="0" w:firstLine="480" w:firstLineChars="200"/>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不能及时解决的，应由招标（采购）人、监管部门和交易中心及时进行协商。可以采取以下办法处理：</w:t>
      </w:r>
    </w:p>
    <w:p w14:paraId="721A0871">
      <w:pPr>
        <w:pStyle w:val="129"/>
        <w:numPr>
          <w:ilvl w:val="0"/>
          <w:numId w:val="0"/>
        </w:numPr>
        <w:tabs>
          <w:tab w:val="left" w:pos="1262"/>
        </w:tabs>
        <w:spacing w:before="0" w:after="0" w:line="360" w:lineRule="auto"/>
        <w:ind w:right="0" w:rightChars="0" w:firstLine="480" w:firstLineChars="200"/>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（1）项目暂停，系统或网络故障在三个小时内排除并通过可靠测试的，恢复系统运行并重新启动在系统中实施暂停的项目开标；</w:t>
      </w:r>
    </w:p>
    <w:p w14:paraId="3745F85C">
      <w:pPr>
        <w:spacing w:before="60" w:after="60" w:line="360" w:lineRule="auto"/>
        <w:ind w:left="0" w:leftChars="0" w:firstLine="420" w:firstLineChars="175"/>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lang w:val="en-US" w:eastAsia="zh-CN"/>
        </w:rPr>
        <w:t>（2）系统或网络故障在三个小时内未能排除的，已在线解密的，继续进行开标或视情况另行通知不见面开标时间；未解密的，另行通知不见面开标时间。</w:t>
      </w:r>
    </w:p>
    <w:p w14:paraId="20E408A6">
      <w:pPr>
        <w:pStyle w:val="46"/>
        <w:spacing w:line="360" w:lineRule="auto"/>
        <w:ind w:left="0" w:leftChars="0" w:firstLine="0" w:firstLineChars="0"/>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二、评标委员会</w:t>
      </w:r>
    </w:p>
    <w:p w14:paraId="373D1B7B">
      <w:pPr>
        <w:pStyle w:val="46"/>
        <w:spacing w:line="360" w:lineRule="auto"/>
        <w:ind w:left="0" w:leftChars="0" w:firstLine="480" w:firstLineChars="200"/>
        <w:rPr>
          <w:rFonts w:hint="eastAsia"/>
          <w:b w:val="0"/>
          <w:bCs/>
          <w:color w:val="000000" w:themeColor="text1"/>
          <w:sz w:val="24"/>
          <w:szCs w:val="24"/>
          <w:highlight w:val="none"/>
          <w:lang w:val="en-US" w:eastAsia="zh-CN"/>
          <w14:textFill>
            <w14:solidFill>
              <w14:schemeClr w14:val="tx1"/>
            </w14:solidFill>
          </w14:textFill>
        </w:rPr>
      </w:pPr>
      <w:r>
        <w:rPr>
          <w:rFonts w:hint="eastAsia"/>
          <w:b w:val="0"/>
          <w:bCs/>
          <w:color w:val="000000" w:themeColor="text1"/>
          <w:sz w:val="24"/>
          <w:szCs w:val="24"/>
          <w:highlight w:val="none"/>
          <w:lang w:val="en-US" w:eastAsia="zh-CN"/>
          <w14:textFill>
            <w14:solidFill>
              <w14:schemeClr w14:val="tx1"/>
            </w14:solidFill>
          </w14:textFill>
        </w:rPr>
        <w:t>招标人将依法根据本次招标的特点抽选专家并组建评标委员会。评标委员会由五人或以上单数组成，其中经济、技术等方面的专家不少于三分之二。评标委员会负责对投标文件进行审查、质疑、评审，确定合格的投标人、中标候选人。</w:t>
      </w:r>
    </w:p>
    <w:p w14:paraId="1ABF0504">
      <w:pPr>
        <w:pStyle w:val="46"/>
        <w:spacing w:line="360" w:lineRule="auto"/>
        <w:ind w:left="0" w:leftChars="0" w:firstLine="0" w:firstLineChars="0"/>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参加过采购项目前期咨询论证的评审专家，不得再参加该采购项目的评审活动。各级财政部门政府采购监督管理在职工作人员、</w:t>
      </w:r>
      <w:r>
        <w:rPr>
          <w:rFonts w:hint="eastAsia"/>
          <w:b w:val="0"/>
          <w:bCs/>
          <w:color w:val="000000" w:themeColor="text1"/>
          <w:sz w:val="24"/>
          <w:szCs w:val="24"/>
          <w:highlight w:val="none"/>
          <w:lang w:eastAsia="zh-CN"/>
          <w14:textFill>
            <w14:solidFill>
              <w14:schemeClr w14:val="tx1"/>
            </w14:solidFill>
          </w14:textFill>
        </w:rPr>
        <w:t>招标代理机构</w:t>
      </w:r>
      <w:r>
        <w:rPr>
          <w:rFonts w:hint="eastAsia"/>
          <w:b w:val="0"/>
          <w:bCs/>
          <w:color w:val="000000" w:themeColor="text1"/>
          <w:sz w:val="24"/>
          <w:szCs w:val="24"/>
          <w:highlight w:val="none"/>
          <w14:textFill>
            <w14:solidFill>
              <w14:schemeClr w14:val="tx1"/>
            </w14:solidFill>
          </w14:textFill>
        </w:rPr>
        <w:t>在职工作人员不得以评审专家身份参与政府采购项目评审活动。</w:t>
      </w:r>
    </w:p>
    <w:p w14:paraId="6598D0A2">
      <w:pPr>
        <w:pStyle w:val="46"/>
        <w:spacing w:line="360" w:lineRule="auto"/>
        <w:ind w:left="0" w:leftChars="0" w:firstLine="0" w:firstLineChars="0"/>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评标委员会成员有下列情形之一的，应当回避：</w:t>
      </w:r>
    </w:p>
    <w:p w14:paraId="4A47BD82">
      <w:pPr>
        <w:pStyle w:val="46"/>
        <w:spacing w:line="360" w:lineRule="auto"/>
        <w:ind w:left="0" w:leftChars="0" w:firstLine="0" w:firstLineChars="0"/>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（1）参加采购活动前3年内与</w:t>
      </w:r>
      <w:r>
        <w:rPr>
          <w:rFonts w:hint="eastAsia"/>
          <w:b w:val="0"/>
          <w:bCs/>
          <w:color w:val="000000" w:themeColor="text1"/>
          <w:sz w:val="24"/>
          <w:szCs w:val="24"/>
          <w:highlight w:val="none"/>
          <w:lang w:val="en-US" w:eastAsia="zh-CN"/>
          <w14:textFill>
            <w14:solidFill>
              <w14:schemeClr w14:val="tx1"/>
            </w14:solidFill>
          </w14:textFill>
        </w:rPr>
        <w:t>投标人</w:t>
      </w:r>
      <w:r>
        <w:rPr>
          <w:rFonts w:hint="eastAsia"/>
          <w:b w:val="0"/>
          <w:bCs/>
          <w:color w:val="000000" w:themeColor="text1"/>
          <w:sz w:val="24"/>
          <w:szCs w:val="24"/>
          <w:highlight w:val="none"/>
          <w14:textFill>
            <w14:solidFill>
              <w14:schemeClr w14:val="tx1"/>
            </w14:solidFill>
          </w14:textFill>
        </w:rPr>
        <w:t>存在劳动关系，或担任过</w:t>
      </w:r>
      <w:r>
        <w:rPr>
          <w:rFonts w:hint="eastAsia"/>
          <w:b w:val="0"/>
          <w:bCs/>
          <w:color w:val="000000" w:themeColor="text1"/>
          <w:sz w:val="24"/>
          <w:szCs w:val="24"/>
          <w:highlight w:val="none"/>
          <w:lang w:val="en-US" w:eastAsia="zh-CN"/>
          <w14:textFill>
            <w14:solidFill>
              <w14:schemeClr w14:val="tx1"/>
            </w14:solidFill>
          </w14:textFill>
        </w:rPr>
        <w:t>投标人</w:t>
      </w:r>
      <w:r>
        <w:rPr>
          <w:rFonts w:hint="eastAsia"/>
          <w:b w:val="0"/>
          <w:bCs/>
          <w:color w:val="000000" w:themeColor="text1"/>
          <w:sz w:val="24"/>
          <w:szCs w:val="24"/>
          <w:highlight w:val="none"/>
          <w14:textFill>
            <w14:solidFill>
              <w14:schemeClr w14:val="tx1"/>
            </w14:solidFill>
          </w14:textFill>
        </w:rPr>
        <w:t>的董事、监事，或为</w:t>
      </w:r>
      <w:r>
        <w:rPr>
          <w:rFonts w:hint="eastAsia"/>
          <w:b w:val="0"/>
          <w:bCs/>
          <w:color w:val="000000" w:themeColor="text1"/>
          <w:sz w:val="24"/>
          <w:szCs w:val="24"/>
          <w:highlight w:val="none"/>
          <w:lang w:val="en-US" w:eastAsia="zh-CN"/>
          <w14:textFill>
            <w14:solidFill>
              <w14:schemeClr w14:val="tx1"/>
            </w14:solidFill>
          </w14:textFill>
        </w:rPr>
        <w:t>投标人</w:t>
      </w:r>
      <w:r>
        <w:rPr>
          <w:rFonts w:hint="eastAsia"/>
          <w:b w:val="0"/>
          <w:bCs/>
          <w:color w:val="000000" w:themeColor="text1"/>
          <w:sz w:val="24"/>
          <w:szCs w:val="24"/>
          <w:highlight w:val="none"/>
          <w14:textFill>
            <w14:solidFill>
              <w14:schemeClr w14:val="tx1"/>
            </w14:solidFill>
          </w14:textFill>
        </w:rPr>
        <w:t>的控股股东或实际控制人。</w:t>
      </w:r>
    </w:p>
    <w:p w14:paraId="2414369A">
      <w:pPr>
        <w:pStyle w:val="46"/>
        <w:spacing w:line="360" w:lineRule="auto"/>
        <w:ind w:left="0" w:leftChars="0" w:firstLine="0" w:firstLineChars="0"/>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（2）与</w:t>
      </w:r>
      <w:r>
        <w:rPr>
          <w:rFonts w:hint="eastAsia"/>
          <w:b w:val="0"/>
          <w:bCs/>
          <w:color w:val="000000" w:themeColor="text1"/>
          <w:sz w:val="24"/>
          <w:szCs w:val="24"/>
          <w:highlight w:val="none"/>
          <w:lang w:val="en-US" w:eastAsia="zh-CN"/>
          <w14:textFill>
            <w14:solidFill>
              <w14:schemeClr w14:val="tx1"/>
            </w14:solidFill>
          </w14:textFill>
        </w:rPr>
        <w:t>投标人</w:t>
      </w:r>
      <w:r>
        <w:rPr>
          <w:rFonts w:hint="eastAsia"/>
          <w:b w:val="0"/>
          <w:bCs/>
          <w:color w:val="000000" w:themeColor="text1"/>
          <w:sz w:val="24"/>
          <w:szCs w:val="24"/>
          <w:highlight w:val="none"/>
          <w14:textFill>
            <w14:solidFill>
              <w14:schemeClr w14:val="tx1"/>
            </w14:solidFill>
          </w14:textFill>
        </w:rPr>
        <w:t>的法定代表人或负责人有夫妻关系、直系血亲、三代以内旁系血亲、近姻亲关系或有其他经济利益关系。</w:t>
      </w:r>
    </w:p>
    <w:p w14:paraId="5DDA70D9">
      <w:pPr>
        <w:pStyle w:val="46"/>
        <w:spacing w:line="360" w:lineRule="auto"/>
        <w:ind w:left="0" w:leftChars="0" w:firstLine="0" w:firstLineChars="0"/>
        <w:rPr>
          <w:rFonts w:hint="eastAsia"/>
          <w:b w:val="0"/>
          <w:bCs/>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（3）与</w:t>
      </w:r>
      <w:r>
        <w:rPr>
          <w:rFonts w:hint="eastAsia"/>
          <w:b w:val="0"/>
          <w:bCs/>
          <w:color w:val="000000" w:themeColor="text1"/>
          <w:sz w:val="24"/>
          <w:szCs w:val="24"/>
          <w:highlight w:val="none"/>
          <w:lang w:val="en-US" w:eastAsia="zh-CN"/>
          <w14:textFill>
            <w14:solidFill>
              <w14:schemeClr w14:val="tx1"/>
            </w14:solidFill>
          </w14:textFill>
        </w:rPr>
        <w:t>投标人</w:t>
      </w:r>
      <w:r>
        <w:rPr>
          <w:rFonts w:hint="eastAsia"/>
          <w:b w:val="0"/>
          <w:bCs/>
          <w:color w:val="000000" w:themeColor="text1"/>
          <w:sz w:val="24"/>
          <w:szCs w:val="24"/>
          <w:highlight w:val="none"/>
          <w14:textFill>
            <w14:solidFill>
              <w14:schemeClr w14:val="tx1"/>
            </w14:solidFill>
          </w14:textFill>
        </w:rPr>
        <w:t>有其他影响或可能影响政府采购活动公平、公正进行的关系。</w:t>
      </w:r>
    </w:p>
    <w:p w14:paraId="49F8FF98">
      <w:pPr>
        <w:pStyle w:val="46"/>
        <w:ind w:left="0" w:leftChars="0" w:firstLine="0" w:firstLineChars="0"/>
        <w:rPr>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三、评标方法</w:t>
      </w:r>
    </w:p>
    <w:p w14:paraId="0B22818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本次评标</w:t>
      </w:r>
      <w:r>
        <w:rPr>
          <w:rFonts w:hint="eastAsia" w:ascii="宋体" w:hAnsi="宋体"/>
          <w:color w:val="000000" w:themeColor="text1"/>
          <w:sz w:val="24"/>
          <w:szCs w:val="24"/>
          <w:highlight w:val="none"/>
          <w:lang w:val="en-US" w:eastAsia="zh-CN"/>
          <w14:textFill>
            <w14:solidFill>
              <w14:schemeClr w14:val="tx1"/>
            </w14:solidFill>
          </w14:textFill>
        </w:rPr>
        <w:t>采用综合评分法，</w:t>
      </w:r>
      <w:r>
        <w:rPr>
          <w:rFonts w:ascii="宋体" w:hAnsi="宋体"/>
          <w:color w:val="000000" w:themeColor="text1"/>
          <w:sz w:val="24"/>
          <w:szCs w:val="24"/>
          <w:highlight w:val="none"/>
          <w14:textFill>
            <w14:solidFill>
              <w14:schemeClr w14:val="tx1"/>
            </w14:solidFill>
          </w14:textFill>
        </w:rPr>
        <w:t>评标委员会成员综合评定各投标人提交的投标文件，由评标委员会成员按照招标文件规定的各项因素综合评定各投标人提交的投标文件并分别进行打分，确定中标候选人。</w:t>
      </w:r>
    </w:p>
    <w:p w14:paraId="719AB982">
      <w:pPr>
        <w:spacing w:line="360" w:lineRule="auto"/>
        <w:ind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1、评标原则</w:t>
      </w:r>
    </w:p>
    <w:p w14:paraId="5A4FB0B6">
      <w:pPr>
        <w:spacing w:line="360" w:lineRule="auto"/>
        <w:ind w:firstLine="480" w:firstLineChars="200"/>
        <w:rPr>
          <w:rFonts w:ascii="宋体" w:hAnsi="宋体"/>
          <w:b/>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依据《中华人民共和国政府采购法》，结合项目特点，评标严格按照招标文件的要求和条件进行。“公平、公正、科学、择优”为本次评标的基本原则，评标委员会将按照这一原则的要求，公正、平等地对待各投标人。同时，在评标时恪守以下原则：</w:t>
      </w:r>
    </w:p>
    <w:p w14:paraId="41B3EDD7">
      <w:pPr>
        <w:spacing w:line="360" w:lineRule="auto"/>
        <w:ind w:left="2" w:leftChars="1"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（1）客观性原则：评标委员会将按照招标文件的要求，对投标人的投标文件进行认真评审；对投标文件的评审仅依靠投标文件本身，而不依靠投标文件以外的任何因素。</w:t>
      </w:r>
    </w:p>
    <w:p w14:paraId="00DC4C5E">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（2）统一性原则：评标委员会将按照统一的评标原则和评标方法，用同一标准进行评标。</w:t>
      </w:r>
    </w:p>
    <w:p w14:paraId="19A55788">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（3）独立性原则：评标工作在评标委员会内部独立进行，不受外界任何因素的干扰和影响。</w:t>
      </w:r>
    </w:p>
    <w:p w14:paraId="1483C5C3">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（4）保密性原则：评委及熟知情况的有关工作人员将保守投标人的商业秘密。</w:t>
      </w:r>
    </w:p>
    <w:p w14:paraId="28069750">
      <w:pPr>
        <w:spacing w:line="360" w:lineRule="auto"/>
        <w:ind w:left="2" w:leftChars="1"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（5）综合性原则：评标委员会将综合比较、审查投标人的各项指标，而不以单项指标的优劣评定出中标候选人。</w:t>
      </w:r>
    </w:p>
    <w:p w14:paraId="7A63D57C">
      <w:pPr>
        <w:spacing w:line="360" w:lineRule="auto"/>
        <w:ind w:firstLine="482"/>
        <w:textAlignment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6）少数服从多数原则：评标委员会成员应当依法独立评标，遵守评标工作纪律。对需要共同认定的事项存在争议的，应当按照少数服从多数的原则作出评审结论；持不同意见的评标委员会成员应当在评标报告上签署不同意见并说明理由；不签署不同意见的，视为同意。</w:t>
      </w:r>
    </w:p>
    <w:p w14:paraId="6DD2D51C">
      <w:pPr>
        <w:spacing w:line="360" w:lineRule="auto"/>
        <w:ind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2、评标过程保密</w:t>
      </w:r>
    </w:p>
    <w:p w14:paraId="20EF071F">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2.1 开标之后，直到授予投标人合同止，凡是属于审查、澄清、评价和比较投标的有关资料以及授标意向等，均不得向投标人或其他无关的人员透露。</w:t>
      </w:r>
    </w:p>
    <w:p w14:paraId="78A22D91">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2.2 在评标期间，投标人企图影响招标方的任何活动将导致投标被拒绝，并承担相应的法律责任。</w:t>
      </w:r>
    </w:p>
    <w:p w14:paraId="5335409F">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2.3 中标人确定后，</w:t>
      </w:r>
      <w:r>
        <w:rPr>
          <w:rFonts w:hint="eastAsia" w:ascii="宋体" w:hAnsi="宋体"/>
          <w:color w:val="000000" w:themeColor="text1"/>
          <w:sz w:val="24"/>
          <w:szCs w:val="24"/>
          <w:highlight w:val="none"/>
          <w:lang w:eastAsia="zh-CN"/>
          <w14:textFill>
            <w14:solidFill>
              <w14:schemeClr w14:val="tx1"/>
            </w14:solidFill>
          </w14:textFill>
        </w:rPr>
        <w:t>招标人</w:t>
      </w:r>
      <w:r>
        <w:rPr>
          <w:rFonts w:ascii="宋体" w:hAnsi="宋体"/>
          <w:color w:val="000000" w:themeColor="text1"/>
          <w:sz w:val="24"/>
          <w:szCs w:val="24"/>
          <w:highlight w:val="none"/>
          <w14:textFill>
            <w14:solidFill>
              <w14:schemeClr w14:val="tx1"/>
            </w14:solidFill>
          </w14:textFill>
        </w:rPr>
        <w:t>不对未中标人就评标过程以及未能中标原因作出任何解释。未中标人不得向评标委员会组成人员或其他有关人员索问评标过程的情况和材料。</w:t>
      </w:r>
    </w:p>
    <w:p w14:paraId="2DA02F00">
      <w:pPr>
        <w:spacing w:line="360" w:lineRule="auto"/>
        <w:ind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3、初步评审</w:t>
      </w:r>
    </w:p>
    <w:p w14:paraId="11FD0982">
      <w:pPr>
        <w:spacing w:line="360" w:lineRule="auto"/>
        <w:ind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3.1 资格审查</w:t>
      </w:r>
    </w:p>
    <w:p w14:paraId="0AFCC5B3">
      <w:pPr>
        <w:spacing w:line="360" w:lineRule="auto"/>
        <w:ind w:right="57" w:rightChars="27"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开标结束后，</w:t>
      </w:r>
      <w:r>
        <w:rPr>
          <w:rFonts w:hint="eastAsia" w:ascii="宋体" w:hAnsi="宋体"/>
          <w:color w:val="000000" w:themeColor="text1"/>
          <w:sz w:val="24"/>
          <w:szCs w:val="24"/>
          <w:highlight w:val="none"/>
          <w:lang w:eastAsia="zh-CN"/>
          <w14:textFill>
            <w14:solidFill>
              <w14:schemeClr w14:val="tx1"/>
            </w14:solidFill>
          </w14:textFill>
        </w:rPr>
        <w:t>招标人</w:t>
      </w:r>
      <w:r>
        <w:rPr>
          <w:rFonts w:ascii="宋体" w:hAnsi="宋体"/>
          <w:color w:val="000000" w:themeColor="text1"/>
          <w:sz w:val="24"/>
          <w:szCs w:val="24"/>
          <w:highlight w:val="none"/>
          <w14:textFill>
            <w14:solidFill>
              <w14:schemeClr w14:val="tx1"/>
            </w14:solidFill>
          </w14:textFill>
        </w:rPr>
        <w:t>或者</w:t>
      </w:r>
      <w:r>
        <w:rPr>
          <w:rFonts w:hint="eastAsia" w:ascii="宋体" w:hAnsi="宋体"/>
          <w:color w:val="000000" w:themeColor="text1"/>
          <w:sz w:val="24"/>
          <w:szCs w:val="24"/>
          <w:highlight w:val="none"/>
          <w:lang w:eastAsia="zh-CN"/>
          <w14:textFill>
            <w14:solidFill>
              <w14:schemeClr w14:val="tx1"/>
            </w14:solidFill>
          </w14:textFill>
        </w:rPr>
        <w:t>招标代理机构</w:t>
      </w:r>
      <w:r>
        <w:rPr>
          <w:rFonts w:ascii="宋体" w:hAnsi="宋体"/>
          <w:color w:val="000000" w:themeColor="text1"/>
          <w:sz w:val="24"/>
          <w:szCs w:val="24"/>
          <w:highlight w:val="none"/>
          <w14:textFill>
            <w14:solidFill>
              <w14:schemeClr w14:val="tx1"/>
            </w14:solidFill>
          </w14:textFill>
        </w:rPr>
        <w:t>应当依法对投标人的资格进行审查。合格投标人不足3家的，不得评标。</w:t>
      </w:r>
    </w:p>
    <w:p w14:paraId="30558854">
      <w:pPr>
        <w:pStyle w:val="41"/>
        <w:spacing w:line="360" w:lineRule="auto"/>
        <w:ind w:firstLine="482"/>
        <w:textAlignment w:val="center"/>
        <w:rPr>
          <w:rFonts w:hAnsi="宋体"/>
          <w:color w:val="000000" w:themeColor="text1"/>
          <w:szCs w:val="24"/>
          <w:highlight w:val="none"/>
          <w14:textFill>
            <w14:solidFill>
              <w14:schemeClr w14:val="tx1"/>
            </w14:solidFill>
          </w14:textFill>
        </w:rPr>
      </w:pPr>
      <w:r>
        <w:rPr>
          <w:rFonts w:hAnsi="宋体"/>
          <w:b/>
          <w:color w:val="000000" w:themeColor="text1"/>
          <w:szCs w:val="24"/>
          <w:highlight w:val="none"/>
          <w14:textFill>
            <w14:solidFill>
              <w14:schemeClr w14:val="tx1"/>
            </w14:solidFill>
          </w14:textFill>
        </w:rPr>
        <w:t>3.2评标委员会应当对符合资格的投标人的投标文件进行符合性审查，以确定其是否满足招标文件的实质性要求。</w:t>
      </w:r>
      <w:r>
        <w:rPr>
          <w:rFonts w:hAnsi="宋体"/>
          <w:color w:val="000000" w:themeColor="text1"/>
          <w:szCs w:val="24"/>
          <w:highlight w:val="none"/>
          <w14:textFill>
            <w14:solidFill>
              <w14:schemeClr w14:val="tx1"/>
            </w14:solidFill>
          </w14:textFill>
        </w:rPr>
        <w:t>评标委员会将确定每一投标人是否对招标文件的要求做出了实质性的响应，而没有重大偏差。实质性响应的投标是指投标符合招标文件的所有条款、条件和规定且没有重大偏差或保留。重大偏差或保留是指影响到招标文件规定的招标范围和内容或限制了</w:t>
      </w:r>
      <w:r>
        <w:rPr>
          <w:rFonts w:hint="eastAsia" w:hAnsi="宋体"/>
          <w:color w:val="000000" w:themeColor="text1"/>
          <w:szCs w:val="24"/>
          <w:highlight w:val="none"/>
          <w:lang w:eastAsia="zh-CN"/>
          <w14:textFill>
            <w14:solidFill>
              <w14:schemeClr w14:val="tx1"/>
            </w14:solidFill>
          </w14:textFill>
        </w:rPr>
        <w:t>招标人</w:t>
      </w:r>
      <w:r>
        <w:rPr>
          <w:rFonts w:hAnsi="宋体"/>
          <w:color w:val="000000" w:themeColor="text1"/>
          <w:szCs w:val="24"/>
          <w:highlight w:val="none"/>
          <w14:textFill>
            <w14:solidFill>
              <w14:schemeClr w14:val="tx1"/>
            </w14:solidFill>
          </w14:textFill>
        </w:rPr>
        <w:t>的权利和投标人的义务规定，而纠正这些偏差将影响到其他提交实质性响应投标的投标人的公平竞争地位。</w:t>
      </w:r>
    </w:p>
    <w:p w14:paraId="14D3F931">
      <w:pPr>
        <w:pStyle w:val="41"/>
        <w:spacing w:line="360" w:lineRule="auto"/>
        <w:ind w:firstLine="482"/>
        <w:textAlignment w:val="center"/>
        <w:rPr>
          <w:rFonts w:hAnsi="宋体"/>
          <w:color w:val="000000" w:themeColor="text1"/>
          <w:szCs w:val="24"/>
          <w:highlight w:val="none"/>
          <w14:textFill>
            <w14:solidFill>
              <w14:schemeClr w14:val="tx1"/>
            </w14:solidFill>
          </w14:textFill>
        </w:rPr>
      </w:pPr>
      <w:r>
        <w:rPr>
          <w:rFonts w:hAnsi="宋体"/>
          <w:color w:val="000000" w:themeColor="text1"/>
          <w:szCs w:val="24"/>
          <w:highlight w:val="none"/>
          <w14:textFill>
            <w14:solidFill>
              <w14:schemeClr w14:val="tx1"/>
            </w14:solidFill>
          </w14:textFill>
        </w:rPr>
        <w:t>3.2.</w:t>
      </w:r>
      <w:r>
        <w:rPr>
          <w:rFonts w:hint="eastAsia" w:hAnsi="宋体"/>
          <w:color w:val="000000" w:themeColor="text1"/>
          <w:szCs w:val="24"/>
          <w:highlight w:val="none"/>
          <w:lang w:val="en-US" w:eastAsia="zh-CN"/>
          <w14:textFill>
            <w14:solidFill>
              <w14:schemeClr w14:val="tx1"/>
            </w14:solidFill>
          </w14:textFill>
        </w:rPr>
        <w:t>1</w:t>
      </w:r>
      <w:r>
        <w:rPr>
          <w:rFonts w:hAnsi="宋体"/>
          <w:color w:val="000000" w:themeColor="text1"/>
          <w:highlight w:val="none"/>
          <w14:textFill>
            <w14:solidFill>
              <w14:schemeClr w14:val="tx1"/>
            </w14:solidFill>
          </w14:textFill>
        </w:rPr>
        <w:t>评标委员会将允许投标人修改其投标文件的细微偏差。</w:t>
      </w:r>
      <w:r>
        <w:rPr>
          <w:rFonts w:hAnsi="宋体"/>
          <w:color w:val="000000" w:themeColor="text1"/>
          <w:szCs w:val="24"/>
          <w:highlight w:val="none"/>
          <w14:textFill>
            <w14:solidFill>
              <w14:schemeClr w14:val="tx1"/>
            </w14:solidFill>
          </w14:textFill>
        </w:rPr>
        <w:t>细微偏差是指投标文件在实质上响应招标文件要求，但在个别地方存在漏项或者提供了不完整的信息和数据等情况，并且补正这些遗漏或者不完整不会对其他投标人造成不公平的结果。细微偏差不影响投标文件的有效性。</w:t>
      </w:r>
    </w:p>
    <w:p w14:paraId="4E5BF334">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3.2.</w:t>
      </w:r>
      <w:r>
        <w:rPr>
          <w:rFonts w:hint="eastAsia" w:ascii="宋体" w:hAnsi="宋体"/>
          <w:color w:val="000000" w:themeColor="text1"/>
          <w:sz w:val="24"/>
          <w:szCs w:val="24"/>
          <w:highlight w:val="none"/>
          <w:lang w:val="en-US" w:eastAsia="zh-CN"/>
          <w14:textFill>
            <w14:solidFill>
              <w14:schemeClr w14:val="tx1"/>
            </w14:solidFill>
          </w14:textFill>
        </w:rPr>
        <w:t>2</w:t>
      </w:r>
      <w:r>
        <w:rPr>
          <w:rFonts w:ascii="宋体" w:hAnsi="宋体"/>
          <w:color w:val="000000" w:themeColor="text1"/>
          <w:sz w:val="24"/>
          <w:szCs w:val="24"/>
          <w:highlight w:val="none"/>
          <w14:textFill>
            <w14:solidFill>
              <w14:schemeClr w14:val="tx1"/>
            </w14:solidFill>
          </w14:textFill>
        </w:rPr>
        <w:t>对于投标文件中含义不明确、同类问题表述不一致或者有明显文字和计算错误的内容，评标委员会应当以书面形式要求投标人作出必要的澄清、说明或者补正。</w:t>
      </w:r>
    </w:p>
    <w:p w14:paraId="46C9FD3F">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投标人的澄清、说明或者补正应当采用书面形式，并加盖公章，或者由法定代表人或其授权的代表签字。投标人的澄清、说明或者补正不得超出投标文件的范围或者改变投标文件的实质性内容。</w:t>
      </w:r>
    </w:p>
    <w:p w14:paraId="438EE1A4">
      <w:pPr>
        <w:spacing w:line="360" w:lineRule="auto"/>
        <w:ind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3.3 投标报价评审</w:t>
      </w:r>
    </w:p>
    <w:p w14:paraId="13F8E78B">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投标人投标报价有算术错误的，评标委员会按以下原则对投标报价进行修正：</w:t>
      </w:r>
    </w:p>
    <w:p w14:paraId="7B29A4EE">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(一)投标文件中开标一览表(报价表)内容与投标文件中相应内容不一致的，以开标一览表(报价表)为准；</w:t>
      </w:r>
    </w:p>
    <w:p w14:paraId="461B04FD">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(二)大写金额和小写金额不一致的，以大写金额为准；</w:t>
      </w:r>
    </w:p>
    <w:p w14:paraId="6DE38591">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(三)单价金额小数点或者百分比有明显错位的，以开标一览表的总价为准，并修改单价；</w:t>
      </w:r>
    </w:p>
    <w:p w14:paraId="7709047E">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(四)总价金额与按单价汇总金额不一致的，以单价金额计算结果为准。</w:t>
      </w:r>
    </w:p>
    <w:p w14:paraId="2C75CA26">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同时出现两种以上不一致的，按照前款规定的顺序修正。修正后的报价经投标人确认后产生约束力，投标人不确认的，其投标无效。</w:t>
      </w:r>
    </w:p>
    <w:p w14:paraId="4198D9E9">
      <w:pPr>
        <w:spacing w:line="360" w:lineRule="auto"/>
        <w:ind w:firstLine="482" w:firstLineChars="20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4、详细评审：</w:t>
      </w:r>
    </w:p>
    <w:p w14:paraId="26920ED1">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评标委员会根据以下评分标准进行评标，并计算出每个有效投标人的最终得分。</w:t>
      </w:r>
    </w:p>
    <w:p w14:paraId="02E170CF">
      <w:pPr>
        <w:spacing w:line="240" w:lineRule="auto"/>
        <w:ind w:firstLine="0" w:firstLineChars="0"/>
        <w:outlineLvl w:val="1"/>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4.1评分标准</w:t>
      </w:r>
    </w:p>
    <w:tbl>
      <w:tblPr>
        <w:tblStyle w:val="76"/>
        <w:tblW w:w="103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3"/>
        <w:gridCol w:w="1101"/>
        <w:gridCol w:w="8130"/>
      </w:tblGrid>
      <w:tr w14:paraId="5D931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2194" w:type="dxa"/>
            <w:gridSpan w:val="2"/>
            <w:tcBorders>
              <w:top w:val="single" w:color="auto" w:sz="4" w:space="0"/>
              <w:left w:val="single" w:color="auto" w:sz="4" w:space="0"/>
              <w:bottom w:val="single" w:color="auto" w:sz="4" w:space="0"/>
              <w:right w:val="single" w:color="auto" w:sz="4" w:space="0"/>
            </w:tcBorders>
            <w:noWrap w:val="0"/>
            <w:vAlign w:val="top"/>
          </w:tcPr>
          <w:p w14:paraId="561E5914">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w:t>
            </w:r>
          </w:p>
        </w:tc>
        <w:tc>
          <w:tcPr>
            <w:tcW w:w="8130" w:type="dxa"/>
            <w:tcBorders>
              <w:top w:val="single" w:color="auto" w:sz="4" w:space="0"/>
              <w:left w:val="single" w:color="auto" w:sz="4" w:space="0"/>
              <w:bottom w:val="single" w:color="auto" w:sz="4" w:space="0"/>
              <w:right w:val="single" w:color="auto" w:sz="4" w:space="0"/>
            </w:tcBorders>
            <w:noWrap w:val="0"/>
            <w:vAlign w:val="center"/>
          </w:tcPr>
          <w:p w14:paraId="53191E47">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评分标准</w:t>
            </w:r>
          </w:p>
        </w:tc>
      </w:tr>
      <w:tr w14:paraId="5B5E2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194" w:type="dxa"/>
            <w:gridSpan w:val="2"/>
            <w:tcBorders>
              <w:top w:val="single" w:color="auto" w:sz="4" w:space="0"/>
              <w:left w:val="single" w:color="auto" w:sz="4" w:space="0"/>
              <w:bottom w:val="single" w:color="auto" w:sz="4" w:space="0"/>
              <w:right w:val="single" w:color="auto" w:sz="4" w:space="0"/>
            </w:tcBorders>
            <w:noWrap w:val="0"/>
            <w:vAlign w:val="center"/>
          </w:tcPr>
          <w:p w14:paraId="2DFA4DF9">
            <w:pPr>
              <w:spacing w:line="360" w:lineRule="auto"/>
              <w:jc w:val="center"/>
              <w:rPr>
                <w:rFonts w:hint="eastAsia" w:ascii="宋体" w:hAnsi="宋体" w:eastAsia="宋体" w:cs="宋体"/>
                <w:sz w:val="24"/>
                <w:szCs w:val="24"/>
                <w:highlight w:val="none"/>
              </w:rPr>
            </w:pPr>
          </w:p>
          <w:p w14:paraId="557826BD">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投标报价（</w:t>
            </w:r>
            <w:r>
              <w:rPr>
                <w:rFonts w:hint="eastAsia" w:ascii="宋体" w:hAnsi="宋体" w:eastAsia="宋体" w:cs="宋体"/>
                <w:sz w:val="24"/>
                <w:szCs w:val="24"/>
                <w:highlight w:val="none"/>
                <w:lang w:val="en-US" w:eastAsia="zh-CN"/>
              </w:rPr>
              <w:t>30</w:t>
            </w:r>
            <w:r>
              <w:rPr>
                <w:rFonts w:hint="eastAsia" w:ascii="宋体" w:hAnsi="宋体" w:eastAsia="宋体" w:cs="宋体"/>
                <w:sz w:val="24"/>
                <w:szCs w:val="24"/>
                <w:highlight w:val="none"/>
              </w:rPr>
              <w:t>分）</w:t>
            </w:r>
          </w:p>
        </w:tc>
        <w:tc>
          <w:tcPr>
            <w:tcW w:w="8130" w:type="dxa"/>
            <w:tcBorders>
              <w:top w:val="single" w:color="auto" w:sz="4" w:space="0"/>
              <w:left w:val="single" w:color="auto" w:sz="4" w:space="0"/>
              <w:bottom w:val="single" w:color="auto" w:sz="4" w:space="0"/>
              <w:right w:val="single" w:color="auto" w:sz="4" w:space="0"/>
            </w:tcBorders>
            <w:noWrap w:val="0"/>
            <w:vAlign w:val="center"/>
          </w:tcPr>
          <w:p w14:paraId="07F9F660">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以所有有效投标总报价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折扣率报价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中的最低投标总报价为评标基准价。投标总报价等于基准价得</w:t>
            </w:r>
            <w:r>
              <w:rPr>
                <w:rFonts w:hint="eastAsia" w:ascii="宋体" w:hAnsi="宋体" w:eastAsia="宋体" w:cs="宋体"/>
                <w:sz w:val="24"/>
                <w:szCs w:val="24"/>
                <w:highlight w:val="none"/>
                <w:lang w:val="en-US" w:eastAsia="zh-CN"/>
              </w:rPr>
              <w:t>30</w:t>
            </w:r>
            <w:r>
              <w:rPr>
                <w:rFonts w:hint="eastAsia" w:ascii="宋体" w:hAnsi="宋体" w:eastAsia="宋体" w:cs="宋体"/>
                <w:sz w:val="24"/>
                <w:szCs w:val="24"/>
                <w:highlight w:val="none"/>
              </w:rPr>
              <w:t>分，其他投标人的投标总报价得分统一按照下列公式计算：</w:t>
            </w:r>
          </w:p>
          <w:p w14:paraId="0F1E4FDF">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投标总报价得分=（评标基准价/投标总报价）×</w:t>
            </w:r>
            <w:r>
              <w:rPr>
                <w:rFonts w:hint="eastAsia" w:ascii="宋体" w:hAnsi="宋体" w:eastAsia="宋体" w:cs="宋体"/>
                <w:sz w:val="24"/>
                <w:szCs w:val="24"/>
                <w:highlight w:val="none"/>
                <w:lang w:val="en-US" w:eastAsia="zh-CN"/>
              </w:rPr>
              <w:t>30</w:t>
            </w:r>
            <w:r>
              <w:rPr>
                <w:rFonts w:hint="eastAsia" w:ascii="宋体" w:hAnsi="宋体" w:eastAsia="宋体" w:cs="宋体"/>
                <w:sz w:val="24"/>
                <w:szCs w:val="24"/>
                <w:highlight w:val="none"/>
              </w:rPr>
              <w:t>%×100</w:t>
            </w:r>
          </w:p>
          <w:p w14:paraId="0A0C7642">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注：</w:t>
            </w:r>
            <w:r>
              <w:rPr>
                <w:rFonts w:hint="eastAsia" w:ascii="宋体" w:hAnsi="宋体" w:eastAsia="宋体" w:cs="宋体"/>
                <w:b/>
                <w:sz w:val="24"/>
                <w:szCs w:val="24"/>
                <w:highlight w:val="none"/>
              </w:rPr>
              <w:t>因落实政府采购政策进行价格调整的，以调整后的价格计算评标基准价和投标报价。</w:t>
            </w:r>
          </w:p>
        </w:tc>
      </w:tr>
      <w:tr w14:paraId="69C0D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093" w:type="dxa"/>
            <w:vMerge w:val="restart"/>
            <w:tcBorders>
              <w:top w:val="single" w:color="auto" w:sz="4" w:space="0"/>
              <w:left w:val="single" w:color="auto" w:sz="4" w:space="0"/>
              <w:right w:val="single" w:color="auto" w:sz="4" w:space="0"/>
            </w:tcBorders>
            <w:noWrap w:val="0"/>
            <w:vAlign w:val="top"/>
          </w:tcPr>
          <w:p w14:paraId="7837A00D">
            <w:pPr>
              <w:spacing w:line="360" w:lineRule="auto"/>
              <w:jc w:val="center"/>
              <w:rPr>
                <w:rFonts w:hint="eastAsia" w:ascii="宋体" w:hAnsi="宋体" w:eastAsia="宋体" w:cs="宋体"/>
                <w:sz w:val="24"/>
                <w:szCs w:val="24"/>
                <w:highlight w:val="none"/>
              </w:rPr>
            </w:pPr>
          </w:p>
          <w:p w14:paraId="1CFC8BC0">
            <w:pPr>
              <w:spacing w:line="360" w:lineRule="auto"/>
              <w:jc w:val="center"/>
              <w:rPr>
                <w:rFonts w:hint="eastAsia" w:ascii="宋体" w:hAnsi="宋体" w:eastAsia="宋体" w:cs="宋体"/>
                <w:sz w:val="24"/>
                <w:szCs w:val="24"/>
                <w:highlight w:val="none"/>
              </w:rPr>
            </w:pPr>
          </w:p>
          <w:p w14:paraId="63A27546">
            <w:pPr>
              <w:spacing w:line="360" w:lineRule="auto"/>
              <w:jc w:val="center"/>
              <w:rPr>
                <w:rFonts w:hint="eastAsia" w:ascii="宋体" w:hAnsi="宋体" w:eastAsia="宋体" w:cs="宋体"/>
                <w:sz w:val="24"/>
                <w:szCs w:val="24"/>
                <w:highlight w:val="none"/>
              </w:rPr>
            </w:pPr>
          </w:p>
          <w:p w14:paraId="2097DD90">
            <w:pPr>
              <w:spacing w:line="360" w:lineRule="auto"/>
              <w:jc w:val="center"/>
              <w:rPr>
                <w:rFonts w:hint="eastAsia" w:ascii="宋体" w:hAnsi="宋体" w:eastAsia="宋体" w:cs="宋体"/>
                <w:sz w:val="24"/>
                <w:szCs w:val="24"/>
                <w:highlight w:val="none"/>
              </w:rPr>
            </w:pPr>
          </w:p>
          <w:p w14:paraId="3869EC07">
            <w:pPr>
              <w:spacing w:line="360" w:lineRule="auto"/>
              <w:jc w:val="center"/>
              <w:rPr>
                <w:rFonts w:hint="eastAsia" w:ascii="宋体" w:hAnsi="宋体" w:eastAsia="宋体" w:cs="宋体"/>
                <w:sz w:val="24"/>
                <w:szCs w:val="24"/>
                <w:highlight w:val="none"/>
              </w:rPr>
            </w:pPr>
          </w:p>
          <w:p w14:paraId="6FC09DE2">
            <w:pPr>
              <w:spacing w:line="360" w:lineRule="auto"/>
              <w:jc w:val="center"/>
              <w:rPr>
                <w:rFonts w:hint="eastAsia" w:ascii="宋体" w:hAnsi="宋体" w:eastAsia="宋体" w:cs="宋体"/>
                <w:sz w:val="24"/>
                <w:szCs w:val="24"/>
                <w:highlight w:val="none"/>
              </w:rPr>
            </w:pPr>
          </w:p>
          <w:p w14:paraId="06BE4393">
            <w:pPr>
              <w:spacing w:line="360" w:lineRule="auto"/>
              <w:jc w:val="center"/>
              <w:rPr>
                <w:rFonts w:hint="eastAsia" w:ascii="宋体" w:hAnsi="宋体" w:eastAsia="宋体" w:cs="宋体"/>
                <w:sz w:val="24"/>
                <w:szCs w:val="24"/>
                <w:highlight w:val="none"/>
              </w:rPr>
            </w:pPr>
          </w:p>
          <w:p w14:paraId="123CBC3C">
            <w:pPr>
              <w:spacing w:line="360" w:lineRule="auto"/>
              <w:jc w:val="center"/>
              <w:rPr>
                <w:rFonts w:hint="eastAsia" w:ascii="宋体" w:hAnsi="宋体" w:eastAsia="宋体" w:cs="宋体"/>
                <w:sz w:val="24"/>
                <w:szCs w:val="24"/>
                <w:highlight w:val="none"/>
              </w:rPr>
            </w:pPr>
          </w:p>
          <w:p w14:paraId="1CE64967">
            <w:pPr>
              <w:spacing w:line="360" w:lineRule="auto"/>
              <w:jc w:val="center"/>
              <w:rPr>
                <w:rFonts w:hint="eastAsia" w:ascii="宋体" w:hAnsi="宋体" w:eastAsia="宋体" w:cs="宋体"/>
                <w:sz w:val="24"/>
                <w:szCs w:val="24"/>
                <w:highlight w:val="none"/>
              </w:rPr>
            </w:pPr>
          </w:p>
          <w:p w14:paraId="121D1FC2">
            <w:pPr>
              <w:spacing w:line="360" w:lineRule="auto"/>
              <w:jc w:val="center"/>
              <w:rPr>
                <w:rFonts w:hint="eastAsia" w:ascii="宋体" w:hAnsi="宋体" w:eastAsia="宋体" w:cs="宋体"/>
                <w:sz w:val="24"/>
                <w:szCs w:val="24"/>
                <w:highlight w:val="none"/>
              </w:rPr>
            </w:pPr>
          </w:p>
          <w:p w14:paraId="76F2021F">
            <w:pPr>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技术方案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70分</w:t>
            </w:r>
            <w:r>
              <w:rPr>
                <w:rFonts w:hint="eastAsia" w:ascii="宋体" w:hAnsi="宋体" w:eastAsia="宋体" w:cs="宋体"/>
                <w:sz w:val="24"/>
                <w:szCs w:val="24"/>
                <w:highlight w:val="none"/>
                <w:lang w:eastAsia="zh-CN"/>
              </w:rPr>
              <w:t>）</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5678E480">
            <w:pPr>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配送方案   （</w:t>
            </w:r>
            <w:r>
              <w:rPr>
                <w:rFonts w:hint="eastAsia" w:ascii="宋体" w:hAnsi="宋体" w:cs="宋体"/>
                <w:sz w:val="24"/>
                <w:szCs w:val="24"/>
                <w:highlight w:val="none"/>
                <w:lang w:val="en-US" w:eastAsia="zh-CN"/>
              </w:rPr>
              <w:t>45</w:t>
            </w:r>
            <w:r>
              <w:rPr>
                <w:rFonts w:hint="eastAsia" w:ascii="宋体" w:hAnsi="宋体" w:eastAsia="宋体" w:cs="宋体"/>
                <w:sz w:val="24"/>
                <w:szCs w:val="24"/>
                <w:highlight w:val="none"/>
                <w:lang w:val="en-US" w:eastAsia="zh-CN"/>
              </w:rPr>
              <w:t>分）</w:t>
            </w:r>
          </w:p>
        </w:tc>
        <w:tc>
          <w:tcPr>
            <w:tcW w:w="8130" w:type="dxa"/>
            <w:tcBorders>
              <w:top w:val="single" w:color="auto" w:sz="4" w:space="0"/>
              <w:left w:val="single" w:color="auto" w:sz="4" w:space="0"/>
              <w:bottom w:val="single" w:color="auto" w:sz="4" w:space="0"/>
              <w:right w:val="single" w:color="auto" w:sz="4" w:space="0"/>
            </w:tcBorders>
            <w:noWrap w:val="0"/>
            <w:vAlign w:val="center"/>
          </w:tcPr>
          <w:p w14:paraId="46A48C16">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1、根据招标人对本次项目的认识理解程度进行综合评定，投标文件中对此项内容进行描述得 2 分，提供的此项描述最大限度满足项目需求、从服务好招标人角度出发对项目整体统筹规划、认识深刻、定位合理、服务目标等阐述明晰且贴合实际服务情况得</w:t>
            </w:r>
            <w:r>
              <w:rPr>
                <w:rFonts w:hint="eastAsia" w:ascii="宋体" w:hAnsi="宋体" w:eastAsia="宋体" w:cs="宋体"/>
                <w:sz w:val="24"/>
                <w:szCs w:val="24"/>
                <w:highlight w:val="none"/>
                <w:lang w:eastAsia="zh-CN"/>
              </w:rPr>
              <w:t xml:space="preserve"> 2（不含）-</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分</w:t>
            </w:r>
            <w:r>
              <w:rPr>
                <w:rFonts w:hint="eastAsia" w:ascii="宋体" w:hAnsi="宋体" w:eastAsia="宋体" w:cs="宋体"/>
                <w:sz w:val="24"/>
                <w:szCs w:val="24"/>
                <w:highlight w:val="none"/>
              </w:rPr>
              <w:t>；</w:t>
            </w:r>
          </w:p>
          <w:p w14:paraId="5ED02DF3">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2、根据招标人提供的食材采购质量保证措施进行综合评定，响应文件中对此项内容进行描述得 2 分，食材采购、运输、检测方案，保证食材来源安全环保，质量、卫生可控，得</w:t>
            </w:r>
            <w:r>
              <w:rPr>
                <w:rFonts w:hint="eastAsia" w:ascii="宋体" w:hAnsi="宋体" w:eastAsia="宋体" w:cs="宋体"/>
                <w:sz w:val="24"/>
                <w:szCs w:val="24"/>
                <w:highlight w:val="none"/>
                <w:lang w:eastAsia="zh-CN"/>
              </w:rPr>
              <w:t xml:space="preserve"> 2（不含）-</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分</w:t>
            </w:r>
            <w:r>
              <w:rPr>
                <w:rFonts w:hint="eastAsia" w:ascii="宋体" w:hAnsi="宋体" w:eastAsia="宋体" w:cs="宋体"/>
                <w:sz w:val="24"/>
                <w:szCs w:val="24"/>
                <w:highlight w:val="none"/>
              </w:rPr>
              <w:t>；</w:t>
            </w:r>
          </w:p>
          <w:p w14:paraId="24DF66E7">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3、根据各招标人提报的配送工作部署进行综合评定，响应文件中对此项进行描述得 2 分，提供的此项描述最大限度满足项目需求，工作部署计划逐条列明，工作标准规范，工作规划内容完整，重点突出、可行性强，运输</w:t>
            </w:r>
          </w:p>
          <w:p w14:paraId="57E7064B">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配送均有详细安排,此项方案详尽细致得 2（不含）-</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w:t>
            </w:r>
          </w:p>
          <w:p w14:paraId="57290564">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4、根据投标人在服务质量保证、随时汇报及退换货等方面的措施及承诺等情况进行综合评定，响应文件中对此项进行描述得 2 分，服务内容全面、措施完善，服务目标承诺全面、针对性强，质量保障措施有力，确保项目</w:t>
            </w:r>
          </w:p>
          <w:p w14:paraId="4F4BE708">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的有效实施，得</w:t>
            </w:r>
            <w:r>
              <w:rPr>
                <w:rFonts w:hint="eastAsia" w:ascii="宋体" w:hAnsi="宋体" w:eastAsia="宋体" w:cs="宋体"/>
                <w:sz w:val="24"/>
                <w:szCs w:val="24"/>
                <w:highlight w:val="none"/>
                <w:lang w:eastAsia="zh-CN"/>
              </w:rPr>
              <w:t xml:space="preserve"> 2（不含）-</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分</w:t>
            </w:r>
            <w:r>
              <w:rPr>
                <w:rFonts w:hint="eastAsia" w:ascii="宋体" w:hAnsi="宋体" w:eastAsia="宋体" w:cs="宋体"/>
                <w:sz w:val="24"/>
                <w:szCs w:val="24"/>
                <w:highlight w:val="none"/>
              </w:rPr>
              <w:t>；</w:t>
            </w:r>
          </w:p>
          <w:p w14:paraId="01F034AF">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5、根据投标人提供的食品储存管理制度方案进行综合评定，响应文件中对方案进行描述得 2 分，提供的具体实施措施完善可行、配置合理、齐全，分工明确、责任清晰，服务措施详细、全面、合理得</w:t>
            </w:r>
            <w:r>
              <w:rPr>
                <w:rFonts w:hint="eastAsia" w:ascii="宋体" w:hAnsi="宋体" w:eastAsia="宋体" w:cs="宋体"/>
                <w:sz w:val="24"/>
                <w:szCs w:val="24"/>
                <w:highlight w:val="none"/>
                <w:lang w:eastAsia="zh-CN"/>
              </w:rPr>
              <w:t xml:space="preserve"> 2（不含）-</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分</w:t>
            </w:r>
            <w:r>
              <w:rPr>
                <w:rFonts w:hint="eastAsia" w:ascii="宋体" w:hAnsi="宋体" w:eastAsia="宋体" w:cs="宋体"/>
                <w:sz w:val="24"/>
                <w:szCs w:val="24"/>
                <w:highlight w:val="none"/>
              </w:rPr>
              <w:t>；</w:t>
            </w:r>
          </w:p>
          <w:p w14:paraId="434B2032">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6、根据投标人针对特殊天气影响、设备故障、突发事件、重大节 假日或活动、部门检查等特殊情况制定的应急方案和保障措施进行综合评定，投标文件中对此项进行描述得 2 分，措施方案完善可行、可操作性强，突发事件</w:t>
            </w:r>
          </w:p>
          <w:p w14:paraId="7CFD50C2">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处置预案考虑全面，在服务工作过程中出现突发事件情况下的应急能力突出，各项辅助措施齐全，此项方案描述详尽细致得</w:t>
            </w:r>
            <w:r>
              <w:rPr>
                <w:rFonts w:hint="eastAsia" w:ascii="宋体" w:hAnsi="宋体" w:eastAsia="宋体" w:cs="宋体"/>
                <w:sz w:val="24"/>
                <w:szCs w:val="24"/>
                <w:highlight w:val="none"/>
                <w:lang w:eastAsia="zh-CN"/>
              </w:rPr>
              <w:t xml:space="preserve"> 2（不含）-</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分</w:t>
            </w:r>
            <w:r>
              <w:rPr>
                <w:rFonts w:hint="eastAsia" w:ascii="宋体" w:hAnsi="宋体" w:eastAsia="宋体" w:cs="宋体"/>
                <w:sz w:val="24"/>
                <w:szCs w:val="24"/>
                <w:highlight w:val="none"/>
              </w:rPr>
              <w:t>；</w:t>
            </w:r>
          </w:p>
          <w:p w14:paraId="44C611D5">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7、根据投标人对本项目的日常供应任务安排进行综合评定，响应文件中对此项内容进行描述得 2 分，提供的此项描述最大限度满足项目使用需求、日常工作任务安排合理、人事管理方法科学严谨，最大化体现对项目的服</w:t>
            </w:r>
          </w:p>
          <w:p w14:paraId="4C7AB38C">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务配套方案，得</w:t>
            </w:r>
            <w:r>
              <w:rPr>
                <w:rFonts w:hint="eastAsia" w:ascii="宋体" w:hAnsi="宋体" w:eastAsia="宋体" w:cs="宋体"/>
                <w:sz w:val="24"/>
                <w:szCs w:val="24"/>
                <w:highlight w:val="none"/>
                <w:lang w:eastAsia="zh-CN"/>
              </w:rPr>
              <w:t xml:space="preserve"> 2（不含）-</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eastAsia="zh-CN"/>
              </w:rPr>
              <w:t xml:space="preserve"> 分</w:t>
            </w:r>
            <w:r>
              <w:rPr>
                <w:rFonts w:hint="eastAsia" w:ascii="宋体" w:hAnsi="宋体" w:eastAsia="宋体" w:cs="宋体"/>
                <w:sz w:val="24"/>
                <w:szCs w:val="24"/>
                <w:highlight w:val="none"/>
              </w:rPr>
              <w:t>；</w:t>
            </w:r>
          </w:p>
          <w:p w14:paraId="4E96A2FD">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8、针对投标人就本项目要求的重点、难点等情况编制的投标方案进行综合评定，响应文件中对此项进行描述得2 分，提供的此项描述最大限度满足项目使用需求、结合自身状况，综合论述承担本项目的有利条件和优势基</w:t>
            </w:r>
          </w:p>
          <w:p w14:paraId="2B2744A4">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础，论述考虑全面，此项方案详尽细致得</w:t>
            </w:r>
            <w:r>
              <w:rPr>
                <w:rFonts w:hint="eastAsia" w:ascii="宋体" w:hAnsi="宋体" w:eastAsia="宋体" w:cs="宋体"/>
                <w:sz w:val="24"/>
                <w:szCs w:val="24"/>
                <w:highlight w:val="none"/>
                <w:lang w:eastAsia="zh-CN"/>
              </w:rPr>
              <w:t xml:space="preserve"> 2（不含）-</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eastAsia="zh-CN"/>
              </w:rPr>
              <w:t>分</w:t>
            </w:r>
            <w:r>
              <w:rPr>
                <w:rFonts w:hint="eastAsia" w:ascii="宋体" w:hAnsi="宋体" w:eastAsia="宋体" w:cs="宋体"/>
                <w:sz w:val="24"/>
                <w:szCs w:val="24"/>
                <w:highlight w:val="none"/>
              </w:rPr>
              <w:t>。</w:t>
            </w:r>
          </w:p>
          <w:p w14:paraId="6650DA60">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缺项不得分</w:t>
            </w:r>
          </w:p>
          <w:p w14:paraId="3C05BD40">
            <w:pPr>
              <w:spacing w:line="360" w:lineRule="auto"/>
              <w:jc w:val="lef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lang w:val="en-US" w:eastAsia="zh-CN"/>
              </w:rPr>
              <w:t>根据供应商提供的生产加工、专用设施设备等材料是否齐全，进行综合评定</w:t>
            </w:r>
            <w:r>
              <w:rPr>
                <w:rFonts w:hint="eastAsia" w:ascii="宋体" w:hAnsi="宋体" w:eastAsia="宋体" w:cs="宋体"/>
                <w:sz w:val="24"/>
                <w:szCs w:val="24"/>
                <w:highlight w:val="none"/>
              </w:rPr>
              <w:t>响应文件中对此项进行描述得2 分，提供的此项描述最大限度满足项目使用需求、结合自身状况，综合论述承担本项目的有利条件和优势基础，论述考虑全面，此项方案详尽细致得</w:t>
            </w:r>
            <w:r>
              <w:rPr>
                <w:rFonts w:hint="eastAsia" w:ascii="宋体" w:hAnsi="宋体" w:eastAsia="宋体" w:cs="宋体"/>
                <w:sz w:val="24"/>
                <w:szCs w:val="24"/>
                <w:highlight w:val="none"/>
                <w:lang w:eastAsia="zh-CN"/>
              </w:rPr>
              <w:t xml:space="preserve"> 2（不含）-</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eastAsia="zh-CN"/>
              </w:rPr>
              <w:t>分</w:t>
            </w:r>
            <w:r>
              <w:rPr>
                <w:rFonts w:hint="eastAsia" w:ascii="宋体" w:hAnsi="宋体" w:eastAsia="宋体" w:cs="宋体"/>
                <w:sz w:val="24"/>
                <w:szCs w:val="24"/>
                <w:highlight w:val="none"/>
              </w:rPr>
              <w:t>。</w:t>
            </w:r>
          </w:p>
        </w:tc>
      </w:tr>
      <w:tr w14:paraId="566E9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93" w:type="dxa"/>
            <w:vMerge w:val="continue"/>
            <w:tcBorders>
              <w:left w:val="single" w:color="auto" w:sz="4" w:space="0"/>
              <w:right w:val="single" w:color="auto" w:sz="4" w:space="0"/>
            </w:tcBorders>
            <w:noWrap w:val="0"/>
            <w:vAlign w:val="top"/>
          </w:tcPr>
          <w:p w14:paraId="5C308A19">
            <w:pPr>
              <w:pStyle w:val="75"/>
              <w:spacing w:line="360" w:lineRule="auto"/>
              <w:ind w:left="0" w:leftChars="0" w:firstLine="0" w:firstLineChars="0"/>
              <w:jc w:val="center"/>
              <w:rPr>
                <w:rFonts w:hint="eastAsia" w:ascii="宋体" w:hAnsi="宋体" w:eastAsia="宋体" w:cs="宋体"/>
                <w:sz w:val="24"/>
                <w:szCs w:val="24"/>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5276541">
            <w:pPr>
              <w:keepNext w:val="0"/>
              <w:keepLines w:val="0"/>
              <w:widowControl/>
              <w:suppressLineNumbers w:val="0"/>
              <w:jc w:val="center"/>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供货、配送</w:t>
            </w:r>
          </w:p>
          <w:p w14:paraId="2CF86DB0">
            <w:pPr>
              <w:keepNext w:val="0"/>
              <w:keepLines w:val="0"/>
              <w:widowControl/>
              <w:suppressLineNumbers w:val="0"/>
              <w:jc w:val="center"/>
              <w:rPr>
                <w:rFonts w:hint="eastAsia" w:ascii="宋体" w:hAnsi="宋体" w:eastAsia="宋体" w:cs="宋体"/>
                <w:sz w:val="24"/>
                <w:szCs w:val="24"/>
                <w:highlight w:val="none"/>
              </w:rPr>
            </w:pPr>
            <w:r>
              <w:rPr>
                <w:rFonts w:hint="eastAsia" w:ascii="宋体" w:hAnsi="宋体" w:eastAsia="宋体" w:cs="宋体"/>
                <w:color w:val="000000"/>
                <w:kern w:val="0"/>
                <w:sz w:val="24"/>
                <w:szCs w:val="24"/>
                <w:lang w:val="en-US" w:eastAsia="zh-CN" w:bidi="ar"/>
              </w:rPr>
              <w:t>组 织 实 施方案(</w:t>
            </w:r>
            <w:r>
              <w:rPr>
                <w:rFonts w:hint="eastAsia" w:ascii="宋体" w:hAnsi="宋体" w:cs="宋体"/>
                <w:color w:val="000000"/>
                <w:kern w:val="0"/>
                <w:sz w:val="24"/>
                <w:szCs w:val="24"/>
                <w:lang w:val="en-US" w:eastAsia="zh-CN" w:bidi="ar"/>
              </w:rPr>
              <w:t>10</w:t>
            </w:r>
            <w:r>
              <w:rPr>
                <w:rFonts w:hint="eastAsia" w:ascii="宋体" w:hAnsi="宋体" w:eastAsia="宋体" w:cs="宋体"/>
                <w:color w:val="000000"/>
                <w:kern w:val="0"/>
                <w:sz w:val="24"/>
                <w:szCs w:val="24"/>
                <w:lang w:val="en-US" w:eastAsia="zh-CN" w:bidi="ar"/>
              </w:rPr>
              <w:t>)</w:t>
            </w:r>
          </w:p>
        </w:tc>
        <w:tc>
          <w:tcPr>
            <w:tcW w:w="8130" w:type="dxa"/>
            <w:tcBorders>
              <w:top w:val="single" w:color="auto" w:sz="4" w:space="0"/>
              <w:left w:val="single" w:color="auto" w:sz="4" w:space="0"/>
              <w:bottom w:val="single" w:color="auto" w:sz="4" w:space="0"/>
              <w:right w:val="single" w:color="auto" w:sz="4" w:space="0"/>
            </w:tcBorders>
            <w:noWrap w:val="0"/>
            <w:vAlign w:val="center"/>
          </w:tcPr>
          <w:p w14:paraId="5EBF9308">
            <w:pPr>
              <w:pStyle w:val="64"/>
              <w:spacing w:line="360" w:lineRule="auto"/>
              <w:ind w:left="0"/>
              <w:rPr>
                <w:rFonts w:hint="eastAsia" w:ascii="宋体" w:hAnsi="宋体" w:eastAsia="宋体" w:cs="宋体"/>
                <w:b w:val="0"/>
                <w:bCs w:val="0"/>
                <w:smallCaps w:val="0"/>
                <w:sz w:val="24"/>
                <w:szCs w:val="24"/>
                <w:highlight w:val="none"/>
              </w:rPr>
            </w:pPr>
            <w:r>
              <w:rPr>
                <w:rFonts w:hint="eastAsia" w:ascii="宋体" w:hAnsi="宋体" w:eastAsia="宋体" w:cs="宋体"/>
                <w:b w:val="0"/>
                <w:bCs w:val="0"/>
                <w:smallCaps w:val="0"/>
                <w:sz w:val="24"/>
                <w:szCs w:val="24"/>
                <w:highlight w:val="none"/>
              </w:rPr>
              <w:t>1、具有完善的供货组织实施方案，供货、配送等供货计划内容完整，符合项目需求，</w:t>
            </w:r>
            <w:r>
              <w:rPr>
                <w:rFonts w:hint="eastAsia" w:ascii="宋体" w:hAnsi="宋体" w:eastAsia="宋体" w:cs="宋体"/>
                <w:b w:val="0"/>
                <w:bCs w:val="0"/>
                <w:smallCaps w:val="0"/>
                <w:sz w:val="24"/>
                <w:szCs w:val="24"/>
                <w:highlight w:val="none"/>
                <w:lang w:val="en-US" w:eastAsia="zh-CN"/>
              </w:rPr>
              <w:t>0</w:t>
            </w:r>
            <w:r>
              <w:rPr>
                <w:rFonts w:hint="eastAsia" w:ascii="宋体" w:hAnsi="宋体" w:eastAsia="宋体" w:cs="宋体"/>
                <w:b w:val="0"/>
                <w:bCs w:val="0"/>
                <w:smallCaps w:val="0"/>
                <w:sz w:val="24"/>
                <w:szCs w:val="24"/>
                <w:highlight w:val="none"/>
              </w:rPr>
              <w:t>-</w:t>
            </w:r>
            <w:r>
              <w:rPr>
                <w:rFonts w:hint="eastAsia" w:ascii="宋体" w:hAnsi="宋体" w:cs="宋体"/>
                <w:b w:val="0"/>
                <w:bCs w:val="0"/>
                <w:smallCaps w:val="0"/>
                <w:sz w:val="24"/>
                <w:szCs w:val="24"/>
                <w:highlight w:val="none"/>
                <w:lang w:val="en-US" w:eastAsia="zh-CN"/>
              </w:rPr>
              <w:t>5</w:t>
            </w:r>
            <w:r>
              <w:rPr>
                <w:rFonts w:hint="eastAsia" w:ascii="宋体" w:hAnsi="宋体" w:eastAsia="宋体" w:cs="宋体"/>
                <w:b w:val="0"/>
                <w:bCs w:val="0"/>
                <w:smallCaps w:val="0"/>
                <w:sz w:val="24"/>
                <w:szCs w:val="24"/>
                <w:highlight w:val="none"/>
              </w:rPr>
              <w:t>分，缺项不得分；</w:t>
            </w:r>
          </w:p>
          <w:p w14:paraId="3C3287C2">
            <w:pPr>
              <w:pStyle w:val="64"/>
              <w:spacing w:line="360" w:lineRule="auto"/>
              <w:ind w:left="0"/>
              <w:rPr>
                <w:rFonts w:hint="eastAsia" w:ascii="宋体" w:hAnsi="宋体" w:eastAsia="宋体" w:cs="宋体"/>
                <w:b/>
                <w:bCs/>
                <w:smallCaps w:val="0"/>
                <w:sz w:val="24"/>
                <w:szCs w:val="24"/>
                <w:highlight w:val="none"/>
              </w:rPr>
            </w:pPr>
            <w:r>
              <w:rPr>
                <w:rFonts w:hint="eastAsia" w:ascii="宋体" w:hAnsi="宋体" w:eastAsia="宋体" w:cs="宋体"/>
                <w:b w:val="0"/>
                <w:bCs w:val="0"/>
                <w:smallCaps w:val="0"/>
                <w:sz w:val="24"/>
                <w:szCs w:val="24"/>
                <w:highlight w:val="none"/>
              </w:rPr>
              <w:t>2、有针对本项目的冷冻、保鲜方案、技术保障措施，</w:t>
            </w:r>
            <w:r>
              <w:rPr>
                <w:rFonts w:hint="eastAsia" w:ascii="宋体" w:hAnsi="宋体" w:eastAsia="宋体" w:cs="宋体"/>
                <w:b w:val="0"/>
                <w:bCs w:val="0"/>
                <w:smallCaps w:val="0"/>
                <w:sz w:val="24"/>
                <w:szCs w:val="24"/>
                <w:highlight w:val="none"/>
                <w:lang w:val="en-US" w:eastAsia="zh-CN"/>
              </w:rPr>
              <w:t>0</w:t>
            </w:r>
            <w:r>
              <w:rPr>
                <w:rFonts w:hint="eastAsia" w:ascii="宋体" w:hAnsi="宋体" w:eastAsia="宋体" w:cs="宋体"/>
                <w:b w:val="0"/>
                <w:bCs w:val="0"/>
                <w:smallCaps w:val="0"/>
                <w:sz w:val="24"/>
                <w:szCs w:val="24"/>
                <w:highlight w:val="none"/>
              </w:rPr>
              <w:t>-</w:t>
            </w:r>
            <w:r>
              <w:rPr>
                <w:rFonts w:hint="eastAsia" w:ascii="宋体" w:hAnsi="宋体" w:cs="宋体"/>
                <w:b w:val="0"/>
                <w:bCs w:val="0"/>
                <w:smallCaps w:val="0"/>
                <w:sz w:val="24"/>
                <w:szCs w:val="24"/>
                <w:highlight w:val="none"/>
                <w:lang w:val="en-US" w:eastAsia="zh-CN"/>
              </w:rPr>
              <w:t>5</w:t>
            </w:r>
            <w:r>
              <w:rPr>
                <w:rFonts w:hint="eastAsia" w:ascii="宋体" w:hAnsi="宋体" w:eastAsia="宋体" w:cs="宋体"/>
                <w:b w:val="0"/>
                <w:bCs w:val="0"/>
                <w:smallCaps w:val="0"/>
                <w:sz w:val="24"/>
                <w:szCs w:val="24"/>
                <w:highlight w:val="none"/>
              </w:rPr>
              <w:t>分，缺项不得分</w:t>
            </w:r>
          </w:p>
        </w:tc>
      </w:tr>
      <w:tr w14:paraId="23805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93" w:type="dxa"/>
            <w:vMerge w:val="continue"/>
            <w:tcBorders>
              <w:left w:val="single" w:color="auto" w:sz="4" w:space="0"/>
              <w:right w:val="single" w:color="auto" w:sz="4" w:space="0"/>
            </w:tcBorders>
            <w:noWrap w:val="0"/>
            <w:vAlign w:val="top"/>
          </w:tcPr>
          <w:p w14:paraId="1135B6C3">
            <w:pPr>
              <w:pStyle w:val="75"/>
              <w:spacing w:line="360" w:lineRule="auto"/>
              <w:ind w:left="0" w:leftChars="0" w:firstLine="0" w:firstLineChars="0"/>
              <w:jc w:val="center"/>
              <w:rPr>
                <w:rFonts w:hint="eastAsia" w:ascii="宋体" w:hAnsi="宋体" w:eastAsia="宋体" w:cs="宋体"/>
                <w:sz w:val="24"/>
                <w:szCs w:val="24"/>
                <w:highlight w:val="none"/>
              </w:rPr>
            </w:pPr>
          </w:p>
        </w:tc>
        <w:tc>
          <w:tcPr>
            <w:tcW w:w="11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C31F68D">
            <w:pPr>
              <w:keepNext w:val="0"/>
              <w:keepLines w:val="0"/>
              <w:widowControl/>
              <w:suppressLineNumbers w:val="0"/>
              <w:jc w:val="center"/>
              <w:rPr>
                <w:rFonts w:hint="eastAsia" w:ascii="宋体" w:hAnsi="宋体" w:eastAsia="宋体" w:cs="宋体"/>
                <w:sz w:val="24"/>
                <w:szCs w:val="24"/>
                <w:highlight w:val="none"/>
                <w:lang w:eastAsia="zh-CN"/>
              </w:rPr>
            </w:pPr>
            <w:r>
              <w:rPr>
                <w:rFonts w:hint="eastAsia" w:ascii="宋体" w:hAnsi="宋体" w:eastAsia="宋体" w:cs="宋体"/>
                <w:color w:val="000000"/>
                <w:kern w:val="0"/>
                <w:sz w:val="24"/>
                <w:szCs w:val="24"/>
                <w:lang w:val="en-US" w:eastAsia="zh-CN" w:bidi="ar"/>
              </w:rPr>
              <w:t>售后服务（1</w:t>
            </w:r>
            <w:r>
              <w:rPr>
                <w:rFonts w:hint="eastAsia" w:ascii="宋体" w:hAnsi="宋体" w:cs="宋体"/>
                <w:color w:val="000000"/>
                <w:kern w:val="0"/>
                <w:sz w:val="24"/>
                <w:szCs w:val="24"/>
                <w:lang w:val="en-US" w:eastAsia="zh-CN" w:bidi="ar"/>
              </w:rPr>
              <w:t>5</w:t>
            </w:r>
            <w:r>
              <w:rPr>
                <w:rFonts w:hint="eastAsia" w:ascii="宋体" w:hAnsi="宋体" w:eastAsia="宋体" w:cs="宋体"/>
                <w:color w:val="000000"/>
                <w:kern w:val="0"/>
                <w:sz w:val="24"/>
                <w:szCs w:val="24"/>
                <w:lang w:val="en-US" w:eastAsia="zh-CN" w:bidi="ar"/>
              </w:rPr>
              <w:t>）</w:t>
            </w:r>
          </w:p>
        </w:tc>
        <w:tc>
          <w:tcPr>
            <w:tcW w:w="8130" w:type="dxa"/>
            <w:tcBorders>
              <w:top w:val="single" w:color="auto" w:sz="4" w:space="0"/>
              <w:left w:val="single" w:color="auto" w:sz="4" w:space="0"/>
              <w:bottom w:val="single" w:color="auto" w:sz="4" w:space="0"/>
              <w:right w:val="single" w:color="auto" w:sz="4" w:space="0"/>
            </w:tcBorders>
            <w:noWrap w:val="0"/>
            <w:vAlign w:val="center"/>
          </w:tcPr>
          <w:p w14:paraId="741FF910">
            <w:pPr>
              <w:pStyle w:val="64"/>
              <w:spacing w:line="360" w:lineRule="auto"/>
              <w:ind w:left="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1、根据投标人提供的供货时间、质量保证措施评审得0-</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分，缺项不得分；</w:t>
            </w:r>
          </w:p>
          <w:p w14:paraId="792557FA">
            <w:pPr>
              <w:pStyle w:val="64"/>
              <w:spacing w:line="360" w:lineRule="auto"/>
              <w:ind w:left="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2、根据投标人提供的退换货响应时间综合评价评审得0-</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分，缺项不得分；</w:t>
            </w:r>
          </w:p>
          <w:p w14:paraId="61D336C7">
            <w:pPr>
              <w:pStyle w:val="64"/>
              <w:spacing w:line="360" w:lineRule="auto"/>
              <w:ind w:left="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3、根据投标人提供的问题处置制度进行综合评定（包括但不限于紧急事件处理、事件后续问题处理、投诉解决方案等），得0-</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分，缺项不得分。</w:t>
            </w:r>
          </w:p>
        </w:tc>
      </w:tr>
    </w:tbl>
    <w:p w14:paraId="7665BFAF">
      <w:pPr>
        <w:pStyle w:val="75"/>
        <w:ind w:left="0" w:leftChars="0" w:firstLine="0" w:firstLineChars="0"/>
        <w:rPr>
          <w:rFonts w:hint="eastAsia" w:eastAsia="宋体"/>
          <w:sz w:val="24"/>
          <w:szCs w:val="24"/>
          <w:highlight w:val="none"/>
          <w:lang w:val="en-US" w:eastAsia="zh-CN"/>
        </w:rPr>
      </w:pPr>
      <w:r>
        <w:rPr>
          <w:rFonts w:hint="eastAsia"/>
          <w:sz w:val="24"/>
          <w:szCs w:val="24"/>
          <w:highlight w:val="none"/>
          <w:lang w:val="en-US" w:eastAsia="zh-CN"/>
        </w:rPr>
        <w:t>注：以上条款</w:t>
      </w:r>
      <w:r>
        <w:rPr>
          <w:rFonts w:hint="eastAsia" w:ascii="宋体" w:hAnsi="宋体" w:eastAsia="宋体" w:cs="宋体"/>
          <w:sz w:val="24"/>
          <w:szCs w:val="24"/>
          <w:highlight w:val="none"/>
        </w:rPr>
        <w:t>缺项不得分</w:t>
      </w:r>
    </w:p>
    <w:p w14:paraId="08AD7DC7">
      <w:pPr>
        <w:spacing w:line="360" w:lineRule="auto"/>
        <w:rPr>
          <w:rFonts w:hint="eastAsia" w:ascii="宋体" w:hAnsi="宋体" w:eastAsia="宋体" w:cs="宋体"/>
          <w:b/>
          <w:bCs w:val="0"/>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4.</w:t>
      </w:r>
      <w:r>
        <w:rPr>
          <w:rFonts w:hint="eastAsia" w:ascii="宋体" w:hAnsi="宋体" w:cs="宋体"/>
          <w:b/>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bCs/>
          <w:color w:val="000000" w:themeColor="text1"/>
          <w:sz w:val="24"/>
          <w:szCs w:val="24"/>
          <w:highlight w:val="none"/>
          <w14:textFill>
            <w14:solidFill>
              <w14:schemeClr w14:val="tx1"/>
            </w14:solidFill>
          </w14:textFill>
        </w:rPr>
        <w:t>定标原则：</w:t>
      </w:r>
      <w:r>
        <w:rPr>
          <w:rFonts w:hint="eastAsia" w:ascii="宋体" w:hAnsi="宋体" w:cs="宋体"/>
          <w:b w:val="0"/>
          <w:bCs/>
          <w:sz w:val="24"/>
          <w:highlight w:val="none"/>
        </w:rPr>
        <w:t>由全体评委按照评分标准的规定对各有效投标人进行综合评审，按最终得分由高到低推荐1-3名中标候选人。</w:t>
      </w:r>
      <w:r>
        <w:rPr>
          <w:rFonts w:hint="eastAsia" w:ascii="宋体" w:hAnsi="宋体" w:cs="宋体"/>
          <w:b w:val="0"/>
          <w:bCs/>
          <w:kern w:val="0"/>
          <w:sz w:val="24"/>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val="0"/>
          <w:bCs/>
          <w:color w:val="000000" w:themeColor="text1"/>
          <w:sz w:val="24"/>
          <w:szCs w:val="24"/>
          <w:highlight w:val="none"/>
          <w:lang w:eastAsia="zh-CN"/>
          <w14:textFill>
            <w14:solidFill>
              <w14:schemeClr w14:val="tx1"/>
            </w14:solidFill>
          </w14:textFill>
        </w:rPr>
        <w:t>招标人</w:t>
      </w:r>
      <w:r>
        <w:rPr>
          <w:rFonts w:hint="eastAsia" w:ascii="宋体" w:hAnsi="宋体" w:eastAsia="宋体" w:cs="宋体"/>
          <w:b w:val="0"/>
          <w:bCs/>
          <w:color w:val="000000" w:themeColor="text1"/>
          <w:sz w:val="24"/>
          <w:szCs w:val="24"/>
          <w:highlight w:val="none"/>
          <w14:textFill>
            <w14:solidFill>
              <w14:schemeClr w14:val="tx1"/>
            </w14:solidFill>
          </w14:textFill>
        </w:rPr>
        <w:t>应当在评标报告确定的中标候选人名单中按顺序确定中标人。</w:t>
      </w:r>
    </w:p>
    <w:p w14:paraId="62DD8E1C">
      <w:pPr>
        <w:spacing w:line="360" w:lineRule="auto"/>
        <w:ind w:firstLine="480" w:firstLineChars="20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本项目兼投不兼中</w:t>
      </w:r>
      <w:r>
        <w:rPr>
          <w:rFonts w:hint="eastAsia" w:ascii="宋体" w:hAnsi="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如果同一供应商在多个标包同时排名第一时，按标包的先后顺序确定其为排名靠前标包的第一中标候选人，其他标包由排名第二的供应商顺延为第一中标候选人，以此类推，每个标包推荐 1-3 名中标候选人。</w:t>
      </w:r>
    </w:p>
    <w:p w14:paraId="61776E52">
      <w:pPr>
        <w:spacing w:line="360" w:lineRule="auto"/>
        <w:ind w:firstLine="480" w:firstLineChars="20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b w:val="0"/>
          <w:bCs w:val="0"/>
          <w:color w:val="000000" w:themeColor="text1"/>
          <w:sz w:val="24"/>
          <w:szCs w:val="24"/>
          <w:highlight w:val="none"/>
          <w:lang w:eastAsia="zh-CN"/>
          <w14:textFill>
            <w14:solidFill>
              <w14:schemeClr w14:val="tx1"/>
            </w14:solidFill>
          </w14:textFill>
        </w:rPr>
        <w:t>招标人</w:t>
      </w:r>
      <w:r>
        <w:rPr>
          <w:rFonts w:hint="eastAsia" w:ascii="宋体" w:hAnsi="宋体" w:eastAsia="宋体" w:cs="宋体"/>
          <w:b w:val="0"/>
          <w:bCs w:val="0"/>
          <w:color w:val="000000" w:themeColor="text1"/>
          <w:sz w:val="24"/>
          <w:szCs w:val="24"/>
          <w:highlight w:val="none"/>
          <w14:textFill>
            <w14:solidFill>
              <w14:schemeClr w14:val="tx1"/>
            </w14:solidFill>
          </w14:textFill>
        </w:rPr>
        <w:t>或者</w:t>
      </w:r>
      <w:r>
        <w:rPr>
          <w:rFonts w:hint="eastAsia" w:ascii="宋体" w:hAnsi="宋体" w:cs="宋体"/>
          <w:b w:val="0"/>
          <w:bCs w:val="0"/>
          <w:color w:val="000000" w:themeColor="text1"/>
          <w:sz w:val="24"/>
          <w:szCs w:val="24"/>
          <w:highlight w:val="none"/>
          <w:lang w:eastAsia="zh-CN"/>
          <w14:textFill>
            <w14:solidFill>
              <w14:schemeClr w14:val="tx1"/>
            </w14:solidFill>
          </w14:textFill>
        </w:rPr>
        <w:t>招标人</w:t>
      </w:r>
      <w:r>
        <w:rPr>
          <w:rFonts w:hint="eastAsia" w:ascii="宋体" w:hAnsi="宋体" w:eastAsia="宋体" w:cs="宋体"/>
          <w:b w:val="0"/>
          <w:bCs w:val="0"/>
          <w:color w:val="000000" w:themeColor="text1"/>
          <w:sz w:val="24"/>
          <w:szCs w:val="24"/>
          <w:highlight w:val="none"/>
          <w14:textFill>
            <w14:solidFill>
              <w14:schemeClr w14:val="tx1"/>
            </w14:solidFill>
          </w14:textFill>
        </w:rPr>
        <w:t>委托评标委员会按照招标文件规定的方式确定一个投标人获得中标人推荐资格，招标文件未规定的采取随机抽取方式确定，其他同品牌投标人不作为中标候选人。</w:t>
      </w:r>
    </w:p>
    <w:p w14:paraId="3C44DDE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.3中标人除因不可抗力外不得随意放弃中标资格，否则承担相应法律责任。中标人确因不可抗力不能履行政府采购合同，或因被查实存在影响中标结果的违法行为等情形，不符合中标条件的，</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eastAsia="宋体" w:cs="宋体"/>
          <w:color w:val="000000" w:themeColor="text1"/>
          <w:sz w:val="24"/>
          <w:szCs w:val="24"/>
          <w:highlight w:val="none"/>
          <w14:textFill>
            <w14:solidFill>
              <w14:schemeClr w14:val="tx1"/>
            </w14:solidFill>
          </w14:textFill>
        </w:rPr>
        <w:t>可按照评标委员会提出的中标候选人名单排序依次确定其他中标候选人为中标人或另行招标。</w:t>
      </w:r>
    </w:p>
    <w:p w14:paraId="39CF3514">
      <w:pPr>
        <w:spacing w:line="360" w:lineRule="auto"/>
        <w:ind w:firstLine="482" w:firstLineChars="200"/>
        <w:rPr>
          <w:rFonts w:ascii="宋体" w:hAnsi="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4.4 </w:t>
      </w:r>
      <w:r>
        <w:rPr>
          <w:rFonts w:hint="eastAsia" w:ascii="宋体" w:hAnsi="宋体" w:eastAsia="宋体" w:cs="宋体"/>
          <w:b/>
          <w:color w:val="000000" w:themeColor="text1"/>
          <w:sz w:val="24"/>
          <w:szCs w:val="24"/>
          <w:highlight w:val="none"/>
          <w14:textFill>
            <w14:solidFill>
              <w14:schemeClr w14:val="tx1"/>
            </w14:solidFill>
          </w14:textFill>
        </w:rPr>
        <w:t>政府采购政策</w:t>
      </w:r>
      <w:r>
        <w:rPr>
          <w:rFonts w:hint="eastAsia" w:ascii="宋体" w:hAnsi="宋体" w:eastAsia="宋体" w:cs="宋体"/>
          <w:b/>
          <w:color w:val="000000" w:themeColor="text1"/>
          <w:sz w:val="24"/>
          <w:szCs w:val="24"/>
          <w:highlight w:val="none"/>
          <w:lang w:eastAsia="zh-CN"/>
          <w14:textFill>
            <w14:solidFill>
              <w14:schemeClr w14:val="tx1"/>
            </w14:solidFill>
          </w14:textFill>
        </w:rPr>
        <w:t>：详见</w:t>
      </w:r>
      <w:r>
        <w:rPr>
          <w:rFonts w:hint="eastAsia" w:ascii="宋体" w:hAnsi="宋体" w:cs="宋体"/>
          <w:b/>
          <w:color w:val="000000" w:themeColor="text1"/>
          <w:sz w:val="24"/>
          <w:szCs w:val="24"/>
          <w:highlight w:val="none"/>
          <w:lang w:val="en-US" w:eastAsia="zh-CN"/>
          <w14:textFill>
            <w14:solidFill>
              <w14:schemeClr w14:val="tx1"/>
            </w14:solidFill>
          </w14:textFill>
        </w:rPr>
        <w:t>附件</w:t>
      </w:r>
      <w:r>
        <w:rPr>
          <w:rFonts w:hint="eastAsia" w:ascii="宋体" w:hAnsi="宋体" w:eastAsia="宋体" w:cs="宋体"/>
          <w:b/>
          <w:color w:val="000000" w:themeColor="text1"/>
          <w:sz w:val="24"/>
          <w:szCs w:val="24"/>
          <w:highlight w:val="none"/>
          <w:lang w:eastAsia="zh-CN"/>
          <w14:textFill>
            <w14:solidFill>
              <w14:schemeClr w14:val="tx1"/>
            </w14:solidFill>
          </w14:textFill>
        </w:rPr>
        <w:t>。</w:t>
      </w:r>
    </w:p>
    <w:p w14:paraId="5EB07905">
      <w:pPr>
        <w:spacing w:line="360" w:lineRule="auto"/>
        <w:rPr>
          <w:rFonts w:ascii="宋体" w:hAnsi="宋体" w:cs="宋体"/>
          <w:b/>
          <w:color w:val="000000" w:themeColor="text1"/>
          <w:sz w:val="24"/>
          <w:szCs w:val="24"/>
          <w:highlight w:val="none"/>
          <w:shd w:val="clear" w:color="auto" w:fill="FFFFFF"/>
          <w14:textFill>
            <w14:solidFill>
              <w14:schemeClr w14:val="tx1"/>
            </w14:solidFill>
          </w14:textFill>
        </w:rPr>
      </w:pPr>
      <w:r>
        <w:rPr>
          <w:rFonts w:hint="eastAsia" w:ascii="宋体" w:hAnsi="宋体" w:cs="宋体"/>
          <w:b/>
          <w:color w:val="000000" w:themeColor="text1"/>
          <w:sz w:val="24"/>
          <w:szCs w:val="24"/>
          <w:highlight w:val="none"/>
          <w:shd w:val="clear" w:color="auto" w:fill="FFFFFF"/>
          <w14:textFill>
            <w14:solidFill>
              <w14:schemeClr w14:val="tx1"/>
            </w14:solidFill>
          </w14:textFill>
        </w:rPr>
        <w:t>四、禁止投标人串通投标或以不正当手段谋取中标，如出现以下情形将依法追究法律责任。</w:t>
      </w:r>
    </w:p>
    <w:p w14:paraId="5F8C7D69">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1、投标人有下列情形之一的，依法追究法律责任：</w:t>
      </w:r>
    </w:p>
    <w:p w14:paraId="58DF9BE7">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(一)向评标委员会行贿或者提供其他不正当利益；</w:t>
      </w:r>
    </w:p>
    <w:p w14:paraId="41512F94">
      <w:pPr>
        <w:tabs>
          <w:tab w:val="left" w:pos="180"/>
        </w:tabs>
        <w:spacing w:line="360" w:lineRule="auto"/>
        <w:ind w:firstLine="482" w:firstLineChars="20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(二)中标后无正当理由拒不与</w:t>
      </w:r>
      <w:r>
        <w:rPr>
          <w:rFonts w:hint="eastAsia" w:ascii="宋体" w:hAnsi="宋体" w:cs="宋体"/>
          <w:b/>
          <w:color w:val="000000" w:themeColor="text1"/>
          <w:sz w:val="24"/>
          <w:szCs w:val="24"/>
          <w:highlight w:val="none"/>
          <w:lang w:eastAsia="zh-CN"/>
          <w14:textFill>
            <w14:solidFill>
              <w14:schemeClr w14:val="tx1"/>
            </w14:solidFill>
          </w14:textFill>
        </w:rPr>
        <w:t>招标人</w:t>
      </w:r>
      <w:r>
        <w:rPr>
          <w:rFonts w:hint="eastAsia" w:ascii="宋体" w:hAnsi="宋体" w:cs="宋体"/>
          <w:b/>
          <w:color w:val="000000" w:themeColor="text1"/>
          <w:sz w:val="24"/>
          <w:szCs w:val="24"/>
          <w:highlight w:val="none"/>
          <w14:textFill>
            <w14:solidFill>
              <w14:schemeClr w14:val="tx1"/>
            </w14:solidFill>
          </w14:textFill>
        </w:rPr>
        <w:t>签订政府采购合同；</w:t>
      </w:r>
    </w:p>
    <w:p w14:paraId="024603B0">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(三)未按照招标文件确定的事项签订政府采购合同；</w:t>
      </w:r>
    </w:p>
    <w:p w14:paraId="4650D6E2">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(四)将政府采购合同转包；</w:t>
      </w:r>
    </w:p>
    <w:p w14:paraId="568C4228">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(五)提供假冒伪劣产品；</w:t>
      </w:r>
    </w:p>
    <w:p w14:paraId="15BC5204">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(六)擅自变更、中止或者终止政府采购合同。</w:t>
      </w:r>
    </w:p>
    <w:p w14:paraId="4605FE6A">
      <w:pPr>
        <w:tabs>
          <w:tab w:val="left" w:pos="180"/>
        </w:tabs>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投标人有前款第一项规定情形的，中标无效。评审阶段资格发生变化，投标人未依法通知</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和</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的，处以采购金额5‰的罚款，列入不良行为记录名单，中标无效。</w:t>
      </w:r>
    </w:p>
    <w:p w14:paraId="2972410F">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投标人捏造事实、提供虚假材料或者以非法手段取得证明材料进行投诉的，由财政部门列入不良行为记录名单，禁止其1至3年内参加政府采购活动。</w:t>
      </w:r>
    </w:p>
    <w:p w14:paraId="32D51DA3">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2、投标人有下列情形之一的，属于恶意串通，对投标人依法追究法律责任：</w:t>
      </w:r>
    </w:p>
    <w:p w14:paraId="559C819A">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(一)投标人直接或者间接从</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或者</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处获得其他投标人的相关情况并修改其投标文件；</w:t>
      </w:r>
    </w:p>
    <w:p w14:paraId="2894011D">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 投标人按照</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或者</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的授意撤换、修改投标文件；</w:t>
      </w:r>
    </w:p>
    <w:p w14:paraId="5788C25C">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 投标人之间协商报价、技术方案等投标文件或者投标文件的实质性内容；</w:t>
      </w:r>
    </w:p>
    <w:p w14:paraId="5526C360">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(四)属于同一集团、协会、商会等组织成员的投标人按照该组织要求协同参加政府采购活动；</w:t>
      </w:r>
    </w:p>
    <w:p w14:paraId="7D357766">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 投标人之间事先约定由某一特定投标人中标；</w:t>
      </w:r>
    </w:p>
    <w:p w14:paraId="5483135C">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(六) 投标人之间商定部分投标人放弃参加政府采购活动或者放弃中标；</w:t>
      </w:r>
    </w:p>
    <w:p w14:paraId="3D7DF3DA">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(七) 投标人与</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或者</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之间、投标人相互之间，为谋求特定投标人中标或者排斥其他投标人的其他串通行为。</w:t>
      </w:r>
    </w:p>
    <w:p w14:paraId="721994A8">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3、有下列情形之一的，视为投标人相互串通投标:</w:t>
      </w:r>
    </w:p>
    <w:p w14:paraId="4E631B7D">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(一)不同投标人的投标文件由同一单位或者个人编制;</w:t>
      </w:r>
    </w:p>
    <w:p w14:paraId="3AA0A6CF">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(二)不同投标人委托同一单位或者个人办理投标事宜;</w:t>
      </w:r>
    </w:p>
    <w:p w14:paraId="77C0469B">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(三)不同投标人的投标文件载明的项目管理成员为同一人;</w:t>
      </w:r>
    </w:p>
    <w:p w14:paraId="63CD0F11">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(四)不同投标人的投标文件异常一致或者投标报价呈规律性差异;</w:t>
      </w:r>
    </w:p>
    <w:p w14:paraId="1A496EE0">
      <w:pPr>
        <w:keepNext w:val="0"/>
        <w:keepLines w:val="0"/>
        <w:pageBreakBefore w:val="0"/>
        <w:widowControl w:val="0"/>
        <w:tabs>
          <w:tab w:val="left" w:pos="180"/>
        </w:tabs>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(五)不同投标人的投标文件相互混装;</w:t>
      </w:r>
    </w:p>
    <w:p w14:paraId="7029995F">
      <w:pPr>
        <w:keepNext w:val="0"/>
        <w:keepLines w:val="0"/>
        <w:pageBreakBefore w:val="0"/>
        <w:widowControl w:val="0"/>
        <w:tabs>
          <w:tab w:val="left" w:pos="180"/>
        </w:tabs>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(六)重要说明：在清标中发现以下问题均视为涉嫌串通投标，作无效投标处理。</w:t>
      </w:r>
    </w:p>
    <w:p w14:paraId="0EE7BA5A">
      <w:pPr>
        <w:keepNext w:val="0"/>
        <w:keepLines w:val="0"/>
        <w:pageBreakBefore w:val="0"/>
        <w:widowControl w:val="0"/>
        <w:tabs>
          <w:tab w:val="left" w:pos="180"/>
        </w:tabs>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）投标文件制作机器码一致；</w:t>
      </w:r>
    </w:p>
    <w:p w14:paraId="0ABDA21E">
      <w:pPr>
        <w:keepNext w:val="0"/>
        <w:keepLines w:val="0"/>
        <w:pageBreakBefore w:val="0"/>
        <w:widowControl w:val="0"/>
        <w:tabs>
          <w:tab w:val="left" w:pos="180"/>
        </w:tabs>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）投标文件创建标识码一致；</w:t>
      </w:r>
    </w:p>
    <w:p w14:paraId="3ED35BCE">
      <w:pPr>
        <w:keepNext w:val="0"/>
        <w:keepLines w:val="0"/>
        <w:pageBreakBefore w:val="0"/>
        <w:widowControl w:val="0"/>
        <w:tabs>
          <w:tab w:val="left" w:pos="180"/>
        </w:tabs>
        <w:kinsoku/>
        <w:wordWrap/>
        <w:overflowPunct/>
        <w:topLinePunct w:val="0"/>
        <w:autoSpaceDE/>
        <w:autoSpaceDN/>
        <w:bidi w:val="0"/>
        <w:adjustRightInd/>
        <w:snapToGrid/>
        <w:spacing w:line="360" w:lineRule="auto"/>
        <w:ind w:firstLine="480" w:firstLineChars="200"/>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）使用的造价锁号一致。</w:t>
      </w:r>
    </w:p>
    <w:p w14:paraId="3B2E049C">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4、有下列情形之一的，属于</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与投标人串通投标:</w:t>
      </w:r>
    </w:p>
    <w:p w14:paraId="7C6BE6AD">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在开标前开启投标文件并将有关信息泄露给其他投标人;</w:t>
      </w:r>
    </w:p>
    <w:p w14:paraId="41BCCC85">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直接或者间接向投标人泄露标底、评标委员会成员等信息;</w:t>
      </w:r>
    </w:p>
    <w:p w14:paraId="4E345949">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明示或者暗示投标人压低或者抬高投标报价;</w:t>
      </w:r>
    </w:p>
    <w:p w14:paraId="7F6F0087">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授意投标人撤换、修改投标文件;</w:t>
      </w:r>
    </w:p>
    <w:p w14:paraId="546C013F">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明示或者暗示投标人为特定投标人中标提供方便;</w:t>
      </w:r>
    </w:p>
    <w:p w14:paraId="11024698">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(六)</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与投标人为谋求特定投标人中标而采取的其他串通行为。</w:t>
      </w:r>
    </w:p>
    <w:p w14:paraId="30B51EDC">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5、使用通过受让或者租借等方式获取的资格、资质证书投标的，属于以他人名义投标。</w:t>
      </w:r>
    </w:p>
    <w:p w14:paraId="6BE7E74A">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6、投标人有下列情形之一的，属于以其他方式弄虚作假的行为:</w:t>
      </w:r>
    </w:p>
    <w:p w14:paraId="2CAC39BA">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(一)使用伪造、变造的许可证件;</w:t>
      </w:r>
    </w:p>
    <w:p w14:paraId="16C851A2">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(二)提供虚假的财务状况或者业绩;</w:t>
      </w:r>
    </w:p>
    <w:p w14:paraId="3EBF9126">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(三)提供虚假的项目负责人或者主要技术人员简历、劳动关系证明;</w:t>
      </w:r>
    </w:p>
    <w:p w14:paraId="126C856C">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(四)提供虚假的信用状况;</w:t>
      </w:r>
    </w:p>
    <w:p w14:paraId="74CC9925">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(五)其他弄虚作假的行为。</w:t>
      </w:r>
    </w:p>
    <w:p w14:paraId="2536A32E">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7、按废标处理：</w:t>
      </w:r>
    </w:p>
    <w:p w14:paraId="3A163C1C">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出现下列情形之一的，应予废标：</w:t>
      </w:r>
    </w:p>
    <w:p w14:paraId="03C3EF5C">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（1）符合专业条件的投标人或者对招标文件作实质响应的投标人不足三家的；</w:t>
      </w:r>
    </w:p>
    <w:p w14:paraId="74EFFB55">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（2）出现影响采购公正的违法、违规行为的；</w:t>
      </w:r>
    </w:p>
    <w:p w14:paraId="087F394C">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（3）投标人的报价均超过了采购预算，</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不能支付的；</w:t>
      </w:r>
    </w:p>
    <w:p w14:paraId="5947BF86">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（4）因重大变故，采购任务取消的。</w:t>
      </w:r>
    </w:p>
    <w:p w14:paraId="1B6B7AB8">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8、特殊情况下的评标方法</w:t>
      </w:r>
    </w:p>
    <w:p w14:paraId="55720528">
      <w:pPr>
        <w:tabs>
          <w:tab w:val="left" w:pos="180"/>
        </w:tabs>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如出现投标人达不到法定要求的数量、串通投标、投标人互相诋毁及投标人所投报主要设备为相同品牌、型号产品并经评标委员会认定明显缺乏竞争，导致评标委员会无法评标或投标人报价均超出项目预算时，评标委员会有权停止评标，</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经政府采购监督管理部门同意后，可以改用其它方式进行本项目。</w:t>
      </w:r>
    </w:p>
    <w:p w14:paraId="4EDFB350">
      <w:pPr>
        <w:pStyle w:val="97"/>
        <w:spacing w:line="360" w:lineRule="auto"/>
        <w:ind w:left="0" w:leftChars="0" w:firstLine="240" w:firstLineChars="100"/>
        <w:rPr>
          <w:rFonts w:hint="eastAsia" w:asciiTheme="minorEastAsia" w:hAnsiTheme="minorEastAsia" w:eastAsiaTheme="minorEastAsia" w:cstheme="minorEastAsia"/>
          <w:b w:val="0"/>
          <w:bCs/>
          <w:color w:val="auto"/>
          <w:spacing w:val="-1"/>
          <w:sz w:val="24"/>
          <w:szCs w:val="24"/>
          <w:highlight w:val="none"/>
          <w:lang w:val="en-US" w:eastAsia="zh-CN" w:bidi="ar-SA"/>
        </w:rPr>
      </w:pPr>
      <w:r>
        <w:rPr>
          <w:rFonts w:hint="eastAsia" w:ascii="宋体" w:hAnsi="宋体" w:cs="宋体"/>
          <w:b w:val="0"/>
          <w:bCs/>
          <w:color w:val="000000" w:themeColor="text1"/>
          <w:sz w:val="24"/>
          <w:szCs w:val="24"/>
          <w:highlight w:val="none"/>
          <w:lang w:val="en-US" w:eastAsia="zh-CN"/>
          <w14:textFill>
            <w14:solidFill>
              <w14:schemeClr w14:val="tx1"/>
            </w14:solidFill>
          </w14:textFill>
        </w:rPr>
        <w:t>9、</w:t>
      </w:r>
      <w:r>
        <w:rPr>
          <w:rFonts w:hint="eastAsia" w:asciiTheme="minorEastAsia" w:hAnsiTheme="minorEastAsia" w:eastAsiaTheme="minorEastAsia" w:cstheme="minorEastAsia"/>
          <w:b w:val="0"/>
          <w:bCs/>
          <w:color w:val="auto"/>
          <w:spacing w:val="-1"/>
          <w:sz w:val="24"/>
          <w:szCs w:val="24"/>
          <w:highlight w:val="none"/>
          <w:lang w:val="en-US" w:eastAsia="zh-CN" w:bidi="ar-SA"/>
        </w:rPr>
        <w:t>法定代表人（负责人）为同一人的两个及两个以上的法人，母公司、全资子公司及其控股公司，不得同时参加报价。投标文件中必须附国家企业信用信息公示系统（网址http://www.gsxt.gov.cn/）公示的企业股东及出资信息（显示股东认缴出资额）、主要人</w:t>
      </w:r>
    </w:p>
    <w:p w14:paraId="701989AA">
      <w:pPr>
        <w:pStyle w:val="97"/>
        <w:spacing w:line="360" w:lineRule="auto"/>
        <w:ind w:left="0" w:leftChars="0" w:firstLine="0" w:firstLineChars="0"/>
        <w:rPr>
          <w:rFonts w:hint="eastAsia" w:asciiTheme="minorEastAsia" w:hAnsiTheme="minorEastAsia" w:eastAsiaTheme="minorEastAsia" w:cstheme="minorEastAsia"/>
          <w:b w:val="0"/>
          <w:bCs/>
          <w:color w:val="auto"/>
          <w:spacing w:val="-1"/>
          <w:sz w:val="24"/>
          <w:szCs w:val="24"/>
          <w:highlight w:val="none"/>
          <w:lang w:val="en-US" w:eastAsia="zh-CN" w:bidi="ar-SA"/>
        </w:rPr>
      </w:pPr>
      <w:r>
        <w:rPr>
          <w:rFonts w:hint="eastAsia" w:asciiTheme="minorEastAsia" w:hAnsiTheme="minorEastAsia" w:eastAsiaTheme="minorEastAsia" w:cstheme="minorEastAsia"/>
          <w:b w:val="0"/>
          <w:bCs/>
          <w:color w:val="auto"/>
          <w:spacing w:val="-1"/>
          <w:sz w:val="24"/>
          <w:szCs w:val="24"/>
          <w:highlight w:val="none"/>
          <w:lang w:val="en-US" w:eastAsia="zh-CN" w:bidi="ar-SA"/>
        </w:rPr>
        <w:t>员信息网页截图（以上两项也可以是企业信用信息公示报告相关内容截图，放入其他材料</w:t>
      </w:r>
    </w:p>
    <w:p w14:paraId="07083E91">
      <w:pPr>
        <w:pStyle w:val="97"/>
        <w:spacing w:line="360" w:lineRule="auto"/>
        <w:ind w:left="0" w:leftChars="0" w:firstLine="0" w:firstLineChars="0"/>
        <w:rPr>
          <w:rFonts w:hint="eastAsia" w:asciiTheme="minorEastAsia" w:hAnsiTheme="minorEastAsia" w:eastAsiaTheme="minorEastAsia" w:cstheme="minorEastAsia"/>
          <w:b w:val="0"/>
          <w:bCs/>
          <w:color w:val="auto"/>
          <w:spacing w:val="-1"/>
          <w:sz w:val="24"/>
          <w:szCs w:val="24"/>
          <w:highlight w:val="none"/>
          <w:lang w:val="en-US" w:eastAsia="zh-CN" w:bidi="ar-SA"/>
        </w:rPr>
      </w:pPr>
      <w:r>
        <w:rPr>
          <w:rFonts w:hint="eastAsia" w:asciiTheme="minorEastAsia" w:hAnsiTheme="minorEastAsia" w:eastAsiaTheme="minorEastAsia" w:cstheme="minorEastAsia"/>
          <w:b w:val="0"/>
          <w:bCs/>
          <w:color w:val="auto"/>
          <w:spacing w:val="-1"/>
          <w:sz w:val="24"/>
          <w:szCs w:val="24"/>
          <w:highlight w:val="none"/>
          <w:lang w:val="en-US" w:eastAsia="zh-CN" w:bidi="ar-SA"/>
        </w:rPr>
        <w:t>模块。</w:t>
      </w:r>
    </w:p>
    <w:p w14:paraId="74E1433A">
      <w:pPr>
        <w:pStyle w:val="97"/>
        <w:spacing w:line="360" w:lineRule="auto"/>
        <w:ind w:left="0" w:leftChars="0" w:firstLine="0" w:firstLineChars="0"/>
        <w:rPr>
          <w:rFonts w:hint="eastAsia" w:ascii="宋体" w:hAnsi="宋体" w:eastAsia="宋体" w:cs="宋体"/>
          <w:b/>
          <w:color w:val="auto"/>
          <w:sz w:val="24"/>
          <w:szCs w:val="24"/>
          <w:highlight w:val="none"/>
          <w:lang w:val="en-US" w:eastAsia="zh-CN"/>
        </w:rPr>
      </w:pPr>
      <w:r>
        <w:rPr>
          <w:rFonts w:hint="eastAsia" w:asciiTheme="minorEastAsia" w:hAnsiTheme="minorEastAsia" w:eastAsiaTheme="minorEastAsia" w:cstheme="minorEastAsia"/>
          <w:b w:val="0"/>
          <w:bCs/>
          <w:color w:val="auto"/>
          <w:spacing w:val="-1"/>
          <w:sz w:val="24"/>
          <w:szCs w:val="24"/>
          <w:highlight w:val="none"/>
          <w:lang w:val="en-US" w:eastAsia="zh-CN" w:bidi="ar-SA"/>
        </w:rPr>
        <w:t>如供应商存在以上任一种情况，将视为初步评审不合格，不再进入下一步的评审。</w:t>
      </w:r>
    </w:p>
    <w:p w14:paraId="6E5DC645">
      <w:p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五、评标纪律</w:t>
      </w:r>
    </w:p>
    <w:p w14:paraId="65AC8370">
      <w:pPr>
        <w:adjustRightInd w:val="0"/>
        <w:snapToGrid w:val="0"/>
        <w:spacing w:line="360" w:lineRule="auto"/>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1、评标是招标工作的重要环节，评标工作在评标委员会内独立进行。评标委员会将按照评标原则的要求，公正、平等地对待所有投标人。</w:t>
      </w:r>
    </w:p>
    <w:p w14:paraId="7E0D386F">
      <w:pPr>
        <w:adjustRightInd w:val="0"/>
        <w:snapToGrid w:val="0"/>
        <w:spacing w:line="360" w:lineRule="auto"/>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2、所有评标人员应忠于职守、廉洁自律、秉公办事、不徇私情。</w:t>
      </w:r>
    </w:p>
    <w:p w14:paraId="619A0246">
      <w:pPr>
        <w:adjustRightInd w:val="0"/>
        <w:snapToGrid w:val="0"/>
        <w:spacing w:line="360" w:lineRule="auto"/>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3、评标人员不得接受或参加投标人或与投标有关的单位、组织或个人的有碍公务的宴请、娱乐等，不得以任何形式弄虚作假。</w:t>
      </w:r>
    </w:p>
    <w:p w14:paraId="30C0AD71">
      <w:pPr>
        <w:adjustRightInd w:val="0"/>
        <w:snapToGrid w:val="0"/>
        <w:spacing w:line="360" w:lineRule="auto"/>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4、评标期间，评标人员不得随意出入评标地点、与外界通讯、会客等。</w:t>
      </w:r>
    </w:p>
    <w:p w14:paraId="6DAE7D94">
      <w:pPr>
        <w:adjustRightInd w:val="0"/>
        <w:snapToGrid w:val="0"/>
        <w:spacing w:line="360" w:lineRule="auto"/>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5、在投标文件的审查、澄清、评价和比较以及授予合同的过程中，投标人对</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、用户及评标委员会其他成员施加影响的任何行为，都将导致被取消投标资格。</w:t>
      </w:r>
    </w:p>
    <w:p w14:paraId="2CA15F14">
      <w:pPr>
        <w:adjustRightInd w:val="0"/>
        <w:snapToGrid w:val="0"/>
        <w:spacing w:line="360" w:lineRule="auto"/>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6、为保证定标的公正性，在评标过程中，评委不得与任何投标人或与招标结果有利害关系的人员进行私下接触。在评标工作结束后，凡与评标情况有接触的任何人，不得将评标情况扩散出评标委员会以外。</w:t>
      </w:r>
    </w:p>
    <w:p w14:paraId="1BCBF055">
      <w:pPr>
        <w:adjustRightInd w:val="0"/>
        <w:snapToGrid w:val="0"/>
        <w:spacing w:line="360" w:lineRule="auto"/>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7、评标过程中，当发表结论性意见时，先听取专家评委意见，用户评委随后发表意见。</w:t>
      </w:r>
    </w:p>
    <w:p w14:paraId="39A1362E">
      <w:pPr>
        <w:adjustRightInd w:val="0"/>
        <w:snapToGrid w:val="0"/>
        <w:spacing w:line="440" w:lineRule="exact"/>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8、评标结束后，各评标人员应将全部资料整理交至</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，严禁将评标过程中的任何资料带出评标现场向投标人或其他单位提供。</w:t>
      </w:r>
    </w:p>
    <w:p w14:paraId="744BDDB1">
      <w:pPr>
        <w:adjustRightInd w:val="0"/>
        <w:snapToGrid w:val="0"/>
        <w:spacing w:line="440" w:lineRule="exact"/>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与委托方应对评标委员会成员名单、拟邀请的潜在投标人名单、已购买招标文件的潜在投标人名单、评标过程予以保密。</w:t>
      </w:r>
    </w:p>
    <w:p w14:paraId="4EDFE5D9">
      <w:pPr>
        <w:adjustRightInd w:val="0"/>
        <w:snapToGrid w:val="0"/>
        <w:spacing w:line="440" w:lineRule="exact"/>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10、评标委员会成员以及与评审有关的人员应当对评审情况和评审过程中获悉的国家秘密、商业秘密予以保密。</w:t>
      </w:r>
    </w:p>
    <w:p w14:paraId="6994FB5D">
      <w:pPr>
        <w:adjustRightInd w:val="0"/>
        <w:snapToGrid w:val="0"/>
        <w:spacing w:line="440" w:lineRule="exact"/>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11、评标委员会成员应当客观、公正地履行职责，遵守职业道德，对所提出的评审意见承担个人责任。</w:t>
      </w:r>
    </w:p>
    <w:p w14:paraId="36846178">
      <w:pPr>
        <w:adjustRightInd w:val="0"/>
        <w:snapToGrid w:val="0"/>
        <w:spacing w:line="440" w:lineRule="exact"/>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12、评标工作开始前，由工作人员负责收缴并保管评委、工作人员的通讯工具。</w:t>
      </w:r>
    </w:p>
    <w:p w14:paraId="1A7739D5">
      <w:pPr>
        <w:adjustRightInd w:val="0"/>
        <w:snapToGrid w:val="0"/>
        <w:spacing w:line="440" w:lineRule="exact"/>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13、在政府采购活动中，</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员及相关人员与投标人有下列利害关系之一的，应当回避：</w:t>
      </w:r>
    </w:p>
    <w:p w14:paraId="0FA66C24">
      <w:pPr>
        <w:adjustRightInd w:val="0"/>
        <w:snapToGrid w:val="0"/>
        <w:spacing w:line="440" w:lineRule="exact"/>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（一）参加采购活动前3年内与投标人存在劳动关系；</w:t>
      </w:r>
    </w:p>
    <w:p w14:paraId="58466112">
      <w:pPr>
        <w:adjustRightInd w:val="0"/>
        <w:snapToGrid w:val="0"/>
        <w:spacing w:line="440" w:lineRule="exact"/>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（二）参加采购活动前3年内担任投标人的董事、监事；</w:t>
      </w:r>
    </w:p>
    <w:p w14:paraId="1EFE1768">
      <w:pPr>
        <w:adjustRightInd w:val="0"/>
        <w:snapToGrid w:val="0"/>
        <w:spacing w:line="440" w:lineRule="exact"/>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（三）参加采购活动前3年内是投标人的控股股东或者实际控制人；</w:t>
      </w:r>
    </w:p>
    <w:p w14:paraId="380EBDFE">
      <w:pPr>
        <w:adjustRightInd w:val="0"/>
        <w:snapToGrid w:val="0"/>
        <w:spacing w:line="440" w:lineRule="exact"/>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（四）与投标人的法定代表人或者负责人有夫妻、直系血亲、三代以内旁系血亲或者近姻亲关系；</w:t>
      </w:r>
    </w:p>
    <w:p w14:paraId="77BEF266">
      <w:pPr>
        <w:adjustRightInd w:val="0"/>
        <w:snapToGrid w:val="0"/>
        <w:spacing w:line="440" w:lineRule="exact"/>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（五）与投标人有其他可能影响政府采购活动公平、公正进行的关系。</w:t>
      </w:r>
    </w:p>
    <w:p w14:paraId="06E2AE0B">
      <w:pPr>
        <w:adjustRightInd w:val="0"/>
        <w:snapToGrid w:val="0"/>
        <w:spacing w:line="440" w:lineRule="exact"/>
        <w:ind w:firstLine="420"/>
        <w:textAlignment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投标人认为</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员及相关人员与其他投标人有利害关系的，可以向</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或者</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书面提出回避申请，并说明理由。</w:t>
      </w:r>
      <w:r>
        <w:rPr>
          <w:rFonts w:hint="eastAsia" w:ascii="宋体" w:hAnsi="宋体" w:cs="宋体"/>
          <w:color w:val="000000" w:themeColor="text1"/>
          <w:sz w:val="24"/>
          <w:szCs w:val="24"/>
          <w:highlight w:val="none"/>
          <w:lang w:eastAsia="zh-CN"/>
          <w14:textFill>
            <w14:solidFill>
              <w14:schemeClr w14:val="tx1"/>
            </w14:solidFill>
          </w14:textFill>
        </w:rPr>
        <w:t>招标人</w:t>
      </w:r>
      <w:r>
        <w:rPr>
          <w:rFonts w:hint="eastAsia" w:ascii="宋体" w:hAnsi="宋体" w:cs="宋体"/>
          <w:color w:val="000000" w:themeColor="text1"/>
          <w:sz w:val="24"/>
          <w:szCs w:val="24"/>
          <w:highlight w:val="none"/>
          <w14:textFill>
            <w14:solidFill>
              <w14:schemeClr w14:val="tx1"/>
            </w14:solidFill>
          </w14:textFill>
        </w:rPr>
        <w:t>或者</w:t>
      </w:r>
      <w:r>
        <w:rPr>
          <w:rFonts w:hint="eastAsia" w:ascii="宋体" w:hAnsi="宋体" w:cs="宋体"/>
          <w:color w:val="000000" w:themeColor="text1"/>
          <w:sz w:val="24"/>
          <w:szCs w:val="24"/>
          <w:highlight w:val="none"/>
          <w:lang w:eastAsia="zh-CN"/>
          <w14:textFill>
            <w14:solidFill>
              <w14:schemeClr w14:val="tx1"/>
            </w14:solidFill>
          </w14:textFill>
        </w:rPr>
        <w:t>招标代理机构</w:t>
      </w:r>
      <w:r>
        <w:rPr>
          <w:rFonts w:hint="eastAsia" w:ascii="宋体" w:hAnsi="宋体" w:cs="宋体"/>
          <w:color w:val="000000" w:themeColor="text1"/>
          <w:sz w:val="24"/>
          <w:szCs w:val="24"/>
          <w:highlight w:val="none"/>
          <w14:textFill>
            <w14:solidFill>
              <w14:schemeClr w14:val="tx1"/>
            </w14:solidFill>
          </w14:textFill>
        </w:rPr>
        <w:t>应当及时询问被申请回避人员，有利害关系的被申请回避人员应当回避。</w:t>
      </w:r>
    </w:p>
    <w:p w14:paraId="1C7C7883">
      <w:pPr>
        <w:pStyle w:val="41"/>
        <w:numPr>
          <w:ilvl w:val="0"/>
          <w:numId w:val="4"/>
        </w:numPr>
        <w:spacing w:line="360" w:lineRule="auto"/>
        <w:textAlignment w:val="center"/>
        <w:rPr>
          <w:rFonts w:hint="eastAsia" w:hAnsi="宋体" w:cs="宋体"/>
          <w:b/>
          <w:color w:val="000000" w:themeColor="text1"/>
          <w:szCs w:val="24"/>
          <w:highlight w:val="none"/>
          <w14:textFill>
            <w14:solidFill>
              <w14:schemeClr w14:val="tx1"/>
            </w14:solidFill>
          </w14:textFill>
        </w:rPr>
      </w:pPr>
      <w:r>
        <w:rPr>
          <w:rFonts w:hint="eastAsia" w:hAnsi="宋体" w:cs="宋体"/>
          <w:b/>
          <w:color w:val="000000" w:themeColor="text1"/>
          <w:szCs w:val="24"/>
          <w:highlight w:val="none"/>
          <w14:textFill>
            <w14:solidFill>
              <w14:schemeClr w14:val="tx1"/>
            </w14:solidFill>
          </w14:textFill>
        </w:rPr>
        <w:t>中标通知书</w:t>
      </w:r>
    </w:p>
    <w:p w14:paraId="417A16EB">
      <w:pPr>
        <w:pStyle w:val="41"/>
        <w:numPr>
          <w:ilvl w:val="0"/>
          <w:numId w:val="0"/>
        </w:numPr>
        <w:spacing w:line="360" w:lineRule="auto"/>
        <w:ind w:firstLine="480" w:firstLineChars="200"/>
        <w:textAlignment w:val="center"/>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采购代理机构应当在评审结束后 2 个工作日内将评审报告送</w:t>
      </w:r>
      <w:r>
        <w:rPr>
          <w:rFonts w:hint="eastAsia" w:hAnsi="宋体" w:cs="宋体"/>
          <w:b w:val="0"/>
          <w:bCs/>
          <w:color w:val="000000" w:themeColor="text1"/>
          <w:sz w:val="24"/>
          <w:szCs w:val="24"/>
          <w:highlight w:val="none"/>
          <w:lang w:eastAsia="zh-CN"/>
          <w14:textFill>
            <w14:solidFill>
              <w14:schemeClr w14:val="tx1"/>
            </w14:solidFill>
          </w14:textFill>
        </w:rPr>
        <w:t>招标人</w:t>
      </w:r>
      <w:r>
        <w:rPr>
          <w:rFonts w:hint="eastAsia" w:ascii="宋体" w:hAnsi="宋体" w:cs="宋体"/>
          <w:b w:val="0"/>
          <w:bCs/>
          <w:color w:val="000000" w:themeColor="text1"/>
          <w:sz w:val="24"/>
          <w:szCs w:val="24"/>
          <w:highlight w:val="none"/>
          <w14:textFill>
            <w14:solidFill>
              <w14:schemeClr w14:val="tx1"/>
            </w14:solidFill>
          </w14:textFill>
        </w:rPr>
        <w:t>确认。</w:t>
      </w:r>
    </w:p>
    <w:p w14:paraId="226D0560">
      <w:pPr>
        <w:spacing w:line="360" w:lineRule="auto"/>
        <w:ind w:firstLine="480" w:firstLineChars="200"/>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招标人</w:t>
      </w:r>
      <w:r>
        <w:rPr>
          <w:rFonts w:hint="eastAsia" w:ascii="宋体" w:hAnsi="宋体" w:cs="宋体"/>
          <w:b w:val="0"/>
          <w:bCs/>
          <w:color w:val="000000" w:themeColor="text1"/>
          <w:sz w:val="24"/>
          <w:szCs w:val="24"/>
          <w:highlight w:val="none"/>
          <w14:textFill>
            <w14:solidFill>
              <w14:schemeClr w14:val="tx1"/>
            </w14:solidFill>
          </w14:textFill>
        </w:rPr>
        <w:t>应当在收到评审报告后 5 个工作日内，从评审报告提出的成交候选供应商中，按照排序由高到低的原则确定成交供应商，也可以书面授权</w:t>
      </w:r>
      <w:r>
        <w:rPr>
          <w:rFonts w:hint="eastAsia" w:ascii="宋体" w:hAnsi="宋体" w:cs="宋体"/>
          <w:b w:val="0"/>
          <w:bCs/>
          <w:color w:val="000000" w:themeColor="text1"/>
          <w:sz w:val="24"/>
          <w:szCs w:val="24"/>
          <w:highlight w:val="none"/>
          <w:lang w:eastAsia="zh-CN"/>
          <w14:textFill>
            <w14:solidFill>
              <w14:schemeClr w14:val="tx1"/>
            </w14:solidFill>
          </w14:textFill>
        </w:rPr>
        <w:t>评审委员会</w:t>
      </w:r>
      <w:r>
        <w:rPr>
          <w:rFonts w:hint="eastAsia" w:ascii="宋体" w:hAnsi="宋体" w:cs="宋体"/>
          <w:b w:val="0"/>
          <w:bCs/>
          <w:color w:val="000000" w:themeColor="text1"/>
          <w:sz w:val="24"/>
          <w:szCs w:val="24"/>
          <w:highlight w:val="none"/>
          <w14:textFill>
            <w14:solidFill>
              <w14:schemeClr w14:val="tx1"/>
            </w14:solidFill>
          </w14:textFill>
        </w:rPr>
        <w:t>直接确定成交供应商。</w:t>
      </w:r>
      <w:r>
        <w:rPr>
          <w:rFonts w:hint="eastAsia" w:ascii="宋体" w:hAnsi="宋体" w:cs="宋体"/>
          <w:b w:val="0"/>
          <w:bCs/>
          <w:color w:val="000000" w:themeColor="text1"/>
          <w:sz w:val="24"/>
          <w:szCs w:val="24"/>
          <w:highlight w:val="none"/>
          <w:lang w:eastAsia="zh-CN"/>
          <w14:textFill>
            <w14:solidFill>
              <w14:schemeClr w14:val="tx1"/>
            </w14:solidFill>
          </w14:textFill>
        </w:rPr>
        <w:t>招标人</w:t>
      </w:r>
      <w:r>
        <w:rPr>
          <w:rFonts w:hint="eastAsia" w:ascii="宋体" w:hAnsi="宋体" w:cs="宋体"/>
          <w:b w:val="0"/>
          <w:bCs/>
          <w:color w:val="000000" w:themeColor="text1"/>
          <w:sz w:val="24"/>
          <w:szCs w:val="24"/>
          <w:highlight w:val="none"/>
          <w14:textFill>
            <w14:solidFill>
              <w14:schemeClr w14:val="tx1"/>
            </w14:solidFill>
          </w14:textFill>
        </w:rPr>
        <w:t>逾期未确定成交供应商且不提出异议的，视为确定评审报告提出的排序第一的供应商为成交供应商。</w:t>
      </w:r>
    </w:p>
    <w:p w14:paraId="65CDCAF8">
      <w:pPr>
        <w:spacing w:line="360" w:lineRule="auto"/>
        <w:ind w:firstLine="480" w:firstLineChars="200"/>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招标人</w:t>
      </w:r>
      <w:r>
        <w:rPr>
          <w:rFonts w:hint="eastAsia" w:ascii="宋体" w:hAnsi="宋体" w:cs="宋体"/>
          <w:b w:val="0"/>
          <w:bCs/>
          <w:color w:val="000000" w:themeColor="text1"/>
          <w:sz w:val="24"/>
          <w:szCs w:val="24"/>
          <w:highlight w:val="none"/>
          <w14:textFill>
            <w14:solidFill>
              <w14:schemeClr w14:val="tx1"/>
            </w14:solidFill>
          </w14:textFill>
        </w:rPr>
        <w:t>或者采购代理机构应当在成交供应商确定之日起，立即在省级以上财政部门指定的政府采购信息发布媒体上公告成交结果，同时向成交供应商发出成交通知书。《成交通知书》将作为签订合同的依据，且是合同的一个组成部分。</w:t>
      </w:r>
    </w:p>
    <w:p w14:paraId="0DBD3CC8">
      <w:pP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七、 签订合同 </w:t>
      </w:r>
    </w:p>
    <w:p w14:paraId="74ECD619">
      <w:pPr>
        <w:pStyle w:val="41"/>
        <w:spacing w:line="360" w:lineRule="auto"/>
        <w:ind w:firstLine="420"/>
        <w:textAlignment w:val="center"/>
        <w:rPr>
          <w:rFonts w:hAnsi="宋体" w:cs="宋体"/>
          <w:b/>
          <w:color w:val="000000" w:themeColor="text1"/>
          <w:szCs w:val="24"/>
          <w:highlight w:val="none"/>
          <w14:textFill>
            <w14:solidFill>
              <w14:schemeClr w14:val="tx1"/>
            </w14:solidFill>
          </w14:textFill>
        </w:rPr>
      </w:pPr>
      <w:r>
        <w:rPr>
          <w:rFonts w:hint="eastAsia" w:hAnsi="宋体" w:cs="宋体"/>
          <w:b/>
          <w:color w:val="000000" w:themeColor="text1"/>
          <w:szCs w:val="24"/>
          <w:highlight w:val="none"/>
          <w14:textFill>
            <w14:solidFill>
              <w14:schemeClr w14:val="tx1"/>
            </w14:solidFill>
          </w14:textFill>
        </w:rPr>
        <w:t>1、中标人须按《中标通知书》指定的时间、地点按照招标文件和投标文件确定的事项由</w:t>
      </w:r>
      <w:r>
        <w:rPr>
          <w:rFonts w:hint="eastAsia" w:hAnsi="宋体" w:cs="宋体"/>
          <w:b/>
          <w:color w:val="000000" w:themeColor="text1"/>
          <w:szCs w:val="24"/>
          <w:highlight w:val="none"/>
          <w:lang w:eastAsia="zh-CN"/>
          <w14:textFill>
            <w14:solidFill>
              <w14:schemeClr w14:val="tx1"/>
            </w14:solidFill>
          </w14:textFill>
        </w:rPr>
        <w:t>招标代理机构</w:t>
      </w:r>
      <w:r>
        <w:rPr>
          <w:rFonts w:hint="eastAsia" w:hAnsi="宋体" w:cs="宋体"/>
          <w:b/>
          <w:color w:val="000000" w:themeColor="text1"/>
          <w:szCs w:val="24"/>
          <w:highlight w:val="none"/>
          <w14:textFill>
            <w14:solidFill>
              <w14:schemeClr w14:val="tx1"/>
            </w14:solidFill>
          </w14:textFill>
        </w:rPr>
        <w:t>协助与</w:t>
      </w:r>
      <w:r>
        <w:rPr>
          <w:rFonts w:hint="eastAsia" w:hAnsi="宋体" w:cs="宋体"/>
          <w:b/>
          <w:color w:val="000000" w:themeColor="text1"/>
          <w:szCs w:val="24"/>
          <w:highlight w:val="none"/>
          <w:lang w:eastAsia="zh-CN"/>
          <w14:textFill>
            <w14:solidFill>
              <w14:schemeClr w14:val="tx1"/>
            </w14:solidFill>
          </w14:textFill>
        </w:rPr>
        <w:t>招标人</w:t>
      </w:r>
      <w:r>
        <w:rPr>
          <w:rFonts w:hint="eastAsia" w:hAnsi="宋体" w:cs="宋体"/>
          <w:b/>
          <w:color w:val="000000" w:themeColor="text1"/>
          <w:szCs w:val="24"/>
          <w:highlight w:val="none"/>
          <w14:textFill>
            <w14:solidFill>
              <w14:schemeClr w14:val="tx1"/>
            </w14:solidFill>
          </w14:textFill>
        </w:rPr>
        <w:t>签订政府采购合同，签订政府采购合同的时间在《中标通知书》发出之日十个工作日内。</w:t>
      </w:r>
    </w:p>
    <w:p w14:paraId="37AE8051">
      <w:pPr>
        <w:pStyle w:val="41"/>
        <w:spacing w:line="360" w:lineRule="auto"/>
        <w:ind w:firstLine="420"/>
        <w:textAlignment w:val="center"/>
        <w:rPr>
          <w:rFonts w:hAnsi="宋体" w:cs="宋体"/>
          <w:color w:val="000000" w:themeColor="text1"/>
          <w:szCs w:val="24"/>
          <w:highlight w:val="none"/>
          <w14:textFill>
            <w14:solidFill>
              <w14:schemeClr w14:val="tx1"/>
            </w14:solidFill>
          </w14:textFill>
        </w:rPr>
      </w:pPr>
      <w:r>
        <w:rPr>
          <w:rFonts w:hint="eastAsia" w:hAnsi="宋体" w:cs="宋体"/>
          <w:color w:val="000000" w:themeColor="text1"/>
          <w:szCs w:val="24"/>
          <w:highlight w:val="none"/>
          <w14:textFill>
            <w14:solidFill>
              <w14:schemeClr w14:val="tx1"/>
            </w14:solidFill>
          </w14:textFill>
        </w:rPr>
        <w:t>2、招标文件及其补充文件、中标人的投标文件及其澄清文件等，均为合同附件。</w:t>
      </w:r>
    </w:p>
    <w:p w14:paraId="7EC65D86">
      <w:pPr>
        <w:pStyle w:val="41"/>
        <w:spacing w:line="360" w:lineRule="auto"/>
        <w:ind w:firstLine="420"/>
        <w:textAlignment w:val="center"/>
        <w:rPr>
          <w:rFonts w:hAnsi="宋体" w:cs="宋体"/>
          <w:color w:val="000000" w:themeColor="text1"/>
          <w:szCs w:val="24"/>
          <w:highlight w:val="none"/>
          <w14:textFill>
            <w14:solidFill>
              <w14:schemeClr w14:val="tx1"/>
            </w14:solidFill>
          </w14:textFill>
        </w:rPr>
      </w:pPr>
      <w:r>
        <w:rPr>
          <w:rFonts w:hint="eastAsia" w:hAnsi="宋体" w:cs="宋体"/>
          <w:color w:val="000000" w:themeColor="text1"/>
          <w:szCs w:val="24"/>
          <w:highlight w:val="none"/>
          <w14:textFill>
            <w14:solidFill>
              <w14:schemeClr w14:val="tx1"/>
            </w14:solidFill>
          </w14:textFill>
        </w:rPr>
        <w:t>3、如中标人拒签合同，则按违约处理。</w:t>
      </w:r>
      <w:r>
        <w:rPr>
          <w:rFonts w:hint="eastAsia" w:hAnsi="宋体" w:cs="宋体"/>
          <w:color w:val="000000" w:themeColor="text1"/>
          <w:szCs w:val="24"/>
          <w:highlight w:val="none"/>
          <w:lang w:eastAsia="zh-CN"/>
          <w14:textFill>
            <w14:solidFill>
              <w14:schemeClr w14:val="tx1"/>
            </w14:solidFill>
          </w14:textFill>
        </w:rPr>
        <w:t>招标人</w:t>
      </w:r>
      <w:r>
        <w:rPr>
          <w:rFonts w:hint="eastAsia" w:hAnsi="宋体" w:cs="宋体"/>
          <w:color w:val="000000" w:themeColor="text1"/>
          <w:szCs w:val="24"/>
          <w:highlight w:val="none"/>
          <w14:textFill>
            <w14:solidFill>
              <w14:schemeClr w14:val="tx1"/>
            </w14:solidFill>
          </w14:textFill>
        </w:rPr>
        <w:t>可依照《中华人民共和国政府采购法》、《中华人民共和国政府采购法实施条例》规定追究法律责任。</w:t>
      </w:r>
    </w:p>
    <w:p w14:paraId="4AF94200">
      <w:pPr>
        <w:pStyle w:val="41"/>
        <w:spacing w:line="360" w:lineRule="auto"/>
        <w:ind w:firstLine="420"/>
        <w:textAlignment w:val="center"/>
        <w:rPr>
          <w:rFonts w:hAnsi="宋体" w:cs="宋体"/>
          <w:color w:val="000000" w:themeColor="text1"/>
          <w:szCs w:val="24"/>
          <w:highlight w:val="none"/>
          <w14:textFill>
            <w14:solidFill>
              <w14:schemeClr w14:val="tx1"/>
            </w14:solidFill>
          </w14:textFill>
        </w:rPr>
      </w:pPr>
      <w:r>
        <w:rPr>
          <w:rFonts w:hint="eastAsia" w:hAnsi="宋体" w:cs="宋体"/>
          <w:color w:val="000000" w:themeColor="text1"/>
          <w:szCs w:val="24"/>
          <w:highlight w:val="none"/>
          <w14:textFill>
            <w14:solidFill>
              <w14:schemeClr w14:val="tx1"/>
            </w14:solidFill>
          </w14:textFill>
        </w:rPr>
        <w:t>4、政府</w:t>
      </w:r>
      <w:r>
        <w:rPr>
          <w:rFonts w:hint="eastAsia" w:hAnsi="宋体" w:cs="宋体"/>
          <w:color w:val="000000" w:themeColor="text1"/>
          <w:szCs w:val="24"/>
          <w:highlight w:val="none"/>
          <w:lang w:eastAsia="zh-CN"/>
          <w14:textFill>
            <w14:solidFill>
              <w14:schemeClr w14:val="tx1"/>
            </w14:solidFill>
          </w14:textFill>
        </w:rPr>
        <w:t>招标代理机构</w:t>
      </w:r>
      <w:r>
        <w:rPr>
          <w:rFonts w:hint="eastAsia" w:hAnsi="宋体" w:cs="宋体"/>
          <w:color w:val="000000" w:themeColor="text1"/>
          <w:szCs w:val="24"/>
          <w:highlight w:val="none"/>
          <w14:textFill>
            <w14:solidFill>
              <w14:schemeClr w14:val="tx1"/>
            </w14:solidFill>
          </w14:textFill>
        </w:rPr>
        <w:t>应当督促</w:t>
      </w:r>
      <w:r>
        <w:rPr>
          <w:rFonts w:hint="eastAsia" w:hAnsi="宋体" w:cs="宋体"/>
          <w:color w:val="000000" w:themeColor="text1"/>
          <w:szCs w:val="24"/>
          <w:highlight w:val="none"/>
          <w:lang w:eastAsia="zh-CN"/>
          <w14:textFill>
            <w14:solidFill>
              <w14:schemeClr w14:val="tx1"/>
            </w14:solidFill>
          </w14:textFill>
        </w:rPr>
        <w:t>招标人</w:t>
      </w:r>
      <w:r>
        <w:rPr>
          <w:rFonts w:hint="eastAsia" w:hAnsi="宋体" w:cs="宋体"/>
          <w:color w:val="000000" w:themeColor="text1"/>
          <w:szCs w:val="24"/>
          <w:highlight w:val="none"/>
          <w14:textFill>
            <w14:solidFill>
              <w14:schemeClr w14:val="tx1"/>
            </w14:solidFill>
          </w14:textFill>
        </w:rPr>
        <w:t>和中标人及时签订合同，发生拖延或者拒绝签订合同、中止或者终止合同以及其他合同签订、履行异常情况时，应当了解情况，积极主动协调，协调无效时，应及时报同级财政部门，财政部门依法对责任方作出处理或处罚。</w:t>
      </w:r>
    </w:p>
    <w:p w14:paraId="513FAC97">
      <w:pPr>
        <w:pStyle w:val="41"/>
        <w:spacing w:line="360" w:lineRule="auto"/>
        <w:ind w:firstLine="420"/>
        <w:textAlignment w:val="center"/>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5、中标人因不可抗力或者自身原因不能履行政府采购合同的，</w:t>
      </w:r>
      <w:r>
        <w:rPr>
          <w:rFonts w:hint="eastAsia" w:hAnsi="宋体" w:cs="宋体"/>
          <w:b w:val="0"/>
          <w:bCs/>
          <w:color w:val="000000" w:themeColor="text1"/>
          <w:szCs w:val="24"/>
          <w:highlight w:val="none"/>
          <w:lang w:eastAsia="zh-CN"/>
          <w14:textFill>
            <w14:solidFill>
              <w14:schemeClr w14:val="tx1"/>
            </w14:solidFill>
          </w14:textFill>
        </w:rPr>
        <w:t>招标人</w:t>
      </w:r>
      <w:r>
        <w:rPr>
          <w:rFonts w:hint="eastAsia" w:hAnsi="宋体" w:cs="宋体"/>
          <w:b w:val="0"/>
          <w:bCs/>
          <w:color w:val="000000" w:themeColor="text1"/>
          <w:szCs w:val="24"/>
          <w:highlight w:val="none"/>
          <w14:textFill>
            <w14:solidFill>
              <w14:schemeClr w14:val="tx1"/>
            </w14:solidFill>
          </w14:textFill>
        </w:rPr>
        <w:t>可以与排位在中标人之后第一位的中标候选人签订政府采购合同，以此类推。</w:t>
      </w:r>
    </w:p>
    <w:bookmarkEnd w:id="37"/>
    <w:p w14:paraId="7D5C3776">
      <w:pPr>
        <w:spacing w:line="600" w:lineRule="exact"/>
        <w:jc w:val="both"/>
        <w:outlineLvl w:val="9"/>
        <w:rPr>
          <w:b/>
          <w:color w:val="000000" w:themeColor="text1"/>
          <w:sz w:val="36"/>
          <w:szCs w:val="36"/>
          <w:highlight w:val="none"/>
          <w14:textFill>
            <w14:solidFill>
              <w14:schemeClr w14:val="tx1"/>
            </w14:solidFill>
          </w14:textFill>
        </w:rPr>
      </w:pPr>
      <w:bookmarkStart w:id="41" w:name="_Toc18496"/>
      <w:bookmarkStart w:id="42" w:name="_Toc171496380"/>
      <w:bookmarkStart w:id="43" w:name="_Toc353257303"/>
    </w:p>
    <w:p w14:paraId="7CB668C1">
      <w:pPr>
        <w:spacing w:line="600" w:lineRule="exact"/>
        <w:jc w:val="center"/>
        <w:outlineLvl w:val="9"/>
        <w:rPr>
          <w:b/>
          <w:color w:val="000000" w:themeColor="text1"/>
          <w:sz w:val="36"/>
          <w:szCs w:val="36"/>
          <w:highlight w:val="none"/>
          <w14:textFill>
            <w14:solidFill>
              <w14:schemeClr w14:val="tx1"/>
            </w14:solidFill>
          </w14:textFill>
        </w:rPr>
      </w:pPr>
      <w:bookmarkStart w:id="44" w:name="_Toc22919"/>
    </w:p>
    <w:p w14:paraId="4BB6F9D5">
      <w:pPr>
        <w:spacing w:line="600" w:lineRule="exact"/>
        <w:jc w:val="both"/>
        <w:outlineLvl w:val="9"/>
        <w:rPr>
          <w:b/>
          <w:color w:val="000000" w:themeColor="text1"/>
          <w:sz w:val="36"/>
          <w:szCs w:val="36"/>
          <w:highlight w:val="none"/>
          <w14:textFill>
            <w14:solidFill>
              <w14:schemeClr w14:val="tx1"/>
            </w14:solidFill>
          </w14:textFill>
        </w:rPr>
      </w:pPr>
    </w:p>
    <w:p w14:paraId="59F5D7EE">
      <w:pPr>
        <w:outlineLvl w:val="9"/>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br w:type="page"/>
      </w:r>
    </w:p>
    <w:p w14:paraId="5554DF7F">
      <w:pPr>
        <w:jc w:val="center"/>
        <w:outlineLvl w:val="0"/>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第五部分  合同格式</w:t>
      </w:r>
      <w:bookmarkEnd w:id="41"/>
      <w:bookmarkEnd w:id="44"/>
    </w:p>
    <w:p w14:paraId="06234BF6">
      <w:pPr>
        <w:spacing w:line="360" w:lineRule="auto"/>
        <w:ind w:left="105" w:leftChars="50" w:firstLine="181" w:firstLineChars="50"/>
        <w:rPr>
          <w:b/>
          <w:color w:val="000000" w:themeColor="text1"/>
          <w:sz w:val="36"/>
          <w:highlight w:val="none"/>
          <w14:textFill>
            <w14:solidFill>
              <w14:schemeClr w14:val="tx1"/>
            </w14:solidFill>
          </w14:textFill>
        </w:rPr>
      </w:pPr>
    </w:p>
    <w:p w14:paraId="557BE7B7">
      <w:pPr>
        <w:spacing w:line="660" w:lineRule="exact"/>
        <w:jc w:val="center"/>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t>政府采购合同书</w:t>
      </w:r>
    </w:p>
    <w:p w14:paraId="61E5985B">
      <w:pPr>
        <w:spacing w:line="500" w:lineRule="exact"/>
        <w:jc w:val="center"/>
        <w:rPr>
          <w:rFonts w:hint="eastAsia" w:eastAsia="宋体"/>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（此合同范本仅供参考）</w:t>
      </w:r>
    </w:p>
    <w:p w14:paraId="5DFFBEB5">
      <w:pPr>
        <w:spacing w:line="500" w:lineRule="exact"/>
        <w:jc w:val="center"/>
        <w:rPr>
          <w:color w:val="000000" w:themeColor="text1"/>
          <w:sz w:val="28"/>
          <w:szCs w:val="28"/>
          <w:highlight w:val="none"/>
          <w14:textFill>
            <w14:solidFill>
              <w14:schemeClr w14:val="tx1"/>
            </w14:solidFill>
          </w14:textFill>
        </w:rPr>
      </w:pPr>
    </w:p>
    <w:p w14:paraId="645FBB50">
      <w:pPr>
        <w:spacing w:line="500" w:lineRule="exact"/>
        <w:jc w:val="center"/>
        <w:rPr>
          <w:b/>
          <w:color w:val="000000" w:themeColor="text1"/>
          <w:sz w:val="48"/>
          <w:highlight w:val="none"/>
          <w14:textFill>
            <w14:solidFill>
              <w14:schemeClr w14:val="tx1"/>
            </w14:solidFill>
          </w14:textFill>
        </w:rPr>
      </w:pPr>
    </w:p>
    <w:p w14:paraId="377137FA">
      <w:pPr>
        <w:spacing w:line="500" w:lineRule="exact"/>
        <w:jc w:val="center"/>
        <w:rPr>
          <w:b/>
          <w:color w:val="000000" w:themeColor="text1"/>
          <w:sz w:val="48"/>
          <w:highlight w:val="none"/>
          <w14:textFill>
            <w14:solidFill>
              <w14:schemeClr w14:val="tx1"/>
            </w14:solidFill>
          </w14:textFill>
        </w:rPr>
      </w:pPr>
    </w:p>
    <w:p w14:paraId="0E8F8436">
      <w:pPr>
        <w:spacing w:line="360" w:lineRule="auto"/>
        <w:ind w:leftChars="1100"/>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项目名称：</w:t>
      </w:r>
    </w:p>
    <w:p w14:paraId="45AFE004">
      <w:pPr>
        <w:pStyle w:val="75"/>
        <w:spacing w:line="360" w:lineRule="auto"/>
        <w:ind w:left="2310" w:leftChars="1100" w:firstLine="0" w:firstLineChars="0"/>
        <w:rPr>
          <w:highlight w:val="none"/>
        </w:rPr>
      </w:pPr>
      <w:r>
        <w:rPr>
          <w:b/>
          <w:color w:val="000000" w:themeColor="text1"/>
          <w:sz w:val="28"/>
          <w:szCs w:val="28"/>
          <w:highlight w:val="none"/>
          <w14:textFill>
            <w14:solidFill>
              <w14:schemeClr w14:val="tx1"/>
            </w14:solidFill>
          </w14:textFill>
        </w:rPr>
        <w:t>项目编号：</w:t>
      </w:r>
    </w:p>
    <w:p w14:paraId="4A3014B7">
      <w:pPr>
        <w:spacing w:line="500" w:lineRule="exact"/>
        <w:ind w:left="2518" w:leftChars="1199"/>
        <w:rPr>
          <w:b/>
          <w:color w:val="000000" w:themeColor="text1"/>
          <w:sz w:val="24"/>
          <w:highlight w:val="none"/>
          <w:u w:val="single"/>
          <w14:textFill>
            <w14:solidFill>
              <w14:schemeClr w14:val="tx1"/>
            </w14:solidFill>
          </w14:textFill>
        </w:rPr>
      </w:pPr>
    </w:p>
    <w:p w14:paraId="4CE085F3">
      <w:pPr>
        <w:spacing w:line="500" w:lineRule="exact"/>
        <w:rPr>
          <w:b/>
          <w:color w:val="000000" w:themeColor="text1"/>
          <w:sz w:val="24"/>
          <w:highlight w:val="none"/>
          <w:u w:val="single"/>
          <w14:textFill>
            <w14:solidFill>
              <w14:schemeClr w14:val="tx1"/>
            </w14:solidFill>
          </w14:textFill>
        </w:rPr>
      </w:pPr>
    </w:p>
    <w:p w14:paraId="1EFB7091">
      <w:pPr>
        <w:spacing w:line="500" w:lineRule="exact"/>
        <w:ind w:left="2518" w:leftChars="1199"/>
        <w:rPr>
          <w:b/>
          <w:color w:val="000000" w:themeColor="text1"/>
          <w:sz w:val="24"/>
          <w:highlight w:val="none"/>
          <w:u w:val="single"/>
          <w14:textFill>
            <w14:solidFill>
              <w14:schemeClr w14:val="tx1"/>
            </w14:solidFill>
          </w14:textFill>
        </w:rPr>
      </w:pPr>
    </w:p>
    <w:p w14:paraId="00EBBD7D">
      <w:pPr>
        <w:spacing w:line="500" w:lineRule="exact"/>
        <w:ind w:left="2518" w:leftChars="1199"/>
        <w:rPr>
          <w:b/>
          <w:color w:val="000000" w:themeColor="text1"/>
          <w:sz w:val="24"/>
          <w:highlight w:val="none"/>
          <w:u w:val="single"/>
          <w14:textFill>
            <w14:solidFill>
              <w14:schemeClr w14:val="tx1"/>
            </w14:solidFill>
          </w14:textFill>
        </w:rPr>
      </w:pPr>
    </w:p>
    <w:p w14:paraId="71EFAFB4">
      <w:pPr>
        <w:spacing w:line="500" w:lineRule="exact"/>
        <w:ind w:left="2518" w:leftChars="1199"/>
        <w:rPr>
          <w:b/>
          <w:color w:val="000000" w:themeColor="text1"/>
          <w:sz w:val="24"/>
          <w:highlight w:val="none"/>
          <w:u w:val="single"/>
          <w14:textFill>
            <w14:solidFill>
              <w14:schemeClr w14:val="tx1"/>
            </w14:solidFill>
          </w14:textFill>
        </w:rPr>
      </w:pPr>
    </w:p>
    <w:p w14:paraId="0D34D33B">
      <w:pPr>
        <w:spacing w:line="500" w:lineRule="exact"/>
        <w:ind w:left="2518" w:leftChars="1199"/>
        <w:rPr>
          <w:b/>
          <w:color w:val="000000" w:themeColor="text1"/>
          <w:sz w:val="24"/>
          <w:highlight w:val="none"/>
          <w:u w:val="single"/>
          <w14:textFill>
            <w14:solidFill>
              <w14:schemeClr w14:val="tx1"/>
            </w14:solidFill>
          </w14:textFill>
        </w:rPr>
      </w:pPr>
    </w:p>
    <w:p w14:paraId="0DAC11BE">
      <w:pPr>
        <w:spacing w:line="700" w:lineRule="exact"/>
        <w:ind w:left="2518" w:leftChars="1199"/>
        <w:rPr>
          <w:b/>
          <w:color w:val="000000" w:themeColor="text1"/>
          <w:sz w:val="24"/>
          <w:highlight w:val="none"/>
          <w:u w:val="single"/>
          <w14:textFill>
            <w14:solidFill>
              <w14:schemeClr w14:val="tx1"/>
            </w14:solidFill>
          </w14:textFill>
        </w:rPr>
      </w:pPr>
      <w:r>
        <w:rPr>
          <w:b/>
          <w:color w:val="000000" w:themeColor="text1"/>
          <w:sz w:val="24"/>
          <w:highlight w:val="none"/>
          <w14:textFill>
            <w14:solidFill>
              <w14:schemeClr w14:val="tx1"/>
            </w14:solidFill>
          </w14:textFill>
        </w:rPr>
        <w:t>甲方（</w:t>
      </w:r>
      <w:r>
        <w:rPr>
          <w:rFonts w:hint="eastAsia"/>
          <w:b/>
          <w:color w:val="000000" w:themeColor="text1"/>
          <w:sz w:val="24"/>
          <w:highlight w:val="none"/>
          <w:lang w:eastAsia="zh-CN"/>
          <w14:textFill>
            <w14:solidFill>
              <w14:schemeClr w14:val="tx1"/>
            </w14:solidFill>
          </w14:textFill>
        </w:rPr>
        <w:t>招标人</w:t>
      </w:r>
      <w:r>
        <w:rPr>
          <w:b/>
          <w:color w:val="000000" w:themeColor="text1"/>
          <w:sz w:val="24"/>
          <w:highlight w:val="none"/>
          <w14:textFill>
            <w14:solidFill>
              <w14:schemeClr w14:val="tx1"/>
            </w14:solidFill>
          </w14:textFill>
        </w:rPr>
        <w:t>）：</w:t>
      </w:r>
    </w:p>
    <w:p w14:paraId="7DE8D73D">
      <w:pPr>
        <w:spacing w:line="700" w:lineRule="exact"/>
        <w:ind w:left="2518" w:leftChars="1199"/>
        <w:rPr>
          <w:b/>
          <w:color w:val="000000" w:themeColor="text1"/>
          <w:sz w:val="24"/>
          <w:highlight w:val="none"/>
          <w:u w:val="single"/>
          <w14:textFill>
            <w14:solidFill>
              <w14:schemeClr w14:val="tx1"/>
            </w14:solidFill>
          </w14:textFill>
        </w:rPr>
      </w:pPr>
      <w:r>
        <w:rPr>
          <w:b/>
          <w:color w:val="000000" w:themeColor="text1"/>
          <w:sz w:val="24"/>
          <w:highlight w:val="none"/>
          <w14:textFill>
            <w14:solidFill>
              <w14:schemeClr w14:val="tx1"/>
            </w14:solidFill>
          </w14:textFill>
        </w:rPr>
        <w:t>乙方（中标人）：</w:t>
      </w:r>
    </w:p>
    <w:p w14:paraId="2F9E671B">
      <w:pPr>
        <w:spacing w:line="700" w:lineRule="exact"/>
        <w:ind w:left="2518" w:leftChars="1199"/>
        <w:rPr>
          <w:b/>
          <w:color w:val="000000" w:themeColor="text1"/>
          <w:sz w:val="24"/>
          <w:highlight w:val="none"/>
          <w:u w:val="single"/>
          <w14:textFill>
            <w14:solidFill>
              <w14:schemeClr w14:val="tx1"/>
            </w14:solidFill>
          </w14:textFill>
        </w:rPr>
      </w:pPr>
    </w:p>
    <w:p w14:paraId="361FF02B">
      <w:pPr>
        <w:spacing w:line="360" w:lineRule="auto"/>
        <w:ind w:left="105" w:leftChars="50" w:firstLine="181" w:firstLineChars="50"/>
        <w:rPr>
          <w:b/>
          <w:color w:val="000000" w:themeColor="text1"/>
          <w:sz w:val="36"/>
          <w:highlight w:val="none"/>
          <w14:textFill>
            <w14:solidFill>
              <w14:schemeClr w14:val="tx1"/>
            </w14:solidFill>
          </w14:textFill>
        </w:rPr>
      </w:pPr>
    </w:p>
    <w:p w14:paraId="689F954C">
      <w:pPr>
        <w:spacing w:line="600" w:lineRule="exact"/>
        <w:jc w:val="center"/>
        <w:rPr>
          <w:b/>
          <w:color w:val="000000" w:themeColor="text1"/>
          <w:sz w:val="52"/>
          <w:szCs w:val="52"/>
          <w:highlight w:val="none"/>
          <w14:textFill>
            <w14:solidFill>
              <w14:schemeClr w14:val="tx1"/>
            </w14:solidFill>
          </w14:textFill>
        </w:rPr>
      </w:pPr>
      <w:r>
        <w:rPr>
          <w:b/>
          <w:color w:val="000000" w:themeColor="text1"/>
          <w:sz w:val="52"/>
          <w:szCs w:val="52"/>
          <w:highlight w:val="none"/>
          <w14:textFill>
            <w14:solidFill>
              <w14:schemeClr w14:val="tx1"/>
            </w14:solidFill>
          </w14:textFill>
        </w:rPr>
        <w:br w:type="page"/>
      </w:r>
    </w:p>
    <w:p w14:paraId="552ACD74">
      <w:pPr>
        <w:spacing w:line="500" w:lineRule="exact"/>
        <w:ind w:firstLine="480" w:firstLineChars="200"/>
        <w:rPr>
          <w:color w:val="000000" w:themeColor="text1"/>
          <w:sz w:val="24"/>
          <w:szCs w:val="24"/>
          <w:highlight w:val="none"/>
          <w:u w:val="single"/>
          <w14:textFill>
            <w14:solidFill>
              <w14:schemeClr w14:val="tx1"/>
            </w14:solidFill>
          </w14:textFill>
        </w:rPr>
      </w:pPr>
      <w:r>
        <w:rPr>
          <w:color w:val="000000" w:themeColor="text1"/>
          <w:sz w:val="24"/>
          <w:szCs w:val="24"/>
          <w:highlight w:val="none"/>
          <w:u w:val="single"/>
          <w14:textFill>
            <w14:solidFill>
              <w14:schemeClr w14:val="tx1"/>
            </w14:solidFill>
          </w14:textFill>
        </w:rPr>
        <w:t xml:space="preserve">                               （项目名称）</w:t>
      </w:r>
      <w:r>
        <w:rPr>
          <w:color w:val="000000" w:themeColor="text1"/>
          <w:sz w:val="24"/>
          <w:szCs w:val="24"/>
          <w:highlight w:val="none"/>
          <w14:textFill>
            <w14:solidFill>
              <w14:schemeClr w14:val="tx1"/>
            </w14:solidFill>
          </w14:textFill>
        </w:rPr>
        <w:t>以公开招标的方式进行采购。经评标委员会评审确定</w:t>
      </w:r>
      <w:r>
        <w:rPr>
          <w:color w:val="000000" w:themeColor="text1"/>
          <w:sz w:val="24"/>
          <w:szCs w:val="24"/>
          <w:highlight w:val="none"/>
          <w:u w:val="single"/>
          <w14:textFill>
            <w14:solidFill>
              <w14:schemeClr w14:val="tx1"/>
            </w14:solidFill>
          </w14:textFill>
        </w:rPr>
        <w:t>乙方</w:t>
      </w:r>
      <w:r>
        <w:rPr>
          <w:color w:val="000000" w:themeColor="text1"/>
          <w:sz w:val="24"/>
          <w:szCs w:val="24"/>
          <w:highlight w:val="none"/>
          <w14:textFill>
            <w14:solidFill>
              <w14:schemeClr w14:val="tx1"/>
            </w14:solidFill>
          </w14:textFill>
        </w:rPr>
        <w:t>为中标人。甲、乙双方根据《中华人民共和国</w:t>
      </w:r>
      <w:r>
        <w:rPr>
          <w:rFonts w:hint="eastAsia"/>
          <w:color w:val="000000" w:themeColor="text1"/>
          <w:sz w:val="24"/>
          <w:szCs w:val="24"/>
          <w:highlight w:val="none"/>
          <w:lang w:eastAsia="zh-CN"/>
          <w14:textFill>
            <w14:solidFill>
              <w14:schemeClr w14:val="tx1"/>
            </w14:solidFill>
          </w14:textFill>
        </w:rPr>
        <w:t>民法典</w:t>
      </w:r>
      <w:r>
        <w:rPr>
          <w:color w:val="000000" w:themeColor="text1"/>
          <w:sz w:val="24"/>
          <w:szCs w:val="24"/>
          <w:highlight w:val="none"/>
          <w14:textFill>
            <w14:solidFill>
              <w14:schemeClr w14:val="tx1"/>
            </w14:solidFill>
          </w14:textFill>
        </w:rPr>
        <w:t>》、《中华人民共和国政府采购法》和其他法律、法规的规定，并按照公正、平等、自愿、诚实信用的原则，同意按照以下条款和条件，签署本合同。</w:t>
      </w:r>
    </w:p>
    <w:p w14:paraId="2D3A389F">
      <w:pPr>
        <w:spacing w:line="500" w:lineRule="exact"/>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一、本合同由合同文本和下列文件组成</w:t>
      </w:r>
    </w:p>
    <w:p w14:paraId="200B20C1">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1、招标文件</w:t>
      </w:r>
    </w:p>
    <w:p w14:paraId="3B3C00AF">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2、乙方投标文件</w:t>
      </w:r>
    </w:p>
    <w:p w14:paraId="613419C6">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3、中标通知书</w:t>
      </w:r>
    </w:p>
    <w:p w14:paraId="2CF1C200">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4、乙方在开标过程中做出的书面澄清或承诺</w:t>
      </w:r>
    </w:p>
    <w:p w14:paraId="7D22B969">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5、本合同附件</w:t>
      </w:r>
    </w:p>
    <w:p w14:paraId="3E828019">
      <w:pPr>
        <w:spacing w:line="500" w:lineRule="exact"/>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二、货物名称、数量、单价、规格和标准(详细清单见附件)</w:t>
      </w:r>
    </w:p>
    <w:tbl>
      <w:tblPr>
        <w:tblStyle w:val="76"/>
        <w:tblW w:w="100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749"/>
        <w:gridCol w:w="1587"/>
        <w:gridCol w:w="1500"/>
        <w:gridCol w:w="771"/>
        <w:gridCol w:w="775"/>
        <w:gridCol w:w="1256"/>
        <w:gridCol w:w="868"/>
        <w:gridCol w:w="869"/>
      </w:tblGrid>
      <w:tr w14:paraId="15118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15" w:type="dxa"/>
            <w:vAlign w:val="center"/>
          </w:tcPr>
          <w:p w14:paraId="197C7A39">
            <w:pPr>
              <w:spacing w:line="4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序号</w:t>
            </w:r>
          </w:p>
        </w:tc>
        <w:tc>
          <w:tcPr>
            <w:tcW w:w="1749" w:type="dxa"/>
            <w:vAlign w:val="center"/>
          </w:tcPr>
          <w:p w14:paraId="57B7C96F">
            <w:pPr>
              <w:spacing w:line="4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产品（货物）</w:t>
            </w:r>
          </w:p>
          <w:p w14:paraId="1745FAAD">
            <w:pPr>
              <w:spacing w:line="4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名  称</w:t>
            </w:r>
          </w:p>
        </w:tc>
        <w:tc>
          <w:tcPr>
            <w:tcW w:w="1587" w:type="dxa"/>
            <w:vAlign w:val="center"/>
          </w:tcPr>
          <w:p w14:paraId="4276A986">
            <w:pPr>
              <w:spacing w:line="4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w:t>
            </w:r>
          </w:p>
        </w:tc>
        <w:tc>
          <w:tcPr>
            <w:tcW w:w="1500" w:type="dxa"/>
            <w:vAlign w:val="center"/>
          </w:tcPr>
          <w:p w14:paraId="1D8E5F25">
            <w:pPr>
              <w:spacing w:line="4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单位</w:t>
            </w:r>
          </w:p>
        </w:tc>
        <w:tc>
          <w:tcPr>
            <w:tcW w:w="771" w:type="dxa"/>
            <w:vAlign w:val="center"/>
          </w:tcPr>
          <w:p w14:paraId="174A3E96">
            <w:pPr>
              <w:spacing w:line="4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数量</w:t>
            </w:r>
          </w:p>
        </w:tc>
        <w:tc>
          <w:tcPr>
            <w:tcW w:w="775" w:type="dxa"/>
            <w:vAlign w:val="center"/>
          </w:tcPr>
          <w:p w14:paraId="271132DF">
            <w:pPr>
              <w:spacing w:line="4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单价</w:t>
            </w:r>
          </w:p>
        </w:tc>
        <w:tc>
          <w:tcPr>
            <w:tcW w:w="1256" w:type="dxa"/>
            <w:shd w:val="clear" w:color="auto" w:fill="auto"/>
            <w:vAlign w:val="center"/>
          </w:tcPr>
          <w:p w14:paraId="36274F24">
            <w:pPr>
              <w:spacing w:line="4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总价</w:t>
            </w:r>
          </w:p>
        </w:tc>
        <w:tc>
          <w:tcPr>
            <w:tcW w:w="868" w:type="dxa"/>
            <w:shd w:val="clear" w:color="auto" w:fill="auto"/>
            <w:vAlign w:val="center"/>
          </w:tcPr>
          <w:p w14:paraId="46D0BCF4">
            <w:pPr>
              <w:spacing w:line="400" w:lineRule="exact"/>
              <w:jc w:val="center"/>
              <w:rPr>
                <w:rFonts w:hint="eastAsia"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品牌</w:t>
            </w:r>
          </w:p>
        </w:tc>
        <w:tc>
          <w:tcPr>
            <w:tcW w:w="869" w:type="dxa"/>
            <w:shd w:val="clear" w:color="auto" w:fill="auto"/>
            <w:vAlign w:val="center"/>
          </w:tcPr>
          <w:p w14:paraId="3DF4D65B">
            <w:pPr>
              <w:spacing w:line="4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产地</w:t>
            </w:r>
          </w:p>
        </w:tc>
      </w:tr>
      <w:tr w14:paraId="34246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15" w:type="dxa"/>
            <w:vAlign w:val="center"/>
          </w:tcPr>
          <w:p w14:paraId="2B81EB55">
            <w:pPr>
              <w:spacing w:line="5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w:t>
            </w:r>
          </w:p>
        </w:tc>
        <w:tc>
          <w:tcPr>
            <w:tcW w:w="1749" w:type="dxa"/>
            <w:vAlign w:val="center"/>
          </w:tcPr>
          <w:p w14:paraId="23207CC9">
            <w:pPr>
              <w:spacing w:line="500" w:lineRule="exact"/>
              <w:jc w:val="center"/>
              <w:rPr>
                <w:color w:val="000000" w:themeColor="text1"/>
                <w:sz w:val="24"/>
                <w:szCs w:val="24"/>
                <w:highlight w:val="none"/>
                <w14:textFill>
                  <w14:solidFill>
                    <w14:schemeClr w14:val="tx1"/>
                  </w14:solidFill>
                </w14:textFill>
              </w:rPr>
            </w:pPr>
          </w:p>
        </w:tc>
        <w:tc>
          <w:tcPr>
            <w:tcW w:w="1587" w:type="dxa"/>
            <w:vAlign w:val="center"/>
          </w:tcPr>
          <w:p w14:paraId="4F67634A">
            <w:pPr>
              <w:spacing w:line="500" w:lineRule="exact"/>
              <w:jc w:val="center"/>
              <w:rPr>
                <w:color w:val="000000" w:themeColor="text1"/>
                <w:sz w:val="24"/>
                <w:szCs w:val="24"/>
                <w:highlight w:val="none"/>
                <w14:textFill>
                  <w14:solidFill>
                    <w14:schemeClr w14:val="tx1"/>
                  </w14:solidFill>
                </w14:textFill>
              </w:rPr>
            </w:pPr>
          </w:p>
        </w:tc>
        <w:tc>
          <w:tcPr>
            <w:tcW w:w="1500" w:type="dxa"/>
            <w:vAlign w:val="center"/>
          </w:tcPr>
          <w:p w14:paraId="74C18BBA">
            <w:pPr>
              <w:spacing w:line="500" w:lineRule="exact"/>
              <w:jc w:val="center"/>
              <w:rPr>
                <w:color w:val="000000" w:themeColor="text1"/>
                <w:sz w:val="24"/>
                <w:szCs w:val="24"/>
                <w:highlight w:val="none"/>
                <w14:textFill>
                  <w14:solidFill>
                    <w14:schemeClr w14:val="tx1"/>
                  </w14:solidFill>
                </w14:textFill>
              </w:rPr>
            </w:pPr>
          </w:p>
        </w:tc>
        <w:tc>
          <w:tcPr>
            <w:tcW w:w="771" w:type="dxa"/>
            <w:vAlign w:val="center"/>
          </w:tcPr>
          <w:p w14:paraId="1C06A71C">
            <w:pPr>
              <w:spacing w:line="500" w:lineRule="exact"/>
              <w:jc w:val="center"/>
              <w:rPr>
                <w:color w:val="000000" w:themeColor="text1"/>
                <w:sz w:val="24"/>
                <w:szCs w:val="24"/>
                <w:highlight w:val="none"/>
                <w14:textFill>
                  <w14:solidFill>
                    <w14:schemeClr w14:val="tx1"/>
                  </w14:solidFill>
                </w14:textFill>
              </w:rPr>
            </w:pPr>
          </w:p>
        </w:tc>
        <w:tc>
          <w:tcPr>
            <w:tcW w:w="775" w:type="dxa"/>
            <w:vAlign w:val="center"/>
          </w:tcPr>
          <w:p w14:paraId="7EB22901">
            <w:pPr>
              <w:spacing w:line="500" w:lineRule="exact"/>
              <w:jc w:val="center"/>
              <w:rPr>
                <w:color w:val="000000" w:themeColor="text1"/>
                <w:sz w:val="24"/>
                <w:szCs w:val="24"/>
                <w:highlight w:val="none"/>
                <w14:textFill>
                  <w14:solidFill>
                    <w14:schemeClr w14:val="tx1"/>
                  </w14:solidFill>
                </w14:textFill>
              </w:rPr>
            </w:pPr>
          </w:p>
        </w:tc>
        <w:tc>
          <w:tcPr>
            <w:tcW w:w="1256" w:type="dxa"/>
            <w:vAlign w:val="center"/>
          </w:tcPr>
          <w:p w14:paraId="04545A30">
            <w:pPr>
              <w:spacing w:line="500" w:lineRule="exact"/>
              <w:jc w:val="center"/>
              <w:rPr>
                <w:color w:val="000000" w:themeColor="text1"/>
                <w:sz w:val="24"/>
                <w:szCs w:val="24"/>
                <w:highlight w:val="none"/>
                <w14:textFill>
                  <w14:solidFill>
                    <w14:schemeClr w14:val="tx1"/>
                  </w14:solidFill>
                </w14:textFill>
              </w:rPr>
            </w:pPr>
          </w:p>
        </w:tc>
        <w:tc>
          <w:tcPr>
            <w:tcW w:w="868" w:type="dxa"/>
            <w:vAlign w:val="center"/>
          </w:tcPr>
          <w:p w14:paraId="1B6101A8">
            <w:pPr>
              <w:spacing w:line="500" w:lineRule="exact"/>
              <w:jc w:val="center"/>
              <w:rPr>
                <w:color w:val="000000" w:themeColor="text1"/>
                <w:sz w:val="24"/>
                <w:szCs w:val="24"/>
                <w:highlight w:val="none"/>
                <w14:textFill>
                  <w14:solidFill>
                    <w14:schemeClr w14:val="tx1"/>
                  </w14:solidFill>
                </w14:textFill>
              </w:rPr>
            </w:pPr>
          </w:p>
        </w:tc>
        <w:tc>
          <w:tcPr>
            <w:tcW w:w="869" w:type="dxa"/>
            <w:vAlign w:val="center"/>
          </w:tcPr>
          <w:p w14:paraId="4DB5B78D">
            <w:pPr>
              <w:spacing w:line="500" w:lineRule="exact"/>
              <w:jc w:val="center"/>
              <w:rPr>
                <w:color w:val="000000" w:themeColor="text1"/>
                <w:sz w:val="24"/>
                <w:szCs w:val="24"/>
                <w:highlight w:val="none"/>
                <w14:textFill>
                  <w14:solidFill>
                    <w14:schemeClr w14:val="tx1"/>
                  </w14:solidFill>
                </w14:textFill>
              </w:rPr>
            </w:pPr>
          </w:p>
        </w:tc>
      </w:tr>
      <w:tr w14:paraId="502A6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15" w:type="dxa"/>
            <w:vAlign w:val="center"/>
          </w:tcPr>
          <w:p w14:paraId="35079AAA">
            <w:pPr>
              <w:spacing w:line="5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w:t>
            </w:r>
          </w:p>
        </w:tc>
        <w:tc>
          <w:tcPr>
            <w:tcW w:w="1749" w:type="dxa"/>
            <w:vAlign w:val="center"/>
          </w:tcPr>
          <w:p w14:paraId="0563DF68">
            <w:pPr>
              <w:spacing w:line="500" w:lineRule="exact"/>
              <w:jc w:val="center"/>
              <w:rPr>
                <w:color w:val="000000" w:themeColor="text1"/>
                <w:sz w:val="24"/>
                <w:szCs w:val="24"/>
                <w:highlight w:val="none"/>
                <w14:textFill>
                  <w14:solidFill>
                    <w14:schemeClr w14:val="tx1"/>
                  </w14:solidFill>
                </w14:textFill>
              </w:rPr>
            </w:pPr>
          </w:p>
        </w:tc>
        <w:tc>
          <w:tcPr>
            <w:tcW w:w="1587" w:type="dxa"/>
            <w:vAlign w:val="center"/>
          </w:tcPr>
          <w:p w14:paraId="62D71F77">
            <w:pPr>
              <w:spacing w:line="500" w:lineRule="exact"/>
              <w:jc w:val="center"/>
              <w:rPr>
                <w:color w:val="000000" w:themeColor="text1"/>
                <w:sz w:val="24"/>
                <w:szCs w:val="24"/>
                <w:highlight w:val="none"/>
                <w14:textFill>
                  <w14:solidFill>
                    <w14:schemeClr w14:val="tx1"/>
                  </w14:solidFill>
                </w14:textFill>
              </w:rPr>
            </w:pPr>
          </w:p>
        </w:tc>
        <w:tc>
          <w:tcPr>
            <w:tcW w:w="1500" w:type="dxa"/>
            <w:vAlign w:val="center"/>
          </w:tcPr>
          <w:p w14:paraId="423C72C6">
            <w:pPr>
              <w:spacing w:line="500" w:lineRule="exact"/>
              <w:jc w:val="center"/>
              <w:rPr>
                <w:color w:val="000000" w:themeColor="text1"/>
                <w:sz w:val="24"/>
                <w:szCs w:val="24"/>
                <w:highlight w:val="none"/>
                <w14:textFill>
                  <w14:solidFill>
                    <w14:schemeClr w14:val="tx1"/>
                  </w14:solidFill>
                </w14:textFill>
              </w:rPr>
            </w:pPr>
          </w:p>
        </w:tc>
        <w:tc>
          <w:tcPr>
            <w:tcW w:w="771" w:type="dxa"/>
            <w:vAlign w:val="center"/>
          </w:tcPr>
          <w:p w14:paraId="6DD9CC5B">
            <w:pPr>
              <w:spacing w:line="500" w:lineRule="exact"/>
              <w:jc w:val="center"/>
              <w:rPr>
                <w:color w:val="000000" w:themeColor="text1"/>
                <w:sz w:val="24"/>
                <w:szCs w:val="24"/>
                <w:highlight w:val="none"/>
                <w14:textFill>
                  <w14:solidFill>
                    <w14:schemeClr w14:val="tx1"/>
                  </w14:solidFill>
                </w14:textFill>
              </w:rPr>
            </w:pPr>
          </w:p>
        </w:tc>
        <w:tc>
          <w:tcPr>
            <w:tcW w:w="775" w:type="dxa"/>
            <w:vAlign w:val="center"/>
          </w:tcPr>
          <w:p w14:paraId="7E2E7579">
            <w:pPr>
              <w:spacing w:line="500" w:lineRule="exact"/>
              <w:jc w:val="center"/>
              <w:rPr>
                <w:color w:val="000000" w:themeColor="text1"/>
                <w:sz w:val="24"/>
                <w:szCs w:val="24"/>
                <w:highlight w:val="none"/>
                <w14:textFill>
                  <w14:solidFill>
                    <w14:schemeClr w14:val="tx1"/>
                  </w14:solidFill>
                </w14:textFill>
              </w:rPr>
            </w:pPr>
          </w:p>
        </w:tc>
        <w:tc>
          <w:tcPr>
            <w:tcW w:w="1256" w:type="dxa"/>
            <w:vAlign w:val="center"/>
          </w:tcPr>
          <w:p w14:paraId="2C014A05">
            <w:pPr>
              <w:spacing w:line="500" w:lineRule="exact"/>
              <w:jc w:val="center"/>
              <w:rPr>
                <w:color w:val="000000" w:themeColor="text1"/>
                <w:sz w:val="24"/>
                <w:szCs w:val="24"/>
                <w:highlight w:val="none"/>
                <w14:textFill>
                  <w14:solidFill>
                    <w14:schemeClr w14:val="tx1"/>
                  </w14:solidFill>
                </w14:textFill>
              </w:rPr>
            </w:pPr>
          </w:p>
        </w:tc>
        <w:tc>
          <w:tcPr>
            <w:tcW w:w="868" w:type="dxa"/>
            <w:vAlign w:val="center"/>
          </w:tcPr>
          <w:p w14:paraId="091E295D">
            <w:pPr>
              <w:spacing w:line="500" w:lineRule="exact"/>
              <w:jc w:val="center"/>
              <w:rPr>
                <w:color w:val="000000" w:themeColor="text1"/>
                <w:sz w:val="24"/>
                <w:szCs w:val="24"/>
                <w:highlight w:val="none"/>
                <w14:textFill>
                  <w14:solidFill>
                    <w14:schemeClr w14:val="tx1"/>
                  </w14:solidFill>
                </w14:textFill>
              </w:rPr>
            </w:pPr>
          </w:p>
        </w:tc>
        <w:tc>
          <w:tcPr>
            <w:tcW w:w="869" w:type="dxa"/>
            <w:vAlign w:val="center"/>
          </w:tcPr>
          <w:p w14:paraId="49956D0C">
            <w:pPr>
              <w:spacing w:line="500" w:lineRule="exact"/>
              <w:jc w:val="center"/>
              <w:rPr>
                <w:color w:val="000000" w:themeColor="text1"/>
                <w:sz w:val="24"/>
                <w:szCs w:val="24"/>
                <w:highlight w:val="none"/>
                <w14:textFill>
                  <w14:solidFill>
                    <w14:schemeClr w14:val="tx1"/>
                  </w14:solidFill>
                </w14:textFill>
              </w:rPr>
            </w:pPr>
          </w:p>
        </w:tc>
      </w:tr>
      <w:tr w14:paraId="477FE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15" w:type="dxa"/>
            <w:vAlign w:val="center"/>
          </w:tcPr>
          <w:p w14:paraId="2AC4F00A">
            <w:pPr>
              <w:spacing w:line="5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3</w:t>
            </w:r>
          </w:p>
        </w:tc>
        <w:tc>
          <w:tcPr>
            <w:tcW w:w="1749" w:type="dxa"/>
            <w:vAlign w:val="center"/>
          </w:tcPr>
          <w:p w14:paraId="27E1A758">
            <w:pPr>
              <w:spacing w:line="500" w:lineRule="exact"/>
              <w:jc w:val="center"/>
              <w:rPr>
                <w:color w:val="000000" w:themeColor="text1"/>
                <w:sz w:val="24"/>
                <w:szCs w:val="24"/>
                <w:highlight w:val="none"/>
                <w14:textFill>
                  <w14:solidFill>
                    <w14:schemeClr w14:val="tx1"/>
                  </w14:solidFill>
                </w14:textFill>
              </w:rPr>
            </w:pPr>
          </w:p>
        </w:tc>
        <w:tc>
          <w:tcPr>
            <w:tcW w:w="1587" w:type="dxa"/>
            <w:vAlign w:val="center"/>
          </w:tcPr>
          <w:p w14:paraId="330AE214">
            <w:pPr>
              <w:spacing w:line="500" w:lineRule="exact"/>
              <w:jc w:val="center"/>
              <w:rPr>
                <w:color w:val="000000" w:themeColor="text1"/>
                <w:sz w:val="24"/>
                <w:szCs w:val="24"/>
                <w:highlight w:val="none"/>
                <w14:textFill>
                  <w14:solidFill>
                    <w14:schemeClr w14:val="tx1"/>
                  </w14:solidFill>
                </w14:textFill>
              </w:rPr>
            </w:pPr>
          </w:p>
        </w:tc>
        <w:tc>
          <w:tcPr>
            <w:tcW w:w="1500" w:type="dxa"/>
            <w:vAlign w:val="center"/>
          </w:tcPr>
          <w:p w14:paraId="75DB4C56">
            <w:pPr>
              <w:spacing w:line="500" w:lineRule="exact"/>
              <w:jc w:val="center"/>
              <w:rPr>
                <w:color w:val="000000" w:themeColor="text1"/>
                <w:sz w:val="24"/>
                <w:szCs w:val="24"/>
                <w:highlight w:val="none"/>
                <w14:textFill>
                  <w14:solidFill>
                    <w14:schemeClr w14:val="tx1"/>
                  </w14:solidFill>
                </w14:textFill>
              </w:rPr>
            </w:pPr>
          </w:p>
        </w:tc>
        <w:tc>
          <w:tcPr>
            <w:tcW w:w="771" w:type="dxa"/>
            <w:vAlign w:val="center"/>
          </w:tcPr>
          <w:p w14:paraId="1B531331">
            <w:pPr>
              <w:spacing w:line="500" w:lineRule="exact"/>
              <w:jc w:val="center"/>
              <w:rPr>
                <w:color w:val="000000" w:themeColor="text1"/>
                <w:sz w:val="24"/>
                <w:szCs w:val="24"/>
                <w:highlight w:val="none"/>
                <w14:textFill>
                  <w14:solidFill>
                    <w14:schemeClr w14:val="tx1"/>
                  </w14:solidFill>
                </w14:textFill>
              </w:rPr>
            </w:pPr>
          </w:p>
        </w:tc>
        <w:tc>
          <w:tcPr>
            <w:tcW w:w="775" w:type="dxa"/>
            <w:vAlign w:val="center"/>
          </w:tcPr>
          <w:p w14:paraId="0FE0B541">
            <w:pPr>
              <w:spacing w:line="500" w:lineRule="exact"/>
              <w:jc w:val="center"/>
              <w:rPr>
                <w:color w:val="000000" w:themeColor="text1"/>
                <w:sz w:val="24"/>
                <w:szCs w:val="24"/>
                <w:highlight w:val="none"/>
                <w14:textFill>
                  <w14:solidFill>
                    <w14:schemeClr w14:val="tx1"/>
                  </w14:solidFill>
                </w14:textFill>
              </w:rPr>
            </w:pPr>
          </w:p>
        </w:tc>
        <w:tc>
          <w:tcPr>
            <w:tcW w:w="1256" w:type="dxa"/>
            <w:vAlign w:val="center"/>
          </w:tcPr>
          <w:p w14:paraId="0061CD85">
            <w:pPr>
              <w:spacing w:line="500" w:lineRule="exact"/>
              <w:jc w:val="center"/>
              <w:rPr>
                <w:color w:val="000000" w:themeColor="text1"/>
                <w:sz w:val="24"/>
                <w:szCs w:val="24"/>
                <w:highlight w:val="none"/>
                <w14:textFill>
                  <w14:solidFill>
                    <w14:schemeClr w14:val="tx1"/>
                  </w14:solidFill>
                </w14:textFill>
              </w:rPr>
            </w:pPr>
          </w:p>
        </w:tc>
        <w:tc>
          <w:tcPr>
            <w:tcW w:w="868" w:type="dxa"/>
            <w:vAlign w:val="center"/>
          </w:tcPr>
          <w:p w14:paraId="5A9F5130">
            <w:pPr>
              <w:spacing w:line="500" w:lineRule="exact"/>
              <w:jc w:val="center"/>
              <w:rPr>
                <w:color w:val="000000" w:themeColor="text1"/>
                <w:sz w:val="24"/>
                <w:szCs w:val="24"/>
                <w:highlight w:val="none"/>
                <w14:textFill>
                  <w14:solidFill>
                    <w14:schemeClr w14:val="tx1"/>
                  </w14:solidFill>
                </w14:textFill>
              </w:rPr>
            </w:pPr>
          </w:p>
        </w:tc>
        <w:tc>
          <w:tcPr>
            <w:tcW w:w="869" w:type="dxa"/>
            <w:vAlign w:val="center"/>
          </w:tcPr>
          <w:p w14:paraId="7470E211">
            <w:pPr>
              <w:spacing w:line="500" w:lineRule="exact"/>
              <w:jc w:val="center"/>
              <w:rPr>
                <w:color w:val="000000" w:themeColor="text1"/>
                <w:sz w:val="24"/>
                <w:szCs w:val="24"/>
                <w:highlight w:val="none"/>
                <w14:textFill>
                  <w14:solidFill>
                    <w14:schemeClr w14:val="tx1"/>
                  </w14:solidFill>
                </w14:textFill>
              </w:rPr>
            </w:pPr>
          </w:p>
        </w:tc>
      </w:tr>
      <w:tr w14:paraId="08EAC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15" w:type="dxa"/>
            <w:vAlign w:val="center"/>
          </w:tcPr>
          <w:p w14:paraId="3B3989B7">
            <w:pPr>
              <w:spacing w:line="5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w:t>
            </w:r>
          </w:p>
        </w:tc>
        <w:tc>
          <w:tcPr>
            <w:tcW w:w="1749" w:type="dxa"/>
            <w:vAlign w:val="center"/>
          </w:tcPr>
          <w:p w14:paraId="4C2B781B">
            <w:pPr>
              <w:spacing w:line="500" w:lineRule="exact"/>
              <w:jc w:val="center"/>
              <w:rPr>
                <w:color w:val="000000" w:themeColor="text1"/>
                <w:sz w:val="24"/>
                <w:szCs w:val="24"/>
                <w:highlight w:val="none"/>
                <w14:textFill>
                  <w14:solidFill>
                    <w14:schemeClr w14:val="tx1"/>
                  </w14:solidFill>
                </w14:textFill>
              </w:rPr>
            </w:pPr>
          </w:p>
        </w:tc>
        <w:tc>
          <w:tcPr>
            <w:tcW w:w="1587" w:type="dxa"/>
            <w:vAlign w:val="center"/>
          </w:tcPr>
          <w:p w14:paraId="4A4EE354">
            <w:pPr>
              <w:spacing w:line="500" w:lineRule="exact"/>
              <w:jc w:val="center"/>
              <w:rPr>
                <w:color w:val="000000" w:themeColor="text1"/>
                <w:sz w:val="24"/>
                <w:szCs w:val="24"/>
                <w:highlight w:val="none"/>
                <w14:textFill>
                  <w14:solidFill>
                    <w14:schemeClr w14:val="tx1"/>
                  </w14:solidFill>
                </w14:textFill>
              </w:rPr>
            </w:pPr>
          </w:p>
        </w:tc>
        <w:tc>
          <w:tcPr>
            <w:tcW w:w="1500" w:type="dxa"/>
            <w:vAlign w:val="center"/>
          </w:tcPr>
          <w:p w14:paraId="69C16064">
            <w:pPr>
              <w:spacing w:line="500" w:lineRule="exact"/>
              <w:jc w:val="center"/>
              <w:rPr>
                <w:color w:val="000000" w:themeColor="text1"/>
                <w:sz w:val="24"/>
                <w:szCs w:val="24"/>
                <w:highlight w:val="none"/>
                <w14:textFill>
                  <w14:solidFill>
                    <w14:schemeClr w14:val="tx1"/>
                  </w14:solidFill>
                </w14:textFill>
              </w:rPr>
            </w:pPr>
          </w:p>
        </w:tc>
        <w:tc>
          <w:tcPr>
            <w:tcW w:w="771" w:type="dxa"/>
            <w:vAlign w:val="center"/>
          </w:tcPr>
          <w:p w14:paraId="4A7B7AE0">
            <w:pPr>
              <w:spacing w:line="500" w:lineRule="exact"/>
              <w:jc w:val="center"/>
              <w:rPr>
                <w:color w:val="000000" w:themeColor="text1"/>
                <w:sz w:val="24"/>
                <w:szCs w:val="24"/>
                <w:highlight w:val="none"/>
                <w14:textFill>
                  <w14:solidFill>
                    <w14:schemeClr w14:val="tx1"/>
                  </w14:solidFill>
                </w14:textFill>
              </w:rPr>
            </w:pPr>
          </w:p>
        </w:tc>
        <w:tc>
          <w:tcPr>
            <w:tcW w:w="775" w:type="dxa"/>
            <w:vAlign w:val="center"/>
          </w:tcPr>
          <w:p w14:paraId="3E7E8E44">
            <w:pPr>
              <w:spacing w:line="500" w:lineRule="exact"/>
              <w:jc w:val="center"/>
              <w:rPr>
                <w:color w:val="000000" w:themeColor="text1"/>
                <w:sz w:val="24"/>
                <w:szCs w:val="24"/>
                <w:highlight w:val="none"/>
                <w14:textFill>
                  <w14:solidFill>
                    <w14:schemeClr w14:val="tx1"/>
                  </w14:solidFill>
                </w14:textFill>
              </w:rPr>
            </w:pPr>
          </w:p>
        </w:tc>
        <w:tc>
          <w:tcPr>
            <w:tcW w:w="1256" w:type="dxa"/>
            <w:vAlign w:val="center"/>
          </w:tcPr>
          <w:p w14:paraId="6E42C4D7">
            <w:pPr>
              <w:spacing w:line="500" w:lineRule="exact"/>
              <w:jc w:val="center"/>
              <w:rPr>
                <w:color w:val="000000" w:themeColor="text1"/>
                <w:sz w:val="24"/>
                <w:szCs w:val="24"/>
                <w:highlight w:val="none"/>
                <w14:textFill>
                  <w14:solidFill>
                    <w14:schemeClr w14:val="tx1"/>
                  </w14:solidFill>
                </w14:textFill>
              </w:rPr>
            </w:pPr>
          </w:p>
        </w:tc>
        <w:tc>
          <w:tcPr>
            <w:tcW w:w="868" w:type="dxa"/>
            <w:vAlign w:val="center"/>
          </w:tcPr>
          <w:p w14:paraId="0C908438">
            <w:pPr>
              <w:spacing w:line="500" w:lineRule="exact"/>
              <w:jc w:val="center"/>
              <w:rPr>
                <w:color w:val="000000" w:themeColor="text1"/>
                <w:sz w:val="24"/>
                <w:szCs w:val="24"/>
                <w:highlight w:val="none"/>
                <w14:textFill>
                  <w14:solidFill>
                    <w14:schemeClr w14:val="tx1"/>
                  </w14:solidFill>
                </w14:textFill>
              </w:rPr>
            </w:pPr>
          </w:p>
        </w:tc>
        <w:tc>
          <w:tcPr>
            <w:tcW w:w="869" w:type="dxa"/>
            <w:vAlign w:val="center"/>
          </w:tcPr>
          <w:p w14:paraId="4112AE6F">
            <w:pPr>
              <w:spacing w:line="500" w:lineRule="exact"/>
              <w:jc w:val="center"/>
              <w:rPr>
                <w:color w:val="000000" w:themeColor="text1"/>
                <w:sz w:val="24"/>
                <w:szCs w:val="24"/>
                <w:highlight w:val="none"/>
                <w14:textFill>
                  <w14:solidFill>
                    <w14:schemeClr w14:val="tx1"/>
                  </w14:solidFill>
                </w14:textFill>
              </w:rPr>
            </w:pPr>
          </w:p>
        </w:tc>
      </w:tr>
      <w:tr w14:paraId="62F6C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097" w:type="dxa"/>
            <w:gridSpan w:val="6"/>
            <w:vAlign w:val="center"/>
          </w:tcPr>
          <w:p w14:paraId="6A79593B">
            <w:pPr>
              <w:spacing w:line="5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合           计</w:t>
            </w:r>
          </w:p>
        </w:tc>
        <w:tc>
          <w:tcPr>
            <w:tcW w:w="1256" w:type="dxa"/>
            <w:vAlign w:val="center"/>
          </w:tcPr>
          <w:p w14:paraId="5CC2630F">
            <w:pPr>
              <w:spacing w:line="500" w:lineRule="exact"/>
              <w:jc w:val="center"/>
              <w:rPr>
                <w:color w:val="000000" w:themeColor="text1"/>
                <w:sz w:val="24"/>
                <w:szCs w:val="24"/>
                <w:highlight w:val="none"/>
                <w14:textFill>
                  <w14:solidFill>
                    <w14:schemeClr w14:val="tx1"/>
                  </w14:solidFill>
                </w14:textFill>
              </w:rPr>
            </w:pPr>
          </w:p>
        </w:tc>
        <w:tc>
          <w:tcPr>
            <w:tcW w:w="868" w:type="dxa"/>
            <w:vAlign w:val="center"/>
          </w:tcPr>
          <w:p w14:paraId="36DC5718">
            <w:pPr>
              <w:spacing w:line="500" w:lineRule="exact"/>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w:t>
            </w:r>
          </w:p>
        </w:tc>
        <w:tc>
          <w:tcPr>
            <w:tcW w:w="869" w:type="dxa"/>
            <w:vAlign w:val="center"/>
          </w:tcPr>
          <w:p w14:paraId="0FD9119D">
            <w:pPr>
              <w:spacing w:line="500" w:lineRule="exact"/>
              <w:jc w:val="center"/>
              <w:rPr>
                <w:color w:val="000000" w:themeColor="text1"/>
                <w:sz w:val="24"/>
                <w:szCs w:val="24"/>
                <w:highlight w:val="none"/>
                <w14:textFill>
                  <w14:solidFill>
                    <w14:schemeClr w14:val="tx1"/>
                  </w14:solidFill>
                </w14:textFill>
              </w:rPr>
            </w:pPr>
          </w:p>
        </w:tc>
      </w:tr>
    </w:tbl>
    <w:p w14:paraId="2052BCA0">
      <w:pPr>
        <w:spacing w:line="500" w:lineRule="exact"/>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三、合同金额</w:t>
      </w:r>
    </w:p>
    <w:p w14:paraId="22B0E5D6">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合同总金额：</w:t>
      </w:r>
      <w:r>
        <w:rPr>
          <w:color w:val="000000" w:themeColor="text1"/>
          <w:sz w:val="24"/>
          <w:szCs w:val="24"/>
          <w:highlight w:val="none"/>
          <w:u w:val="single"/>
          <w14:textFill>
            <w14:solidFill>
              <w14:schemeClr w14:val="tx1"/>
            </w14:solidFill>
          </w14:textFill>
        </w:rPr>
        <w:t>人民币</w:t>
      </w:r>
      <w:r>
        <w:rPr>
          <w:color w:val="000000" w:themeColor="text1"/>
          <w:sz w:val="24"/>
          <w:szCs w:val="24"/>
          <w:highlight w:val="none"/>
          <w14:textFill>
            <w14:solidFill>
              <w14:schemeClr w14:val="tx1"/>
            </w14:solidFill>
          </w14:textFill>
        </w:rPr>
        <w:t xml:space="preserve">(大写)元。￥ 元 。     </w:t>
      </w:r>
    </w:p>
    <w:p w14:paraId="5331FF46">
      <w:pPr>
        <w:spacing w:line="500" w:lineRule="exact"/>
        <w:ind w:firstLine="482" w:firstLineChars="200"/>
        <w:rPr>
          <w:b/>
          <w:color w:val="000000" w:themeColor="text1"/>
          <w:sz w:val="24"/>
          <w:szCs w:val="24"/>
          <w:highlight w:val="none"/>
          <w:u w:val="single"/>
          <w14:textFill>
            <w14:solidFill>
              <w14:schemeClr w14:val="tx1"/>
            </w14:solidFill>
          </w14:textFill>
        </w:rPr>
      </w:pPr>
      <w:r>
        <w:rPr>
          <w:b/>
          <w:color w:val="000000" w:themeColor="text1"/>
          <w:sz w:val="24"/>
          <w:szCs w:val="24"/>
          <w:highlight w:val="none"/>
          <w14:textFill>
            <w14:solidFill>
              <w14:schemeClr w14:val="tx1"/>
            </w14:solidFill>
          </w14:textFill>
        </w:rPr>
        <w:t>四、货款支付：</w:t>
      </w:r>
      <w:r>
        <w:rPr>
          <w:b/>
          <w:color w:val="000000" w:themeColor="text1"/>
          <w:sz w:val="24"/>
          <w:szCs w:val="24"/>
          <w:highlight w:val="none"/>
          <w:u w:val="single"/>
          <w14:textFill>
            <w14:solidFill>
              <w14:schemeClr w14:val="tx1"/>
            </w14:solidFill>
          </w14:textFill>
        </w:rPr>
        <w:t xml:space="preserve"> （按招标文件规定填写）</w:t>
      </w:r>
    </w:p>
    <w:p w14:paraId="7DF17712">
      <w:pPr>
        <w:spacing w:line="500" w:lineRule="exact"/>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五、交货</w:t>
      </w:r>
    </w:p>
    <w:p w14:paraId="1D2CACB7">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1、风险负担：货物毁损、灭失的风险在该货物通过甲乙双方联合验收交付前由乙方承担，因质量问题甲方拒收的，风险由乙方承担。</w:t>
      </w:r>
    </w:p>
    <w:p w14:paraId="7F9B4F35">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2、交货时间：合同生效后于年月日以前交货。 </w:t>
      </w:r>
    </w:p>
    <w:p w14:paraId="08842DE0">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3、交货地点：</w:t>
      </w:r>
    </w:p>
    <w:p w14:paraId="2147BD4E">
      <w:pPr>
        <w:spacing w:line="500" w:lineRule="exact"/>
        <w:ind w:left="122" w:firstLine="482" w:firstLineChars="200"/>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六</w:t>
      </w:r>
      <w:r>
        <w:rPr>
          <w:b/>
          <w:color w:val="000000" w:themeColor="text1"/>
          <w:sz w:val="24"/>
          <w:szCs w:val="24"/>
          <w:highlight w:val="none"/>
          <w14:textFill>
            <w14:solidFill>
              <w14:schemeClr w14:val="tx1"/>
            </w14:solidFill>
          </w14:textFill>
        </w:rPr>
        <w:t>、质量</w:t>
      </w:r>
    </w:p>
    <w:p w14:paraId="4DD1BDFC">
      <w:pPr>
        <w:spacing w:line="500" w:lineRule="exact"/>
        <w:ind w:left="105"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货物的质量应符合招标文件、投标文件及乙方在开标过程中做出的书面澄清及承诺。</w:t>
      </w:r>
    </w:p>
    <w:p w14:paraId="47C359AE">
      <w:pPr>
        <w:spacing w:line="500" w:lineRule="exact"/>
        <w:ind w:left="105" w:firstLine="482" w:firstLineChars="200"/>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七</w:t>
      </w:r>
      <w:r>
        <w:rPr>
          <w:b/>
          <w:color w:val="000000" w:themeColor="text1"/>
          <w:sz w:val="24"/>
          <w:szCs w:val="24"/>
          <w:highlight w:val="none"/>
          <w14:textFill>
            <w14:solidFill>
              <w14:schemeClr w14:val="tx1"/>
            </w14:solidFill>
          </w14:textFill>
        </w:rPr>
        <w:t>、包装</w:t>
      </w:r>
    </w:p>
    <w:p w14:paraId="171E4221">
      <w:pPr>
        <w:spacing w:line="500" w:lineRule="exact"/>
        <w:ind w:left="105"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货物的包装应按照国家或业务主管部门的技术规定执行，国家或业务主管部门无技术规定的，应当按双方约定采取足以保护货物安全、完好的包装方式。</w:t>
      </w:r>
    </w:p>
    <w:p w14:paraId="4BF45A5B">
      <w:pPr>
        <w:spacing w:line="500" w:lineRule="exact"/>
        <w:ind w:left="105" w:firstLine="482" w:firstLineChars="200"/>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八</w:t>
      </w:r>
      <w:r>
        <w:rPr>
          <w:b/>
          <w:color w:val="000000" w:themeColor="text1"/>
          <w:sz w:val="24"/>
          <w:szCs w:val="24"/>
          <w:highlight w:val="none"/>
          <w14:textFill>
            <w14:solidFill>
              <w14:schemeClr w14:val="tx1"/>
            </w14:solidFill>
          </w14:textFill>
        </w:rPr>
        <w:t>、运输要求及报价范围</w:t>
      </w:r>
    </w:p>
    <w:p w14:paraId="77A37FBD">
      <w:pPr>
        <w:spacing w:line="500" w:lineRule="exact"/>
        <w:ind w:left="105"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1、运输及相关费用由乙方承担。</w:t>
      </w:r>
    </w:p>
    <w:p w14:paraId="0EA0CC6F">
      <w:pPr>
        <w:spacing w:line="500" w:lineRule="exact"/>
        <w:ind w:left="105"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2、报价应含运输装卸、售后服务等费用。</w:t>
      </w:r>
    </w:p>
    <w:p w14:paraId="0F09F68F">
      <w:pPr>
        <w:spacing w:line="500" w:lineRule="exact"/>
        <w:ind w:left="105" w:firstLine="482" w:firstLineChars="200"/>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九</w:t>
      </w:r>
      <w:r>
        <w:rPr>
          <w:b/>
          <w:color w:val="000000" w:themeColor="text1"/>
          <w:sz w:val="24"/>
          <w:szCs w:val="24"/>
          <w:highlight w:val="none"/>
          <w14:textFill>
            <w14:solidFill>
              <w14:schemeClr w14:val="tx1"/>
            </w14:solidFill>
          </w14:textFill>
        </w:rPr>
        <w:t>、知识产权</w:t>
      </w:r>
    </w:p>
    <w:p w14:paraId="2E0FABFF">
      <w:pPr>
        <w:spacing w:line="500" w:lineRule="exact"/>
        <w:ind w:left="105" w:right="-401" w:rightChars="-191"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乙方应保证甲方在中国境内使用货物或货物的任何一部分时，免受第三方提出的侵犯其知识产权的诉讼。如乙方由此为甲方所造成的一切损失由乙方承担。</w:t>
      </w:r>
    </w:p>
    <w:p w14:paraId="5810C3F6">
      <w:pPr>
        <w:spacing w:line="500" w:lineRule="exact"/>
        <w:ind w:left="105" w:right="-401" w:rightChars="-191"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十、验收</w:t>
      </w:r>
    </w:p>
    <w:p w14:paraId="6B04A7B5">
      <w:pPr>
        <w:spacing w:line="500" w:lineRule="exact"/>
        <w:ind w:left="105" w:right="-401" w:rightChars="-191"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1、对项目的质量问题，甲方应在发现之日起</w:t>
      </w:r>
      <w:r>
        <w:rPr>
          <w:color w:val="000000" w:themeColor="text1"/>
          <w:sz w:val="24"/>
          <w:szCs w:val="24"/>
          <w:highlight w:val="none"/>
          <w:u w:val="single"/>
          <w14:textFill>
            <w14:solidFill>
              <w14:schemeClr w14:val="tx1"/>
            </w14:solidFill>
          </w14:textFill>
        </w:rPr>
        <w:t>30</w:t>
      </w:r>
      <w:r>
        <w:rPr>
          <w:color w:val="000000" w:themeColor="text1"/>
          <w:sz w:val="24"/>
          <w:szCs w:val="24"/>
          <w:highlight w:val="none"/>
          <w14:textFill>
            <w14:solidFill>
              <w14:schemeClr w14:val="tx1"/>
            </w14:solidFill>
          </w14:textFill>
        </w:rPr>
        <w:t>日内向乙方提出书面异议，乙方在接到书面异议后，应当在日内负责处理。甲方逾期提出的，对所交货物视为符合合同的规定。如果乙方在投标文件及开标过程中做出的书面说明及承诺中，有明确质量保证期的，适用质量保证期。</w:t>
      </w:r>
    </w:p>
    <w:p w14:paraId="1E5C1EFB">
      <w:pPr>
        <w:spacing w:line="500" w:lineRule="exact"/>
        <w:ind w:left="105" w:right="-401" w:rightChars="-191"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2、该项目由甲乙双方及抽取专家共同验收，项目达不到质量或规格要求的，甲方可以拒收，并可以解除合同，造成的一切损失由乙方承担。</w:t>
      </w:r>
    </w:p>
    <w:p w14:paraId="04C917FE">
      <w:pPr>
        <w:spacing w:line="500" w:lineRule="exact"/>
        <w:ind w:left="105" w:right="-401" w:rightChars="-191"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十</w:t>
      </w:r>
      <w:r>
        <w:rPr>
          <w:rFonts w:hint="eastAsia"/>
          <w:b/>
          <w:color w:val="000000" w:themeColor="text1"/>
          <w:sz w:val="24"/>
          <w:szCs w:val="24"/>
          <w:highlight w:val="none"/>
          <w14:textFill>
            <w14:solidFill>
              <w14:schemeClr w14:val="tx1"/>
            </w14:solidFill>
          </w14:textFill>
        </w:rPr>
        <w:t>一</w:t>
      </w:r>
      <w:r>
        <w:rPr>
          <w:b/>
          <w:color w:val="000000" w:themeColor="text1"/>
          <w:sz w:val="24"/>
          <w:szCs w:val="24"/>
          <w:highlight w:val="none"/>
          <w14:textFill>
            <w14:solidFill>
              <w14:schemeClr w14:val="tx1"/>
            </w14:solidFill>
          </w14:textFill>
        </w:rPr>
        <w:t>、售后服务</w:t>
      </w:r>
    </w:p>
    <w:p w14:paraId="0DB20824">
      <w:pPr>
        <w:spacing w:line="500" w:lineRule="exact"/>
        <w:ind w:left="105" w:right="-401" w:rightChars="-191"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1、乙方应按招标文件、投标文件及乙方在开标过程中做出的书面说明或承诺提供及时、快速、优质的售后服务；</w:t>
      </w:r>
    </w:p>
    <w:p w14:paraId="34EE954F">
      <w:pPr>
        <w:spacing w:line="500" w:lineRule="exact"/>
        <w:ind w:firstLine="480" w:firstLineChars="200"/>
        <w:rPr>
          <w:color w:val="000000" w:themeColor="text1"/>
          <w:sz w:val="24"/>
          <w:szCs w:val="24"/>
          <w:highlight w:val="none"/>
          <w:u w:val="single"/>
          <w14:textFill>
            <w14:solidFill>
              <w14:schemeClr w14:val="tx1"/>
            </w14:solidFill>
          </w14:textFill>
        </w:rPr>
      </w:pPr>
      <w:r>
        <w:rPr>
          <w:color w:val="000000" w:themeColor="text1"/>
          <w:sz w:val="24"/>
          <w:szCs w:val="24"/>
          <w:highlight w:val="none"/>
          <w14:textFill>
            <w14:solidFill>
              <w14:schemeClr w14:val="tx1"/>
            </w14:solidFill>
          </w14:textFill>
        </w:rPr>
        <w:t>2、其它售后服务承诺：</w:t>
      </w:r>
      <w:r>
        <w:rPr>
          <w:color w:val="000000" w:themeColor="text1"/>
          <w:sz w:val="24"/>
          <w:szCs w:val="24"/>
          <w:highlight w:val="none"/>
          <w:u w:val="single"/>
          <w14:textFill>
            <w14:solidFill>
              <w14:schemeClr w14:val="tx1"/>
            </w14:solidFill>
          </w14:textFill>
        </w:rPr>
        <w:t>（填响应时间）。</w:t>
      </w:r>
    </w:p>
    <w:p w14:paraId="7C70DD06">
      <w:pPr>
        <w:spacing w:line="500" w:lineRule="exact"/>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十</w:t>
      </w:r>
      <w:r>
        <w:rPr>
          <w:rFonts w:hint="eastAsia"/>
          <w:b/>
          <w:color w:val="000000" w:themeColor="text1"/>
          <w:sz w:val="24"/>
          <w:szCs w:val="24"/>
          <w:highlight w:val="none"/>
          <w14:textFill>
            <w14:solidFill>
              <w14:schemeClr w14:val="tx1"/>
            </w14:solidFill>
          </w14:textFill>
        </w:rPr>
        <w:t>二</w:t>
      </w:r>
      <w:r>
        <w:rPr>
          <w:b/>
          <w:color w:val="000000" w:themeColor="text1"/>
          <w:sz w:val="24"/>
          <w:szCs w:val="24"/>
          <w:highlight w:val="none"/>
          <w14:textFill>
            <w14:solidFill>
              <w14:schemeClr w14:val="tx1"/>
            </w14:solidFill>
          </w14:textFill>
        </w:rPr>
        <w:t>、合同生效</w:t>
      </w:r>
    </w:p>
    <w:p w14:paraId="7BAE9979">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本合同为附条件生效合同，除甲乙双方签章，还应满足以下条件时合同生效：</w:t>
      </w:r>
    </w:p>
    <w:p w14:paraId="643ECDD3">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乙方应提交：代理服务费、验收费。</w:t>
      </w:r>
    </w:p>
    <w:p w14:paraId="60080F8A">
      <w:pPr>
        <w:spacing w:line="500" w:lineRule="exact"/>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十</w:t>
      </w:r>
      <w:r>
        <w:rPr>
          <w:rFonts w:hint="eastAsia"/>
          <w:b/>
          <w:color w:val="000000" w:themeColor="text1"/>
          <w:sz w:val="24"/>
          <w:szCs w:val="24"/>
          <w:highlight w:val="none"/>
          <w14:textFill>
            <w14:solidFill>
              <w14:schemeClr w14:val="tx1"/>
            </w14:solidFill>
          </w14:textFill>
        </w:rPr>
        <w:t>三</w:t>
      </w:r>
      <w:r>
        <w:rPr>
          <w:b/>
          <w:color w:val="000000" w:themeColor="text1"/>
          <w:sz w:val="24"/>
          <w:szCs w:val="24"/>
          <w:highlight w:val="none"/>
          <w14:textFill>
            <w14:solidFill>
              <w14:schemeClr w14:val="tx1"/>
            </w14:solidFill>
          </w14:textFill>
        </w:rPr>
        <w:t>、违约条款</w:t>
      </w:r>
    </w:p>
    <w:p w14:paraId="4A8F4999">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1、所供货物经验收达不到规定要求的甲方可拒付全部货款，为甲方造成损失的承担相应赔偿责任。</w:t>
      </w:r>
    </w:p>
    <w:p w14:paraId="1719941A">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2、甲方延迟验收货物，延迟验收期间发生的费用由甲方承担赔偿责任；</w:t>
      </w:r>
    </w:p>
    <w:p w14:paraId="162BB17C">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3、</w:t>
      </w:r>
      <w:r>
        <w:rPr>
          <w:color w:val="auto"/>
          <w:sz w:val="24"/>
          <w:szCs w:val="24"/>
          <w:highlight w:val="none"/>
        </w:rPr>
        <w:t>乙方延迟交付，每延迟1日，按应交付货物总额</w:t>
      </w:r>
      <w:r>
        <w:rPr>
          <w:rFonts w:hint="eastAsia"/>
          <w:color w:val="auto"/>
          <w:sz w:val="24"/>
          <w:szCs w:val="24"/>
          <w:highlight w:val="none"/>
          <w:u w:val="single"/>
          <w:lang w:val="en-US" w:eastAsia="zh-CN"/>
        </w:rPr>
        <w:t xml:space="preserve">      </w:t>
      </w:r>
      <w:r>
        <w:rPr>
          <w:color w:val="auto"/>
          <w:sz w:val="24"/>
          <w:szCs w:val="24"/>
          <w:highlight w:val="none"/>
        </w:rPr>
        <w:t>支付违约金</w:t>
      </w:r>
      <w:r>
        <w:rPr>
          <w:color w:val="000000" w:themeColor="text1"/>
          <w:sz w:val="24"/>
          <w:szCs w:val="24"/>
          <w:highlight w:val="none"/>
          <w14:textFill>
            <w14:solidFill>
              <w14:schemeClr w14:val="tx1"/>
            </w14:solidFill>
          </w14:textFill>
        </w:rPr>
        <w:t>；</w:t>
      </w:r>
    </w:p>
    <w:p w14:paraId="3E189DC8">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4、一方不按期履行合同，并经另一方提示后日内仍不履行合同的，经双方同意后，守约方有权解除合同，违约方要承担相应的赔偿责任；</w:t>
      </w:r>
    </w:p>
    <w:p w14:paraId="3C923C05">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5、如因一方违约，双方未能就赔偿损失达成协议，引起诉讼或仲裁时，违约方除应赔偿对方经济损失外，还应承担对方因诉讼或仲裁所支付的律师代理费等相关费用；</w:t>
      </w:r>
    </w:p>
    <w:p w14:paraId="06FA39E8">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6、其它应承担的违约责任，以《中华人民共和国</w:t>
      </w:r>
      <w:r>
        <w:rPr>
          <w:rFonts w:hint="eastAsia"/>
          <w:color w:val="000000" w:themeColor="text1"/>
          <w:sz w:val="24"/>
          <w:szCs w:val="24"/>
          <w:highlight w:val="none"/>
          <w:lang w:eastAsia="zh-CN"/>
          <w14:textFill>
            <w14:solidFill>
              <w14:schemeClr w14:val="tx1"/>
            </w14:solidFill>
          </w14:textFill>
        </w:rPr>
        <w:t>民法典</w:t>
      </w:r>
      <w:r>
        <w:rPr>
          <w:color w:val="000000" w:themeColor="text1"/>
          <w:sz w:val="24"/>
          <w:szCs w:val="24"/>
          <w:highlight w:val="none"/>
          <w14:textFill>
            <w14:solidFill>
              <w14:schemeClr w14:val="tx1"/>
            </w14:solidFill>
          </w14:textFill>
        </w:rPr>
        <w:t>》和其它有关法律、法规规定为准，无相关规定的，双方协商解决；</w:t>
      </w:r>
    </w:p>
    <w:p w14:paraId="5AFC0519">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7、按照本合同规定应该偿付的违约金、赔偿金等，应当在明确责任后日内，按银行规定或双方商定的结算办法付清，否则按逾期付款处理。</w:t>
      </w:r>
    </w:p>
    <w:p w14:paraId="2CB9B882">
      <w:pPr>
        <w:spacing w:line="500" w:lineRule="exact"/>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十</w:t>
      </w:r>
      <w:r>
        <w:rPr>
          <w:rFonts w:hint="eastAsia"/>
          <w:b/>
          <w:color w:val="000000" w:themeColor="text1"/>
          <w:sz w:val="24"/>
          <w:szCs w:val="24"/>
          <w:highlight w:val="none"/>
          <w14:textFill>
            <w14:solidFill>
              <w14:schemeClr w14:val="tx1"/>
            </w14:solidFill>
          </w14:textFill>
        </w:rPr>
        <w:t>四</w:t>
      </w:r>
      <w:r>
        <w:rPr>
          <w:b/>
          <w:color w:val="000000" w:themeColor="text1"/>
          <w:sz w:val="24"/>
          <w:szCs w:val="24"/>
          <w:highlight w:val="none"/>
          <w14:textFill>
            <w14:solidFill>
              <w14:schemeClr w14:val="tx1"/>
            </w14:solidFill>
          </w14:textFill>
        </w:rPr>
        <w:t>、不可抗力条款</w:t>
      </w:r>
    </w:p>
    <w:p w14:paraId="060820E0">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因不可抗力致使一方不能及时或完全履行合同的，应及时通知政府采购办公室及另一方，双方互不承担责任，并在天内提供有关不可抗力的相应证明。</w:t>
      </w:r>
    </w:p>
    <w:p w14:paraId="2695B8C6">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合同未履行部分是否继续履行、如何履行等问题，可由双方协商解决，并以书面形式报政府采购办公室审核后确定。</w:t>
      </w:r>
    </w:p>
    <w:p w14:paraId="4F77E00E">
      <w:pPr>
        <w:spacing w:line="500" w:lineRule="exact"/>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十</w:t>
      </w:r>
      <w:r>
        <w:rPr>
          <w:rFonts w:hint="eastAsia"/>
          <w:b/>
          <w:color w:val="000000" w:themeColor="text1"/>
          <w:sz w:val="24"/>
          <w:szCs w:val="24"/>
          <w:highlight w:val="none"/>
          <w14:textFill>
            <w14:solidFill>
              <w14:schemeClr w14:val="tx1"/>
            </w14:solidFill>
          </w14:textFill>
        </w:rPr>
        <w:t>五</w:t>
      </w:r>
      <w:r>
        <w:rPr>
          <w:b/>
          <w:color w:val="000000" w:themeColor="text1"/>
          <w:sz w:val="24"/>
          <w:szCs w:val="24"/>
          <w:highlight w:val="none"/>
          <w14:textFill>
            <w14:solidFill>
              <w14:schemeClr w14:val="tx1"/>
            </w14:solidFill>
          </w14:textFill>
        </w:rPr>
        <w:t>、争议的解决方式</w:t>
      </w:r>
    </w:p>
    <w:p w14:paraId="2F182A60">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合同发生纠纷时，双方应协商解决，协商不成可以采用下列方式解决：</w:t>
      </w:r>
    </w:p>
    <w:p w14:paraId="3E3F2FDC">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(1)提交</w:t>
      </w:r>
      <w:r>
        <w:rPr>
          <w:rFonts w:hint="eastAsia"/>
          <w:color w:val="000000" w:themeColor="text1"/>
          <w:sz w:val="24"/>
          <w:szCs w:val="24"/>
          <w:highlight w:val="none"/>
          <w:u w:val="single"/>
          <w:lang w:eastAsia="zh-CN"/>
          <w14:textFill>
            <w14:solidFill>
              <w14:schemeClr w14:val="tx1"/>
            </w14:solidFill>
          </w14:textFill>
        </w:rPr>
        <w:t>聊城</w:t>
      </w:r>
      <w:r>
        <w:rPr>
          <w:color w:val="000000" w:themeColor="text1"/>
          <w:sz w:val="24"/>
          <w:szCs w:val="24"/>
          <w:highlight w:val="none"/>
          <w14:textFill>
            <w14:solidFill>
              <w14:schemeClr w14:val="tx1"/>
            </w14:solidFill>
          </w14:textFill>
        </w:rPr>
        <w:t>仲裁委员会仲裁；</w:t>
      </w:r>
    </w:p>
    <w:p w14:paraId="13FFC344">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(2)向</w:t>
      </w:r>
      <w:r>
        <w:rPr>
          <w:rFonts w:hint="eastAsia"/>
          <w:color w:val="000000" w:themeColor="text1"/>
          <w:sz w:val="24"/>
          <w:szCs w:val="24"/>
          <w:highlight w:val="none"/>
          <w:u w:val="single"/>
          <w:lang w:eastAsia="zh-CN"/>
          <w14:textFill>
            <w14:solidFill>
              <w14:schemeClr w14:val="tx1"/>
            </w14:solidFill>
          </w14:textFill>
        </w:rPr>
        <w:t>项目所在地</w:t>
      </w:r>
      <w:r>
        <w:rPr>
          <w:color w:val="000000" w:themeColor="text1"/>
          <w:sz w:val="24"/>
          <w:szCs w:val="24"/>
          <w:highlight w:val="none"/>
          <w14:textFill>
            <w14:solidFill>
              <w14:schemeClr w14:val="tx1"/>
            </w14:solidFill>
          </w14:textFill>
        </w:rPr>
        <w:t>人民法院起诉。</w:t>
      </w:r>
    </w:p>
    <w:p w14:paraId="418D5FD1">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本合同发生纠纷，经双方协商不能解决时，采用第</w:t>
      </w:r>
      <w:r>
        <w:rPr>
          <w:color w:val="000000" w:themeColor="text1"/>
          <w:sz w:val="24"/>
          <w:szCs w:val="24"/>
          <w:highlight w:val="none"/>
          <w:u w:val="single"/>
          <w14:textFill>
            <w14:solidFill>
              <w14:schemeClr w14:val="tx1"/>
            </w14:solidFill>
          </w14:textFill>
        </w:rPr>
        <w:t xml:space="preserve"> （1） </w:t>
      </w:r>
      <w:r>
        <w:rPr>
          <w:color w:val="000000" w:themeColor="text1"/>
          <w:sz w:val="24"/>
          <w:szCs w:val="24"/>
          <w:highlight w:val="none"/>
          <w14:textFill>
            <w14:solidFill>
              <w14:schemeClr w14:val="tx1"/>
            </w14:solidFill>
          </w14:textFill>
        </w:rPr>
        <w:t>种方式予以解决。</w:t>
      </w:r>
    </w:p>
    <w:p w14:paraId="4D5F4FC7">
      <w:pPr>
        <w:spacing w:line="500" w:lineRule="exact"/>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十</w:t>
      </w:r>
      <w:r>
        <w:rPr>
          <w:rFonts w:hint="eastAsia"/>
          <w:b/>
          <w:color w:val="000000" w:themeColor="text1"/>
          <w:sz w:val="24"/>
          <w:szCs w:val="24"/>
          <w:highlight w:val="none"/>
          <w14:textFill>
            <w14:solidFill>
              <w14:schemeClr w14:val="tx1"/>
            </w14:solidFill>
          </w14:textFill>
        </w:rPr>
        <w:t>六</w:t>
      </w:r>
      <w:r>
        <w:rPr>
          <w:b/>
          <w:color w:val="000000" w:themeColor="text1"/>
          <w:sz w:val="24"/>
          <w:szCs w:val="24"/>
          <w:highlight w:val="none"/>
          <w14:textFill>
            <w14:solidFill>
              <w14:schemeClr w14:val="tx1"/>
            </w14:solidFill>
          </w14:textFill>
        </w:rPr>
        <w:t>、补充协议</w:t>
      </w:r>
    </w:p>
    <w:p w14:paraId="7CEC5C87">
      <w:pPr>
        <w:spacing w:line="500" w:lineRule="exact"/>
        <w:ind w:firstLine="480" w:firstLineChars="20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合同未尽事宜，经双方协商可签订补充协议，所签订的补充协议与本合同具有同等的法律效力，补充协议的生效应符合本合同第十二条的规定。</w:t>
      </w:r>
    </w:p>
    <w:p w14:paraId="74FB8069">
      <w:pPr>
        <w:spacing w:line="500" w:lineRule="exact"/>
        <w:ind w:firstLine="482" w:firstLineChars="200"/>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十</w:t>
      </w:r>
      <w:r>
        <w:rPr>
          <w:rFonts w:hint="eastAsia"/>
          <w:b/>
          <w:color w:val="000000" w:themeColor="text1"/>
          <w:sz w:val="24"/>
          <w:szCs w:val="24"/>
          <w:highlight w:val="none"/>
          <w14:textFill>
            <w14:solidFill>
              <w14:schemeClr w14:val="tx1"/>
            </w14:solidFill>
          </w14:textFill>
        </w:rPr>
        <w:t>七</w:t>
      </w:r>
      <w:r>
        <w:rPr>
          <w:b/>
          <w:color w:val="000000" w:themeColor="text1"/>
          <w:sz w:val="24"/>
          <w:szCs w:val="24"/>
          <w:highlight w:val="none"/>
          <w14:textFill>
            <w14:solidFill>
              <w14:schemeClr w14:val="tx1"/>
            </w14:solidFill>
          </w14:textFill>
        </w:rPr>
        <w:t>、合同保存</w:t>
      </w:r>
    </w:p>
    <w:p w14:paraId="2322CB54">
      <w:pPr>
        <w:pStyle w:val="495"/>
        <w:tabs>
          <w:tab w:val="left" w:pos="5040"/>
          <w:tab w:val="left" w:pos="5220"/>
          <w:tab w:val="left" w:pos="9000"/>
        </w:tabs>
        <w:spacing w:before="0" w:after="0" w:line="360" w:lineRule="auto"/>
        <w:ind w:left="0" w:leftChars="0" w:right="-22" w:rightChars="0" w:firstLine="420" w:firstLineChars="175"/>
        <w:jc w:val="left"/>
        <w:rPr>
          <w:rFonts w:hint="eastAsia" w:ascii="宋体" w:hAnsi="宋体" w:eastAsia="宋体" w:cs="宋体"/>
          <w:bCs/>
          <w:szCs w:val="24"/>
          <w:highlight w:val="none"/>
          <w:lang w:eastAsia="zh-CN"/>
        </w:rPr>
      </w:pPr>
      <w:r>
        <w:rPr>
          <w:color w:val="000000" w:themeColor="text1"/>
          <w:kern w:val="0"/>
          <w:sz w:val="24"/>
          <w:szCs w:val="24"/>
          <w:highlight w:val="none"/>
          <w14:textFill>
            <w14:solidFill>
              <w14:schemeClr w14:val="tx1"/>
            </w14:solidFill>
          </w14:textFill>
        </w:rPr>
        <w:t>3</w:t>
      </w:r>
      <w:r>
        <w:rPr>
          <w:rFonts w:ascii="宋体" w:hAnsi="宋体" w:cs="宋体"/>
          <w:color w:val="000000" w:themeColor="text1"/>
          <w:kern w:val="0"/>
          <w:sz w:val="24"/>
          <w:szCs w:val="24"/>
          <w:highlight w:val="none"/>
          <w14:textFill>
            <w14:solidFill>
              <w14:schemeClr w14:val="tx1"/>
            </w14:solidFill>
          </w14:textFill>
        </w:rPr>
        <w:t>、</w:t>
      </w:r>
      <w:r>
        <w:rPr>
          <w:rFonts w:hint="eastAsia" w:ascii="宋体" w:cs="宋体"/>
          <w:color w:val="000000" w:themeColor="text1"/>
          <w:kern w:val="0"/>
          <w:sz w:val="24"/>
          <w:szCs w:val="24"/>
          <w:highlight w:val="none"/>
          <w14:textFill>
            <w14:solidFill>
              <w14:schemeClr w14:val="tx1"/>
            </w14:solidFill>
          </w14:textFill>
        </w:rPr>
        <w:t>本合同一式份，甲方</w:t>
      </w:r>
      <w:r>
        <w:rPr>
          <w:rFonts w:hint="eastAsia" w:ascii="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cs="宋体"/>
          <w:color w:val="000000" w:themeColor="text1"/>
          <w:kern w:val="0"/>
          <w:sz w:val="24"/>
          <w:szCs w:val="24"/>
          <w:highlight w:val="none"/>
          <w14:textFill>
            <w14:solidFill>
              <w14:schemeClr w14:val="tx1"/>
            </w14:solidFill>
          </w14:textFill>
        </w:rPr>
        <w:t>份，乙方</w:t>
      </w:r>
      <w:r>
        <w:rPr>
          <w:rFonts w:hint="eastAsia" w:ascii="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cs="宋体"/>
          <w:color w:val="000000" w:themeColor="text1"/>
          <w:kern w:val="0"/>
          <w:sz w:val="24"/>
          <w:szCs w:val="24"/>
          <w:highlight w:val="none"/>
          <w14:textFill>
            <w14:solidFill>
              <w14:schemeClr w14:val="tx1"/>
            </w14:solidFill>
          </w14:textFill>
        </w:rPr>
        <w:t>份，</w:t>
      </w:r>
      <w:r>
        <w:rPr>
          <w:rFonts w:hint="eastAsia" w:ascii="宋体" w:cs="宋体"/>
          <w:color w:val="000000" w:themeColor="text1"/>
          <w:kern w:val="0"/>
          <w:sz w:val="24"/>
          <w:szCs w:val="24"/>
          <w:highlight w:val="none"/>
          <w:lang w:eastAsia="zh-CN"/>
          <w14:textFill>
            <w14:solidFill>
              <w14:schemeClr w14:val="tx1"/>
            </w14:solidFill>
          </w14:textFill>
        </w:rPr>
        <w:t>招标代理机构</w:t>
      </w:r>
      <w:r>
        <w:rPr>
          <w:rFonts w:hint="eastAsia" w:ascii="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cs="宋体"/>
          <w:color w:val="000000" w:themeColor="text1"/>
          <w:kern w:val="0"/>
          <w:sz w:val="24"/>
          <w:szCs w:val="24"/>
          <w:highlight w:val="none"/>
          <w14:textFill>
            <w14:solidFill>
              <w14:schemeClr w14:val="tx1"/>
            </w14:solidFill>
          </w14:textFill>
        </w:rPr>
        <w:t>份</w:t>
      </w:r>
      <w:r>
        <w:rPr>
          <w:rFonts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sz w:val="24"/>
          <w:highlight w:val="none"/>
        </w:rPr>
        <w:t>备案</w:t>
      </w:r>
      <w:r>
        <w:rPr>
          <w:rFonts w:hint="eastAsia" w:ascii="宋体" w:hAnsi="宋体" w:cs="宋体"/>
          <w:sz w:val="24"/>
          <w:highlight w:val="none"/>
          <w:lang w:eastAsia="zh-CN"/>
        </w:rPr>
        <w:t>方</w:t>
      </w:r>
      <w:r>
        <w:rPr>
          <w:rFonts w:hint="eastAsia" w:ascii="宋体" w:hAnsi="宋体" w:cs="宋体"/>
          <w:sz w:val="24"/>
          <w:highlight w:val="none"/>
          <w:u w:val="single"/>
          <w:lang w:eastAsia="zh-CN"/>
        </w:rPr>
        <w:t>贰</w:t>
      </w:r>
      <w:r>
        <w:rPr>
          <w:rFonts w:hint="eastAsia" w:ascii="宋体" w:hAnsi="宋体" w:cs="宋体"/>
          <w:sz w:val="24"/>
          <w:highlight w:val="none"/>
        </w:rPr>
        <w:t>份。</w:t>
      </w:r>
    </w:p>
    <w:p w14:paraId="1C26B82D">
      <w:pPr>
        <w:pStyle w:val="495"/>
        <w:tabs>
          <w:tab w:val="left" w:pos="5040"/>
          <w:tab w:val="left" w:pos="5220"/>
          <w:tab w:val="left" w:pos="9000"/>
        </w:tabs>
        <w:spacing w:before="0" w:after="0" w:line="520" w:lineRule="exact"/>
        <w:ind w:right="-360"/>
        <w:rPr>
          <w:rFonts w:hAnsi="宋体"/>
          <w:bCs/>
          <w:color w:val="000000" w:themeColor="text1"/>
          <w:szCs w:val="24"/>
          <w:highlight w:val="none"/>
          <w14:textFill>
            <w14:solidFill>
              <w14:schemeClr w14:val="tx1"/>
            </w14:solidFill>
          </w14:textFill>
        </w:rPr>
      </w:pPr>
    </w:p>
    <w:p w14:paraId="0179CA6C">
      <w:pPr>
        <w:pStyle w:val="495"/>
        <w:tabs>
          <w:tab w:val="left" w:pos="5040"/>
          <w:tab w:val="left" w:pos="5220"/>
          <w:tab w:val="left" w:pos="9000"/>
        </w:tabs>
        <w:spacing w:before="0" w:after="0" w:line="520" w:lineRule="exact"/>
        <w:ind w:right="-360"/>
        <w:rPr>
          <w:rFonts w:hAnsi="宋体"/>
          <w:bCs/>
          <w:color w:val="000000" w:themeColor="text1"/>
          <w:szCs w:val="24"/>
          <w:highlight w:val="none"/>
          <w14:textFill>
            <w14:solidFill>
              <w14:schemeClr w14:val="tx1"/>
            </w14:solidFill>
          </w14:textFill>
        </w:rPr>
      </w:pPr>
    </w:p>
    <w:p w14:paraId="2DA26316">
      <w:pPr>
        <w:pStyle w:val="495"/>
        <w:tabs>
          <w:tab w:val="left" w:pos="5040"/>
          <w:tab w:val="left" w:pos="5220"/>
          <w:tab w:val="left" w:pos="9000"/>
        </w:tabs>
        <w:spacing w:before="0" w:after="0" w:line="520" w:lineRule="exact"/>
        <w:ind w:right="-360"/>
        <w:rPr>
          <w:rFonts w:hAnsi="宋体"/>
          <w:bCs/>
          <w:color w:val="000000" w:themeColor="text1"/>
          <w:szCs w:val="24"/>
          <w:highlight w:val="none"/>
          <w14:textFill>
            <w14:solidFill>
              <w14:schemeClr w14:val="tx1"/>
            </w14:solidFill>
          </w14:textFill>
        </w:rPr>
      </w:pPr>
    </w:p>
    <w:p w14:paraId="25616861">
      <w:pPr>
        <w:pStyle w:val="495"/>
        <w:tabs>
          <w:tab w:val="left" w:pos="5040"/>
          <w:tab w:val="left" w:pos="5220"/>
          <w:tab w:val="left" w:pos="9000"/>
        </w:tabs>
        <w:spacing w:before="0" w:after="0" w:line="520" w:lineRule="exact"/>
        <w:ind w:right="-360"/>
        <w:rPr>
          <w:rFonts w:hint="eastAsia" w:hAnsi="宋体" w:eastAsia="宋体"/>
          <w:bCs/>
          <w:color w:val="000000" w:themeColor="text1"/>
          <w:szCs w:val="24"/>
          <w:highlight w:val="none"/>
          <w:lang w:eastAsia="zh-CN"/>
          <w14:textFill>
            <w14:solidFill>
              <w14:schemeClr w14:val="tx1"/>
            </w14:solidFill>
          </w14:textFill>
        </w:rPr>
      </w:pPr>
      <w:r>
        <w:rPr>
          <w:rFonts w:hint="eastAsia" w:hAnsi="宋体"/>
          <w:bCs/>
          <w:color w:val="000000" w:themeColor="text1"/>
          <w:szCs w:val="24"/>
          <w:highlight w:val="none"/>
          <w14:textFill>
            <w14:solidFill>
              <w14:schemeClr w14:val="tx1"/>
            </w14:solidFill>
          </w14:textFill>
        </w:rPr>
        <w:t>甲方</w:t>
      </w:r>
      <w:r>
        <w:rPr>
          <w:rFonts w:hAnsi="宋体"/>
          <w:bCs/>
          <w:color w:val="000000" w:themeColor="text1"/>
          <w:szCs w:val="24"/>
          <w:highlight w:val="none"/>
          <w14:textFill>
            <w14:solidFill>
              <w14:schemeClr w14:val="tx1"/>
            </w14:solidFill>
          </w14:textFill>
        </w:rPr>
        <w:t>（盖章）：　　　　</w:t>
      </w:r>
      <w:r>
        <w:rPr>
          <w:rFonts w:hint="eastAsia" w:hAnsi="宋体"/>
          <w:bCs/>
          <w:color w:val="000000" w:themeColor="text1"/>
          <w:szCs w:val="24"/>
          <w:highlight w:val="none"/>
          <w:lang w:val="en-US" w:eastAsia="zh-CN"/>
          <w14:textFill>
            <w14:solidFill>
              <w14:schemeClr w14:val="tx1"/>
            </w14:solidFill>
          </w14:textFill>
        </w:rPr>
        <w:t xml:space="preserve">                    </w:t>
      </w:r>
      <w:r>
        <w:rPr>
          <w:rFonts w:hint="eastAsia" w:hAnsi="宋体"/>
          <w:bCs/>
          <w:color w:val="000000" w:themeColor="text1"/>
          <w:szCs w:val="24"/>
          <w:highlight w:val="none"/>
          <w14:textFill>
            <w14:solidFill>
              <w14:schemeClr w14:val="tx1"/>
            </w14:solidFill>
          </w14:textFill>
        </w:rPr>
        <w:t>乙方</w:t>
      </w:r>
      <w:r>
        <w:rPr>
          <w:rFonts w:hAnsi="宋体"/>
          <w:bCs/>
          <w:color w:val="000000" w:themeColor="text1"/>
          <w:szCs w:val="24"/>
          <w:highlight w:val="none"/>
          <w14:textFill>
            <w14:solidFill>
              <w14:schemeClr w14:val="tx1"/>
            </w14:solidFill>
          </w14:textFill>
        </w:rPr>
        <w:t>（盖章）：</w:t>
      </w:r>
    </w:p>
    <w:p w14:paraId="7692842F">
      <w:pPr>
        <w:pStyle w:val="495"/>
        <w:tabs>
          <w:tab w:val="left" w:pos="5040"/>
          <w:tab w:val="left" w:pos="5220"/>
          <w:tab w:val="left" w:pos="9000"/>
        </w:tabs>
        <w:spacing w:before="0" w:after="0" w:line="520" w:lineRule="exact"/>
        <w:ind w:right="-360"/>
        <w:rPr>
          <w:rFonts w:hint="eastAsia" w:hAnsi="宋体" w:eastAsia="宋体"/>
          <w:bCs/>
          <w:color w:val="000000" w:themeColor="text1"/>
          <w:szCs w:val="24"/>
          <w:highlight w:val="none"/>
          <w:lang w:eastAsia="zh-CN"/>
          <w14:textFill>
            <w14:solidFill>
              <w14:schemeClr w14:val="tx1"/>
            </w14:solidFill>
          </w14:textFill>
        </w:rPr>
      </w:pPr>
      <w:r>
        <w:rPr>
          <w:rFonts w:hAnsi="宋体"/>
          <w:bCs/>
          <w:color w:val="000000" w:themeColor="text1"/>
          <w:szCs w:val="24"/>
          <w:highlight w:val="none"/>
          <w14:textFill>
            <w14:solidFill>
              <w14:schemeClr w14:val="tx1"/>
            </w14:solidFill>
          </w14:textFill>
        </w:rPr>
        <w:t>法定代表人</w:t>
      </w:r>
      <w:r>
        <w:rPr>
          <w:rFonts w:hint="eastAsia" w:hAnsi="宋体"/>
          <w:bCs/>
          <w:color w:val="000000" w:themeColor="text1"/>
          <w:szCs w:val="24"/>
          <w:highlight w:val="none"/>
          <w:lang w:eastAsia="zh-CN"/>
          <w14:textFill>
            <w14:solidFill>
              <w14:schemeClr w14:val="tx1"/>
            </w14:solidFill>
          </w14:textFill>
        </w:rPr>
        <w:t>或</w:t>
      </w:r>
      <w:r>
        <w:rPr>
          <w:rFonts w:hint="eastAsia"/>
          <w:bCs/>
          <w:color w:val="000000" w:themeColor="text1"/>
          <w:szCs w:val="24"/>
          <w:highlight w:val="none"/>
          <w14:textFill>
            <w14:solidFill>
              <w14:schemeClr w14:val="tx1"/>
            </w14:solidFill>
          </w14:textFill>
        </w:rPr>
        <w:t>全权代表</w:t>
      </w:r>
      <w:r>
        <w:rPr>
          <w:rFonts w:hint="eastAsia"/>
          <w:bCs/>
          <w:color w:val="000000" w:themeColor="text1"/>
          <w:szCs w:val="24"/>
          <w:highlight w:val="none"/>
          <w:lang w:eastAsia="zh-CN"/>
          <w14:textFill>
            <w14:solidFill>
              <w14:schemeClr w14:val="tx1"/>
            </w14:solidFill>
          </w14:textFill>
        </w:rPr>
        <w:t>（签字或盖章）</w:t>
      </w:r>
      <w:r>
        <w:rPr>
          <w:rFonts w:hAnsi="宋体"/>
          <w:bCs/>
          <w:color w:val="000000" w:themeColor="text1"/>
          <w:szCs w:val="24"/>
          <w:highlight w:val="none"/>
          <w14:textFill>
            <w14:solidFill>
              <w14:schemeClr w14:val="tx1"/>
            </w14:solidFill>
          </w14:textFill>
        </w:rPr>
        <w:t>：　　　法定代表人</w:t>
      </w:r>
      <w:r>
        <w:rPr>
          <w:rFonts w:hint="eastAsia" w:hAnsi="宋体"/>
          <w:bCs/>
          <w:color w:val="000000" w:themeColor="text1"/>
          <w:szCs w:val="24"/>
          <w:highlight w:val="none"/>
          <w:lang w:eastAsia="zh-CN"/>
          <w14:textFill>
            <w14:solidFill>
              <w14:schemeClr w14:val="tx1"/>
            </w14:solidFill>
          </w14:textFill>
        </w:rPr>
        <w:t>或</w:t>
      </w:r>
      <w:r>
        <w:rPr>
          <w:rFonts w:hint="eastAsia"/>
          <w:bCs/>
          <w:color w:val="000000" w:themeColor="text1"/>
          <w:szCs w:val="24"/>
          <w:highlight w:val="none"/>
          <w14:textFill>
            <w14:solidFill>
              <w14:schemeClr w14:val="tx1"/>
            </w14:solidFill>
          </w14:textFill>
        </w:rPr>
        <w:t>全权代表</w:t>
      </w:r>
      <w:r>
        <w:rPr>
          <w:rFonts w:hint="eastAsia"/>
          <w:bCs/>
          <w:color w:val="000000" w:themeColor="text1"/>
          <w:szCs w:val="24"/>
          <w:highlight w:val="none"/>
          <w:lang w:eastAsia="zh-CN"/>
          <w14:textFill>
            <w14:solidFill>
              <w14:schemeClr w14:val="tx1"/>
            </w14:solidFill>
          </w14:textFill>
        </w:rPr>
        <w:t>（签字或盖章）</w:t>
      </w:r>
      <w:r>
        <w:rPr>
          <w:rFonts w:hAnsi="宋体"/>
          <w:bCs/>
          <w:color w:val="000000" w:themeColor="text1"/>
          <w:szCs w:val="24"/>
          <w:highlight w:val="none"/>
          <w14:textFill>
            <w14:solidFill>
              <w14:schemeClr w14:val="tx1"/>
            </w14:solidFill>
          </w14:textFill>
        </w:rPr>
        <w:t>：</w:t>
      </w:r>
    </w:p>
    <w:p w14:paraId="4B914E5E">
      <w:pPr>
        <w:pStyle w:val="495"/>
        <w:tabs>
          <w:tab w:val="left" w:pos="5040"/>
          <w:tab w:val="left" w:pos="5220"/>
          <w:tab w:val="left" w:pos="9000"/>
        </w:tabs>
        <w:spacing w:before="0" w:after="0" w:line="520" w:lineRule="exact"/>
        <w:ind w:right="-360"/>
        <w:rPr>
          <w:rFonts w:hint="eastAsia" w:hAnsi="宋体" w:eastAsia="宋体"/>
          <w:bCs/>
          <w:color w:val="000000" w:themeColor="text1"/>
          <w:szCs w:val="24"/>
          <w:highlight w:val="none"/>
          <w:lang w:eastAsia="zh-CN"/>
          <w14:textFill>
            <w14:solidFill>
              <w14:schemeClr w14:val="tx1"/>
            </w14:solidFill>
          </w14:textFill>
        </w:rPr>
      </w:pPr>
      <w:r>
        <w:rPr>
          <w:rFonts w:hAnsi="宋体"/>
          <w:bCs/>
          <w:color w:val="000000" w:themeColor="text1"/>
          <w:szCs w:val="24"/>
          <w:highlight w:val="none"/>
          <w14:textFill>
            <w14:solidFill>
              <w14:schemeClr w14:val="tx1"/>
            </w14:solidFill>
          </w14:textFill>
        </w:rPr>
        <w:t>　　　　　　　　　　　</w:t>
      </w:r>
      <w:r>
        <w:rPr>
          <w:rFonts w:hint="eastAsia" w:hAnsi="宋体"/>
          <w:bCs/>
          <w:color w:val="000000" w:themeColor="text1"/>
          <w:szCs w:val="24"/>
          <w:highlight w:val="none"/>
          <w:lang w:val="en-US" w:eastAsia="zh-CN"/>
          <w14:textFill>
            <w14:solidFill>
              <w14:schemeClr w14:val="tx1"/>
            </w14:solidFill>
          </w14:textFill>
        </w:rPr>
        <w:t xml:space="preserve">                 </w:t>
      </w:r>
      <w:r>
        <w:rPr>
          <w:rFonts w:hAnsi="宋体"/>
          <w:bCs/>
          <w:color w:val="000000" w:themeColor="text1"/>
          <w:szCs w:val="24"/>
          <w:highlight w:val="none"/>
          <w14:textFill>
            <w14:solidFill>
              <w14:schemeClr w14:val="tx1"/>
            </w14:solidFill>
          </w14:textFill>
        </w:rPr>
        <w:t>　</w:t>
      </w:r>
      <w:r>
        <w:rPr>
          <w:rFonts w:hint="eastAsia" w:hAnsi="宋体"/>
          <w:bCs/>
          <w:color w:val="000000" w:themeColor="text1"/>
          <w:szCs w:val="24"/>
          <w:highlight w:val="none"/>
          <w:lang w:val="en-US" w:eastAsia="zh-CN"/>
          <w14:textFill>
            <w14:solidFill>
              <w14:schemeClr w14:val="tx1"/>
            </w14:solidFill>
          </w14:textFill>
        </w:rPr>
        <w:t xml:space="preserve"> </w:t>
      </w:r>
      <w:r>
        <w:rPr>
          <w:rFonts w:hAnsi="宋体"/>
          <w:bCs/>
          <w:color w:val="000000" w:themeColor="text1"/>
          <w:szCs w:val="24"/>
          <w:highlight w:val="none"/>
          <w14:textFill>
            <w14:solidFill>
              <w14:schemeClr w14:val="tx1"/>
            </w14:solidFill>
          </w14:textFill>
        </w:rPr>
        <w:t>单位地址：</w:t>
      </w:r>
    </w:p>
    <w:p w14:paraId="38549032">
      <w:pPr>
        <w:pStyle w:val="495"/>
        <w:tabs>
          <w:tab w:val="left" w:pos="5040"/>
          <w:tab w:val="left" w:pos="5220"/>
          <w:tab w:val="left" w:pos="9000"/>
        </w:tabs>
        <w:spacing w:before="0" w:after="0" w:line="520" w:lineRule="exact"/>
        <w:ind w:right="-360"/>
        <w:rPr>
          <w:rFonts w:hint="eastAsia" w:hAnsi="宋体" w:eastAsia="宋体"/>
          <w:bCs/>
          <w:color w:val="000000" w:themeColor="text1"/>
          <w:szCs w:val="24"/>
          <w:highlight w:val="none"/>
          <w:lang w:eastAsia="zh-CN"/>
          <w14:textFill>
            <w14:solidFill>
              <w14:schemeClr w14:val="tx1"/>
            </w14:solidFill>
          </w14:textFill>
        </w:rPr>
      </w:pPr>
      <w:r>
        <w:rPr>
          <w:rFonts w:hAnsi="宋体"/>
          <w:bCs/>
          <w:color w:val="000000" w:themeColor="text1"/>
          <w:szCs w:val="24"/>
          <w:highlight w:val="none"/>
          <w14:textFill>
            <w14:solidFill>
              <w14:schemeClr w14:val="tx1"/>
            </w14:solidFill>
          </w14:textFill>
        </w:rPr>
        <w:t>　　　　　　　　　　　　</w:t>
      </w:r>
      <w:r>
        <w:rPr>
          <w:rFonts w:hint="eastAsia" w:hAnsi="宋体"/>
          <w:bCs/>
          <w:color w:val="000000" w:themeColor="text1"/>
          <w:szCs w:val="24"/>
          <w:highlight w:val="none"/>
          <w:lang w:val="en-US" w:eastAsia="zh-CN"/>
          <w14:textFill>
            <w14:solidFill>
              <w14:schemeClr w14:val="tx1"/>
            </w14:solidFill>
          </w14:textFill>
        </w:rPr>
        <w:t xml:space="preserve">                </w:t>
      </w:r>
      <w:r>
        <w:rPr>
          <w:rFonts w:hAnsi="宋体"/>
          <w:bCs/>
          <w:color w:val="000000" w:themeColor="text1"/>
          <w:szCs w:val="24"/>
          <w:highlight w:val="none"/>
          <w14:textFill>
            <w14:solidFill>
              <w14:schemeClr w14:val="tx1"/>
            </w14:solidFill>
          </w14:textFill>
        </w:rPr>
        <w:t>　电话：</w:t>
      </w:r>
    </w:p>
    <w:p w14:paraId="30A6AD89">
      <w:pPr>
        <w:pStyle w:val="495"/>
        <w:tabs>
          <w:tab w:val="left" w:pos="5040"/>
          <w:tab w:val="left" w:pos="5220"/>
          <w:tab w:val="left" w:pos="9000"/>
        </w:tabs>
        <w:spacing w:before="0" w:after="0" w:line="520" w:lineRule="exact"/>
        <w:ind w:right="-360"/>
        <w:rPr>
          <w:rFonts w:hint="eastAsia" w:hAnsi="宋体" w:eastAsia="宋体"/>
          <w:bCs/>
          <w:color w:val="000000" w:themeColor="text1"/>
          <w:szCs w:val="24"/>
          <w:highlight w:val="none"/>
          <w:lang w:eastAsia="zh-CN"/>
          <w14:textFill>
            <w14:solidFill>
              <w14:schemeClr w14:val="tx1"/>
            </w14:solidFill>
          </w14:textFill>
        </w:rPr>
      </w:pPr>
      <w:r>
        <w:rPr>
          <w:rFonts w:hAnsi="宋体"/>
          <w:bCs/>
          <w:color w:val="000000" w:themeColor="text1"/>
          <w:szCs w:val="24"/>
          <w:highlight w:val="none"/>
          <w14:textFill>
            <w14:solidFill>
              <w14:schemeClr w14:val="tx1"/>
            </w14:solidFill>
          </w14:textFill>
        </w:rPr>
        <w:t>　　　　　　　　　　</w:t>
      </w:r>
      <w:r>
        <w:rPr>
          <w:rFonts w:hint="eastAsia" w:hAnsi="宋体"/>
          <w:bCs/>
          <w:color w:val="000000" w:themeColor="text1"/>
          <w:szCs w:val="24"/>
          <w:highlight w:val="none"/>
          <w:lang w:val="en-US" w:eastAsia="zh-CN"/>
          <w14:textFill>
            <w14:solidFill>
              <w14:schemeClr w14:val="tx1"/>
            </w14:solidFill>
          </w14:textFill>
        </w:rPr>
        <w:t xml:space="preserve">           </w:t>
      </w:r>
      <w:r>
        <w:rPr>
          <w:rFonts w:hAnsi="宋体"/>
          <w:bCs/>
          <w:color w:val="000000" w:themeColor="text1"/>
          <w:szCs w:val="24"/>
          <w:highlight w:val="none"/>
          <w14:textFill>
            <w14:solidFill>
              <w14:schemeClr w14:val="tx1"/>
            </w14:solidFill>
          </w14:textFill>
        </w:rPr>
        <w:t>　</w:t>
      </w:r>
      <w:r>
        <w:rPr>
          <w:rFonts w:hint="eastAsia" w:hAnsi="宋体"/>
          <w:bCs/>
          <w:color w:val="000000" w:themeColor="text1"/>
          <w:szCs w:val="24"/>
          <w:highlight w:val="none"/>
          <w:lang w:val="en-US" w:eastAsia="zh-CN"/>
          <w14:textFill>
            <w14:solidFill>
              <w14:schemeClr w14:val="tx1"/>
            </w14:solidFill>
          </w14:textFill>
        </w:rPr>
        <w:t xml:space="preserve">    </w:t>
      </w:r>
      <w:r>
        <w:rPr>
          <w:rFonts w:hAnsi="宋体"/>
          <w:bCs/>
          <w:color w:val="000000" w:themeColor="text1"/>
          <w:szCs w:val="24"/>
          <w:highlight w:val="none"/>
          <w14:textFill>
            <w14:solidFill>
              <w14:schemeClr w14:val="tx1"/>
            </w14:solidFill>
          </w14:textFill>
        </w:rPr>
        <w:t>　</w:t>
      </w:r>
      <w:r>
        <w:rPr>
          <w:rFonts w:hint="eastAsia" w:hAnsi="宋体"/>
          <w:bCs/>
          <w:color w:val="000000" w:themeColor="text1"/>
          <w:szCs w:val="24"/>
          <w:highlight w:val="none"/>
          <w:lang w:val="en-US" w:eastAsia="zh-CN"/>
          <w14:textFill>
            <w14:solidFill>
              <w14:schemeClr w14:val="tx1"/>
            </w14:solidFill>
          </w14:textFill>
        </w:rPr>
        <w:t xml:space="preserve"> </w:t>
      </w:r>
      <w:r>
        <w:rPr>
          <w:rFonts w:hAnsi="宋体"/>
          <w:bCs/>
          <w:color w:val="000000" w:themeColor="text1"/>
          <w:szCs w:val="24"/>
          <w:highlight w:val="none"/>
          <w14:textFill>
            <w14:solidFill>
              <w14:schemeClr w14:val="tx1"/>
            </w14:solidFill>
          </w14:textFill>
        </w:rPr>
        <w:t>　邮码：</w:t>
      </w:r>
    </w:p>
    <w:p w14:paraId="798FC7FE">
      <w:pPr>
        <w:pStyle w:val="495"/>
        <w:tabs>
          <w:tab w:val="left" w:pos="5040"/>
          <w:tab w:val="left" w:pos="5220"/>
          <w:tab w:val="left" w:pos="9000"/>
        </w:tabs>
        <w:spacing w:before="0" w:after="0" w:line="520" w:lineRule="exact"/>
        <w:ind w:right="-360"/>
        <w:rPr>
          <w:rFonts w:hint="eastAsia" w:hAnsi="宋体" w:eastAsia="宋体"/>
          <w:bCs/>
          <w:color w:val="000000" w:themeColor="text1"/>
          <w:szCs w:val="24"/>
          <w:highlight w:val="none"/>
          <w:lang w:eastAsia="zh-CN"/>
          <w14:textFill>
            <w14:solidFill>
              <w14:schemeClr w14:val="tx1"/>
            </w14:solidFill>
          </w14:textFill>
        </w:rPr>
      </w:pPr>
      <w:r>
        <w:rPr>
          <w:rFonts w:hAnsi="宋体"/>
          <w:bCs/>
          <w:color w:val="000000" w:themeColor="text1"/>
          <w:szCs w:val="24"/>
          <w:highlight w:val="none"/>
          <w14:textFill>
            <w14:solidFill>
              <w14:schemeClr w14:val="tx1"/>
            </w14:solidFill>
          </w14:textFill>
        </w:rPr>
        <w:t>　　　　　　　　　　</w:t>
      </w:r>
      <w:r>
        <w:rPr>
          <w:rFonts w:hint="eastAsia" w:hAnsi="宋体"/>
          <w:bCs/>
          <w:color w:val="000000" w:themeColor="text1"/>
          <w:szCs w:val="24"/>
          <w:highlight w:val="none"/>
          <w:lang w:val="en-US" w:eastAsia="zh-CN"/>
          <w14:textFill>
            <w14:solidFill>
              <w14:schemeClr w14:val="tx1"/>
            </w14:solidFill>
          </w14:textFill>
        </w:rPr>
        <w:t xml:space="preserve">                    </w:t>
      </w:r>
      <w:r>
        <w:rPr>
          <w:rFonts w:hAnsi="宋体"/>
          <w:bCs/>
          <w:color w:val="000000" w:themeColor="text1"/>
          <w:szCs w:val="24"/>
          <w:highlight w:val="none"/>
          <w14:textFill>
            <w14:solidFill>
              <w14:schemeClr w14:val="tx1"/>
            </w14:solidFill>
          </w14:textFill>
        </w:rPr>
        <w:t>　开户银行：</w:t>
      </w:r>
    </w:p>
    <w:p w14:paraId="6206EB7B">
      <w:pPr>
        <w:pStyle w:val="495"/>
        <w:tabs>
          <w:tab w:val="left" w:pos="5040"/>
          <w:tab w:val="left" w:pos="5220"/>
          <w:tab w:val="left" w:pos="9000"/>
        </w:tabs>
        <w:spacing w:before="0" w:after="0" w:line="520" w:lineRule="exact"/>
        <w:ind w:right="-360"/>
        <w:rPr>
          <w:rFonts w:hint="eastAsia" w:hAnsi="宋体" w:eastAsia="宋体"/>
          <w:bCs/>
          <w:color w:val="000000" w:themeColor="text1"/>
          <w:szCs w:val="24"/>
          <w:highlight w:val="none"/>
          <w:lang w:eastAsia="zh-CN"/>
          <w14:textFill>
            <w14:solidFill>
              <w14:schemeClr w14:val="tx1"/>
            </w14:solidFill>
          </w14:textFill>
        </w:rPr>
      </w:pPr>
      <w:r>
        <w:rPr>
          <w:rFonts w:hAnsi="宋体"/>
          <w:bCs/>
          <w:color w:val="000000" w:themeColor="text1"/>
          <w:szCs w:val="24"/>
          <w:highlight w:val="none"/>
          <w14:textFill>
            <w14:solidFill>
              <w14:schemeClr w14:val="tx1"/>
            </w14:solidFill>
          </w14:textFill>
        </w:rPr>
        <w:t>　　　　　　　　　　</w:t>
      </w:r>
      <w:r>
        <w:rPr>
          <w:rFonts w:hint="eastAsia" w:hAnsi="宋体"/>
          <w:bCs/>
          <w:color w:val="000000" w:themeColor="text1"/>
          <w:szCs w:val="24"/>
          <w:highlight w:val="none"/>
          <w:lang w:val="en-US" w:eastAsia="zh-CN"/>
          <w14:textFill>
            <w14:solidFill>
              <w14:schemeClr w14:val="tx1"/>
            </w14:solidFill>
          </w14:textFill>
        </w:rPr>
        <w:t xml:space="preserve">                    </w:t>
      </w:r>
      <w:r>
        <w:rPr>
          <w:rFonts w:hAnsi="宋体"/>
          <w:bCs/>
          <w:color w:val="000000" w:themeColor="text1"/>
          <w:szCs w:val="24"/>
          <w:highlight w:val="none"/>
          <w14:textFill>
            <w14:solidFill>
              <w14:schemeClr w14:val="tx1"/>
            </w14:solidFill>
          </w14:textFill>
        </w:rPr>
        <w:t>　户名：</w:t>
      </w:r>
    </w:p>
    <w:p w14:paraId="1B999FA2">
      <w:pPr>
        <w:pStyle w:val="495"/>
        <w:tabs>
          <w:tab w:val="left" w:pos="5040"/>
          <w:tab w:val="left" w:pos="5220"/>
          <w:tab w:val="left" w:pos="9000"/>
        </w:tabs>
        <w:spacing w:before="0" w:after="0" w:line="520" w:lineRule="exact"/>
        <w:ind w:right="-360"/>
        <w:rPr>
          <w:bCs/>
          <w:color w:val="000000" w:themeColor="text1"/>
          <w:szCs w:val="24"/>
          <w:highlight w:val="none"/>
          <w14:textFill>
            <w14:solidFill>
              <w14:schemeClr w14:val="tx1"/>
            </w14:solidFill>
          </w14:textFill>
        </w:rPr>
      </w:pPr>
      <w:r>
        <w:rPr>
          <w:rFonts w:hAnsi="宋体"/>
          <w:bCs/>
          <w:color w:val="000000" w:themeColor="text1"/>
          <w:szCs w:val="24"/>
          <w:highlight w:val="none"/>
          <w14:textFill>
            <w14:solidFill>
              <w14:schemeClr w14:val="tx1"/>
            </w14:solidFill>
          </w14:textFill>
        </w:rPr>
        <w:t>　　　　　　　　　　　</w:t>
      </w:r>
      <w:r>
        <w:rPr>
          <w:rFonts w:hint="eastAsia" w:hAnsi="宋体"/>
          <w:bCs/>
          <w:color w:val="000000" w:themeColor="text1"/>
          <w:szCs w:val="24"/>
          <w:highlight w:val="none"/>
          <w:lang w:val="en-US" w:eastAsia="zh-CN"/>
          <w14:textFill>
            <w14:solidFill>
              <w14:schemeClr w14:val="tx1"/>
            </w14:solidFill>
          </w14:textFill>
        </w:rPr>
        <w:t xml:space="preserve">             </w:t>
      </w:r>
      <w:r>
        <w:rPr>
          <w:rFonts w:hAnsi="宋体"/>
          <w:bCs/>
          <w:color w:val="000000" w:themeColor="text1"/>
          <w:szCs w:val="24"/>
          <w:highlight w:val="none"/>
          <w14:textFill>
            <w14:solidFill>
              <w14:schemeClr w14:val="tx1"/>
            </w14:solidFill>
          </w14:textFill>
        </w:rPr>
        <w:t>　</w:t>
      </w:r>
      <w:r>
        <w:rPr>
          <w:rFonts w:hint="eastAsia" w:hAnsi="宋体"/>
          <w:bCs/>
          <w:color w:val="000000" w:themeColor="text1"/>
          <w:szCs w:val="24"/>
          <w:highlight w:val="none"/>
          <w:lang w:val="en-US" w:eastAsia="zh-CN"/>
          <w14:textFill>
            <w14:solidFill>
              <w14:schemeClr w14:val="tx1"/>
            </w14:solidFill>
          </w14:textFill>
        </w:rPr>
        <w:t xml:space="preserve"> </w:t>
      </w:r>
      <w:r>
        <w:rPr>
          <w:rFonts w:hAnsi="宋体"/>
          <w:bCs/>
          <w:color w:val="000000" w:themeColor="text1"/>
          <w:szCs w:val="24"/>
          <w:highlight w:val="none"/>
          <w14:textFill>
            <w14:solidFill>
              <w14:schemeClr w14:val="tx1"/>
            </w14:solidFill>
          </w14:textFill>
        </w:rPr>
        <w:t>　　账号：　　　　　　　　　</w:t>
      </w:r>
    </w:p>
    <w:p w14:paraId="12843BF0">
      <w:pPr>
        <w:spacing w:line="520" w:lineRule="exact"/>
        <w:ind w:firstLine="360" w:firstLineChars="150"/>
        <w:rPr>
          <w:rFonts w:hint="eastAsia" w:eastAsia="宋体"/>
          <w:bCs/>
          <w:color w:val="000000" w:themeColor="text1"/>
          <w:sz w:val="24"/>
          <w:szCs w:val="24"/>
          <w:highlight w:val="none"/>
          <w:lang w:eastAsia="zh-CN"/>
          <w14:textFill>
            <w14:solidFill>
              <w14:schemeClr w14:val="tx1"/>
            </w14:solidFill>
          </w14:textFill>
        </w:rPr>
      </w:pPr>
      <w:r>
        <w:rPr>
          <w:rFonts w:hint="eastAsia"/>
          <w:bCs/>
          <w:color w:val="000000" w:themeColor="text1"/>
          <w:sz w:val="24"/>
          <w:szCs w:val="24"/>
          <w:highlight w:val="none"/>
          <w:lang w:eastAsia="zh-CN"/>
          <w14:textFill>
            <w14:solidFill>
              <w14:schemeClr w14:val="tx1"/>
            </w14:solidFill>
          </w14:textFill>
        </w:rPr>
        <w:t>招标代理（盖章）</w:t>
      </w:r>
    </w:p>
    <w:p w14:paraId="324C7212">
      <w:pPr>
        <w:tabs>
          <w:tab w:val="left" w:pos="0"/>
          <w:tab w:val="left" w:pos="180"/>
          <w:tab w:val="left" w:pos="360"/>
        </w:tabs>
        <w:spacing w:line="540" w:lineRule="exact"/>
        <w:ind w:left="313" w:leftChars="149" w:firstLine="120" w:firstLineChars="50"/>
        <w:rPr>
          <w:color w:val="000000" w:themeColor="text1"/>
          <w:sz w:val="24"/>
          <w:szCs w:val="24"/>
          <w:highlight w:val="none"/>
          <w14:textFill>
            <w14:solidFill>
              <w14:schemeClr w14:val="tx1"/>
            </w14:solidFill>
          </w14:textFill>
        </w:rPr>
      </w:pPr>
    </w:p>
    <w:p w14:paraId="38686C9F">
      <w:pPr>
        <w:tabs>
          <w:tab w:val="left" w:pos="0"/>
          <w:tab w:val="left" w:pos="180"/>
          <w:tab w:val="left" w:pos="360"/>
        </w:tabs>
        <w:spacing w:line="500" w:lineRule="exact"/>
        <w:ind w:left="313" w:leftChars="149" w:firstLine="440" w:firstLineChars="200"/>
        <w:rPr>
          <w:color w:val="000000" w:themeColor="text1"/>
          <w:sz w:val="22"/>
          <w:szCs w:val="24"/>
          <w:highlight w:val="none"/>
          <w14:textFill>
            <w14:solidFill>
              <w14:schemeClr w14:val="tx1"/>
            </w14:solidFill>
          </w14:textFill>
        </w:rPr>
      </w:pPr>
    </w:p>
    <w:p w14:paraId="095CFA97">
      <w:pPr>
        <w:tabs>
          <w:tab w:val="left" w:pos="1260"/>
        </w:tabs>
        <w:spacing w:line="480" w:lineRule="exact"/>
        <w:ind w:firstLine="482"/>
        <w:textAlignment w:val="center"/>
        <w:rPr>
          <w:b/>
          <w:color w:val="000000" w:themeColor="text1"/>
          <w:sz w:val="36"/>
          <w:szCs w:val="36"/>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                                                   年       月      日</w:t>
      </w:r>
    </w:p>
    <w:p w14:paraId="4A49C855">
      <w:pPr>
        <w:tabs>
          <w:tab w:val="left" w:pos="1260"/>
        </w:tabs>
        <w:spacing w:line="480" w:lineRule="exact"/>
        <w:ind w:firstLine="482"/>
        <w:textAlignment w:val="center"/>
        <w:rPr>
          <w:b/>
          <w:color w:val="000000" w:themeColor="text1"/>
          <w:sz w:val="36"/>
          <w:szCs w:val="36"/>
          <w:highlight w:val="none"/>
          <w14:textFill>
            <w14:solidFill>
              <w14:schemeClr w14:val="tx1"/>
            </w14:solidFill>
          </w14:textFill>
        </w:rPr>
      </w:pPr>
    </w:p>
    <w:p w14:paraId="529310CB">
      <w:pPr>
        <w:tabs>
          <w:tab w:val="left" w:pos="1260"/>
        </w:tabs>
        <w:spacing w:line="480" w:lineRule="exact"/>
        <w:ind w:firstLine="482"/>
        <w:textAlignment w:val="center"/>
        <w:rPr>
          <w:b/>
          <w:color w:val="000000" w:themeColor="text1"/>
          <w:sz w:val="36"/>
          <w:szCs w:val="36"/>
          <w:highlight w:val="none"/>
          <w14:textFill>
            <w14:solidFill>
              <w14:schemeClr w14:val="tx1"/>
            </w14:solidFill>
          </w14:textFill>
        </w:rPr>
      </w:pPr>
    </w:p>
    <w:bookmarkEnd w:id="42"/>
    <w:bookmarkEnd w:id="43"/>
    <w:p w14:paraId="19632F88">
      <w:pPr>
        <w:spacing w:line="660" w:lineRule="exact"/>
        <w:ind w:firstLine="723" w:firstLineChars="200"/>
        <w:jc w:val="center"/>
        <w:rPr>
          <w:b/>
          <w:color w:val="000000" w:themeColor="text1"/>
          <w:sz w:val="36"/>
          <w:highlight w:val="none"/>
          <w14:textFill>
            <w14:solidFill>
              <w14:schemeClr w14:val="tx1"/>
            </w14:solidFill>
          </w14:textFill>
        </w:rPr>
      </w:pPr>
      <w:bookmarkStart w:id="45" w:name="_Toc437856508"/>
    </w:p>
    <w:p w14:paraId="604DC673">
      <w:pPr>
        <w:pStyle w:val="95"/>
        <w:rPr>
          <w:color w:val="000000" w:themeColor="text1"/>
          <w:highlight w:val="none"/>
          <w14:textFill>
            <w14:solidFill>
              <w14:schemeClr w14:val="tx1"/>
            </w14:solidFill>
          </w14:textFill>
        </w:rPr>
      </w:pPr>
    </w:p>
    <w:p w14:paraId="50D1646B">
      <w:pPr>
        <w:pStyle w:val="95"/>
        <w:rPr>
          <w:color w:val="000000" w:themeColor="text1"/>
          <w:highlight w:val="none"/>
          <w14:textFill>
            <w14:solidFill>
              <w14:schemeClr w14:val="tx1"/>
            </w14:solidFill>
          </w14:textFill>
        </w:rPr>
      </w:pPr>
    </w:p>
    <w:p w14:paraId="6032264A">
      <w:pPr>
        <w:pStyle w:val="95"/>
        <w:rPr>
          <w:color w:val="000000" w:themeColor="text1"/>
          <w:highlight w:val="none"/>
          <w14:textFill>
            <w14:solidFill>
              <w14:schemeClr w14:val="tx1"/>
            </w14:solidFill>
          </w14:textFill>
        </w:rPr>
      </w:pPr>
    </w:p>
    <w:p w14:paraId="161F666F">
      <w:pPr>
        <w:pStyle w:val="95"/>
        <w:rPr>
          <w:color w:val="000000" w:themeColor="text1"/>
          <w:highlight w:val="none"/>
          <w14:textFill>
            <w14:solidFill>
              <w14:schemeClr w14:val="tx1"/>
            </w14:solidFill>
          </w14:textFill>
        </w:rPr>
      </w:pPr>
    </w:p>
    <w:p w14:paraId="50EA2B8C">
      <w:pPr>
        <w:pStyle w:val="95"/>
        <w:rPr>
          <w:color w:val="000000" w:themeColor="text1"/>
          <w:highlight w:val="none"/>
          <w14:textFill>
            <w14:solidFill>
              <w14:schemeClr w14:val="tx1"/>
            </w14:solidFill>
          </w14:textFill>
        </w:rPr>
      </w:pPr>
    </w:p>
    <w:p w14:paraId="6B4B1B84">
      <w:pPr>
        <w:pStyle w:val="95"/>
        <w:rPr>
          <w:color w:val="000000" w:themeColor="text1"/>
          <w:highlight w:val="none"/>
          <w14:textFill>
            <w14:solidFill>
              <w14:schemeClr w14:val="tx1"/>
            </w14:solidFill>
          </w14:textFill>
        </w:rPr>
      </w:pPr>
    </w:p>
    <w:p w14:paraId="04758BFF">
      <w:pPr>
        <w:pStyle w:val="95"/>
        <w:rPr>
          <w:color w:val="000000" w:themeColor="text1"/>
          <w:highlight w:val="none"/>
          <w14:textFill>
            <w14:solidFill>
              <w14:schemeClr w14:val="tx1"/>
            </w14:solidFill>
          </w14:textFill>
        </w:rPr>
      </w:pPr>
    </w:p>
    <w:p w14:paraId="37636338">
      <w:pPr>
        <w:pStyle w:val="95"/>
        <w:rPr>
          <w:color w:val="000000" w:themeColor="text1"/>
          <w:highlight w:val="none"/>
          <w14:textFill>
            <w14:solidFill>
              <w14:schemeClr w14:val="tx1"/>
            </w14:solidFill>
          </w14:textFill>
        </w:rPr>
      </w:pPr>
    </w:p>
    <w:p w14:paraId="0054651B">
      <w:pPr>
        <w:pStyle w:val="95"/>
        <w:rPr>
          <w:color w:val="000000" w:themeColor="text1"/>
          <w:highlight w:val="none"/>
          <w14:textFill>
            <w14:solidFill>
              <w14:schemeClr w14:val="tx1"/>
            </w14:solidFill>
          </w14:textFill>
        </w:rPr>
      </w:pPr>
    </w:p>
    <w:p w14:paraId="66086ED3">
      <w:pPr>
        <w:pStyle w:val="95"/>
        <w:rPr>
          <w:color w:val="000000" w:themeColor="text1"/>
          <w:highlight w:val="none"/>
          <w14:textFill>
            <w14:solidFill>
              <w14:schemeClr w14:val="tx1"/>
            </w14:solidFill>
          </w14:textFill>
        </w:rPr>
      </w:pPr>
    </w:p>
    <w:p w14:paraId="42285F8E">
      <w:pPr>
        <w:spacing w:line="600" w:lineRule="exact"/>
        <w:outlineLvl w:val="9"/>
        <w:rPr>
          <w:b/>
          <w:color w:val="000000" w:themeColor="text1"/>
          <w:sz w:val="36"/>
          <w:highlight w:val="none"/>
          <w14:textFill>
            <w14:solidFill>
              <w14:schemeClr w14:val="tx1"/>
            </w14:solidFill>
          </w14:textFill>
        </w:rPr>
      </w:pPr>
    </w:p>
    <w:p w14:paraId="4C59E5FC">
      <w:pPr>
        <w:spacing w:line="600" w:lineRule="exact"/>
        <w:jc w:val="center"/>
        <w:outlineLvl w:val="9"/>
        <w:rPr>
          <w:b/>
          <w:color w:val="000000" w:themeColor="text1"/>
          <w:sz w:val="36"/>
          <w:szCs w:val="36"/>
          <w:highlight w:val="none"/>
          <w14:textFill>
            <w14:solidFill>
              <w14:schemeClr w14:val="tx1"/>
            </w14:solidFill>
          </w14:textFill>
        </w:rPr>
      </w:pPr>
      <w:bookmarkStart w:id="46" w:name="_Toc11028"/>
    </w:p>
    <w:p w14:paraId="1F11BA8E">
      <w:pPr>
        <w:rPr>
          <w:b/>
          <w:color w:val="000000" w:themeColor="text1"/>
          <w:sz w:val="36"/>
          <w:szCs w:val="36"/>
          <w:highlight w:val="none"/>
          <w14:textFill>
            <w14:solidFill>
              <w14:schemeClr w14:val="tx1"/>
            </w14:solidFill>
          </w14:textFill>
        </w:rPr>
      </w:pPr>
      <w:bookmarkStart w:id="47" w:name="_Toc21421"/>
      <w:r>
        <w:rPr>
          <w:b/>
          <w:color w:val="000000" w:themeColor="text1"/>
          <w:sz w:val="36"/>
          <w:szCs w:val="36"/>
          <w:highlight w:val="none"/>
          <w14:textFill>
            <w14:solidFill>
              <w14:schemeClr w14:val="tx1"/>
            </w14:solidFill>
          </w14:textFill>
        </w:rPr>
        <w:br w:type="page"/>
      </w:r>
    </w:p>
    <w:p w14:paraId="18108BF8">
      <w:pPr>
        <w:spacing w:line="600" w:lineRule="exact"/>
        <w:jc w:val="center"/>
        <w:outlineLvl w:val="0"/>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第六部分  投标书格式</w:t>
      </w:r>
      <w:bookmarkEnd w:id="45"/>
      <w:bookmarkEnd w:id="46"/>
      <w:bookmarkEnd w:id="47"/>
    </w:p>
    <w:p w14:paraId="634F2760">
      <w:pPr>
        <w:pStyle w:val="3"/>
        <w:spacing w:before="0" w:after="0" w:line="500" w:lineRule="exact"/>
        <w:jc w:val="center"/>
        <w:textAlignment w:val="center"/>
        <w:outlineLvl w:val="9"/>
        <w:rPr>
          <w:color w:val="000000" w:themeColor="text1"/>
          <w:sz w:val="32"/>
          <w:szCs w:val="32"/>
          <w:highlight w:val="none"/>
          <w14:textFill>
            <w14:solidFill>
              <w14:schemeClr w14:val="tx1"/>
            </w14:solidFill>
          </w14:textFill>
        </w:rPr>
      </w:pPr>
      <w:bookmarkStart w:id="48" w:name="_Toc448320489"/>
      <w:bookmarkStart w:id="49" w:name="_Toc488979076"/>
      <w:bookmarkStart w:id="50" w:name="_Toc171496381"/>
      <w:bookmarkStart w:id="51" w:name="_Toc353257304"/>
    </w:p>
    <w:bookmarkEnd w:id="48"/>
    <w:bookmarkEnd w:id="49"/>
    <w:bookmarkEnd w:id="50"/>
    <w:bookmarkEnd w:id="51"/>
    <w:p w14:paraId="5E962778">
      <w:pPr>
        <w:rPr>
          <w:rFonts w:ascii="宋体" w:hAnsi="宋体" w:cs="宋体"/>
          <w:b/>
          <w:bCs/>
          <w:color w:val="000000" w:themeColor="text1"/>
          <w:szCs w:val="21"/>
          <w:highlight w:val="none"/>
          <w14:textFill>
            <w14:solidFill>
              <w14:schemeClr w14:val="tx1"/>
            </w14:solidFill>
          </w14:textFill>
        </w:rPr>
      </w:pPr>
    </w:p>
    <w:p w14:paraId="0B58B049">
      <w:pPr>
        <w:rPr>
          <w:rFonts w:ascii="宋体" w:hAnsi="宋体" w:cs="宋体"/>
          <w:b/>
          <w:bCs/>
          <w:color w:val="000000" w:themeColor="text1"/>
          <w:szCs w:val="21"/>
          <w:highlight w:val="none"/>
          <w14:textFill>
            <w14:solidFill>
              <w14:schemeClr w14:val="tx1"/>
            </w14:solidFill>
          </w14:textFill>
        </w:rPr>
      </w:pPr>
    </w:p>
    <w:p w14:paraId="10255F36">
      <w:pPr>
        <w:jc w:val="center"/>
        <w:outlineLvl w:val="9"/>
        <w:rPr>
          <w:rFonts w:ascii="宋体" w:hAnsi="宋体" w:cs="宋体"/>
          <w:color w:val="000000" w:themeColor="text1"/>
          <w:sz w:val="20"/>
          <w:highlight w:val="none"/>
          <w:u w:val="single"/>
          <w14:textFill>
            <w14:solidFill>
              <w14:schemeClr w14:val="tx1"/>
            </w14:solidFill>
          </w14:textFill>
        </w:rPr>
      </w:pPr>
      <w:bookmarkStart w:id="52" w:name="_Toc790"/>
      <w:bookmarkStart w:id="53" w:name="_Toc13271"/>
      <w:r>
        <w:rPr>
          <w:rFonts w:hint="eastAsia" w:ascii="宋体" w:hAnsi="宋体" w:cs="宋体"/>
          <w:color w:val="000000" w:themeColor="text1"/>
          <w:sz w:val="28"/>
          <w:szCs w:val="28"/>
          <w:highlight w:val="none"/>
          <w14:textFill>
            <w14:solidFill>
              <w14:schemeClr w14:val="tx1"/>
            </w14:solidFill>
          </w14:textFill>
        </w:rPr>
        <w:t>（项目名称）</w:t>
      </w:r>
      <w:bookmarkEnd w:id="52"/>
      <w:bookmarkEnd w:id="53"/>
    </w:p>
    <w:p w14:paraId="1459DD97">
      <w:pPr>
        <w:jc w:val="center"/>
        <w:outlineLvl w:val="9"/>
        <w:rPr>
          <w:rFonts w:ascii="宋体" w:hAnsi="宋体" w:cs="宋体"/>
          <w:color w:val="000000" w:themeColor="text1"/>
          <w:sz w:val="28"/>
          <w:szCs w:val="28"/>
          <w:highlight w:val="none"/>
          <w:u w:val="single"/>
          <w14:textFill>
            <w14:solidFill>
              <w14:schemeClr w14:val="tx1"/>
            </w14:solidFill>
          </w14:textFill>
        </w:rPr>
      </w:pPr>
    </w:p>
    <w:p w14:paraId="28EFC737">
      <w:pPr>
        <w:jc w:val="center"/>
        <w:outlineLvl w:val="9"/>
        <w:rPr>
          <w:rFonts w:ascii="宋体" w:hAnsi="宋体" w:cs="宋体"/>
          <w:color w:val="000000" w:themeColor="text1"/>
          <w:sz w:val="24"/>
          <w:szCs w:val="24"/>
          <w:highlight w:val="none"/>
          <w:u w:val="single"/>
          <w14:textFill>
            <w14:solidFill>
              <w14:schemeClr w14:val="tx1"/>
            </w14:solidFill>
          </w14:textFill>
        </w:rPr>
      </w:pPr>
      <w:bookmarkStart w:id="54" w:name="_Toc1531"/>
      <w:bookmarkStart w:id="55" w:name="_Toc25296"/>
      <w:r>
        <w:rPr>
          <w:rFonts w:hint="eastAsia" w:ascii="宋体" w:hAnsi="宋体" w:cs="宋体"/>
          <w:color w:val="000000" w:themeColor="text1"/>
          <w:sz w:val="24"/>
          <w:szCs w:val="24"/>
          <w:highlight w:val="none"/>
          <w:u w:val="single"/>
          <w14:textFill>
            <w14:solidFill>
              <w14:schemeClr w14:val="tx1"/>
            </w14:solidFill>
          </w14:textFill>
        </w:rPr>
        <w:t>（按系统内封面格式）</w:t>
      </w:r>
      <w:bookmarkEnd w:id="54"/>
      <w:bookmarkEnd w:id="55"/>
    </w:p>
    <w:p w14:paraId="75B5DA82">
      <w:pPr>
        <w:jc w:val="center"/>
        <w:outlineLvl w:val="9"/>
        <w:rPr>
          <w:rFonts w:ascii="宋体" w:hAnsi="宋体" w:cs="宋体"/>
          <w:color w:val="000000" w:themeColor="text1"/>
          <w:sz w:val="20"/>
          <w:highlight w:val="none"/>
          <w:u w:val="single"/>
          <w14:textFill>
            <w14:solidFill>
              <w14:schemeClr w14:val="tx1"/>
            </w14:solidFill>
          </w14:textFill>
        </w:rPr>
      </w:pPr>
    </w:p>
    <w:p w14:paraId="35F20840">
      <w:pPr>
        <w:jc w:val="center"/>
        <w:rPr>
          <w:rFonts w:ascii="宋体" w:hAnsi="宋体" w:cs="宋体"/>
          <w:color w:val="000000" w:themeColor="text1"/>
          <w:sz w:val="20"/>
          <w:highlight w:val="none"/>
          <w:u w:val="single"/>
          <w14:textFill>
            <w14:solidFill>
              <w14:schemeClr w14:val="tx1"/>
            </w14:solidFill>
          </w14:textFill>
        </w:rPr>
      </w:pPr>
    </w:p>
    <w:p w14:paraId="164F441C">
      <w:pPr>
        <w:rPr>
          <w:rFonts w:ascii="宋体" w:hAnsi="宋体" w:cs="宋体"/>
          <w:b/>
          <w:bCs/>
          <w:color w:val="000000" w:themeColor="text1"/>
          <w:szCs w:val="21"/>
          <w:highlight w:val="none"/>
          <w14:textFill>
            <w14:solidFill>
              <w14:schemeClr w14:val="tx1"/>
            </w14:solidFill>
          </w14:textFill>
        </w:rPr>
      </w:pPr>
    </w:p>
    <w:p w14:paraId="7EE70918">
      <w:pPr>
        <w:rPr>
          <w:rFonts w:ascii="宋体" w:hAnsi="宋体" w:cs="宋体"/>
          <w:b/>
          <w:bCs/>
          <w:color w:val="000000" w:themeColor="text1"/>
          <w:szCs w:val="21"/>
          <w:highlight w:val="none"/>
          <w14:textFill>
            <w14:solidFill>
              <w14:schemeClr w14:val="tx1"/>
            </w14:solidFill>
          </w14:textFill>
        </w:rPr>
      </w:pPr>
    </w:p>
    <w:p w14:paraId="76AC5AE0">
      <w:pPr>
        <w:jc w:val="center"/>
        <w:rPr>
          <w:rFonts w:ascii="宋体" w:hAnsi="宋体" w:cs="宋体"/>
          <w:color w:val="000000" w:themeColor="text1"/>
          <w:sz w:val="72"/>
          <w:szCs w:val="72"/>
          <w:highlight w:val="none"/>
          <w14:textFill>
            <w14:solidFill>
              <w14:schemeClr w14:val="tx1"/>
            </w14:solidFill>
          </w14:textFill>
        </w:rPr>
      </w:pPr>
      <w:r>
        <w:rPr>
          <w:rFonts w:hint="eastAsia" w:ascii="宋体" w:hAnsi="宋体" w:cs="宋体"/>
          <w:color w:val="000000" w:themeColor="text1"/>
          <w:sz w:val="72"/>
          <w:szCs w:val="72"/>
          <w:highlight w:val="none"/>
          <w14:textFill>
            <w14:solidFill>
              <w14:schemeClr w14:val="tx1"/>
            </w14:solidFill>
          </w14:textFill>
        </w:rPr>
        <w:t>投  标  文  件</w:t>
      </w:r>
    </w:p>
    <w:p w14:paraId="13B06DF2">
      <w:pPr>
        <w:rPr>
          <w:rFonts w:ascii="宋体" w:hAnsi="宋体" w:cs="宋体"/>
          <w:color w:val="000000" w:themeColor="text1"/>
          <w:sz w:val="28"/>
          <w:szCs w:val="28"/>
          <w:highlight w:val="none"/>
          <w14:textFill>
            <w14:solidFill>
              <w14:schemeClr w14:val="tx1"/>
            </w14:solidFill>
          </w14:textFill>
        </w:rPr>
      </w:pPr>
    </w:p>
    <w:p w14:paraId="64219647">
      <w:pPr>
        <w:rPr>
          <w:rFonts w:ascii="宋体" w:hAnsi="宋体" w:cs="宋体"/>
          <w:color w:val="000000" w:themeColor="text1"/>
          <w:sz w:val="28"/>
          <w:szCs w:val="28"/>
          <w:highlight w:val="none"/>
          <w14:textFill>
            <w14:solidFill>
              <w14:schemeClr w14:val="tx1"/>
            </w14:solidFill>
          </w14:textFill>
        </w:rPr>
      </w:pPr>
    </w:p>
    <w:p w14:paraId="46AD221A">
      <w:pPr>
        <w:rPr>
          <w:rFonts w:ascii="宋体" w:hAnsi="宋体" w:cs="宋体"/>
          <w:color w:val="000000" w:themeColor="text1"/>
          <w:sz w:val="28"/>
          <w:szCs w:val="28"/>
          <w:highlight w:val="none"/>
          <w14:textFill>
            <w14:solidFill>
              <w14:schemeClr w14:val="tx1"/>
            </w14:solidFill>
          </w14:textFill>
        </w:rPr>
      </w:pPr>
    </w:p>
    <w:p w14:paraId="01DFCF38">
      <w:pPr>
        <w:rPr>
          <w:rFonts w:ascii="宋体" w:hAnsi="宋体" w:cs="宋体"/>
          <w:color w:val="000000" w:themeColor="text1"/>
          <w:sz w:val="28"/>
          <w:szCs w:val="28"/>
          <w:highlight w:val="none"/>
          <w14:textFill>
            <w14:solidFill>
              <w14:schemeClr w14:val="tx1"/>
            </w14:solidFill>
          </w14:textFill>
        </w:rPr>
      </w:pPr>
    </w:p>
    <w:p w14:paraId="42BDFBE7">
      <w:pPr>
        <w:rPr>
          <w:rFonts w:ascii="宋体" w:hAnsi="宋体" w:cs="宋体"/>
          <w:color w:val="000000" w:themeColor="text1"/>
          <w:sz w:val="28"/>
          <w:szCs w:val="28"/>
          <w:highlight w:val="none"/>
          <w14:textFill>
            <w14:solidFill>
              <w14:schemeClr w14:val="tx1"/>
            </w14:solidFill>
          </w14:textFill>
        </w:rPr>
      </w:pPr>
    </w:p>
    <w:p w14:paraId="0E76C806">
      <w:pPr>
        <w:rPr>
          <w:rFonts w:ascii="宋体" w:hAnsi="宋体" w:cs="宋体"/>
          <w:color w:val="000000" w:themeColor="text1"/>
          <w:sz w:val="28"/>
          <w:szCs w:val="28"/>
          <w:highlight w:val="none"/>
          <w14:textFill>
            <w14:solidFill>
              <w14:schemeClr w14:val="tx1"/>
            </w14:solidFill>
          </w14:textFill>
        </w:rPr>
      </w:pPr>
    </w:p>
    <w:p w14:paraId="2771487C">
      <w:pPr>
        <w:rPr>
          <w:rFonts w:ascii="宋体" w:hAnsi="宋体" w:cs="宋体"/>
          <w:color w:val="000000" w:themeColor="text1"/>
          <w:sz w:val="28"/>
          <w:szCs w:val="28"/>
          <w:highlight w:val="none"/>
          <w14:textFill>
            <w14:solidFill>
              <w14:schemeClr w14:val="tx1"/>
            </w14:solidFill>
          </w14:textFill>
        </w:rPr>
      </w:pPr>
    </w:p>
    <w:p w14:paraId="0E01BEE5">
      <w:pPr>
        <w:rPr>
          <w:rFonts w:ascii="宋体" w:hAnsi="宋体" w:cs="宋体"/>
          <w:color w:val="000000" w:themeColor="text1"/>
          <w:sz w:val="28"/>
          <w:szCs w:val="28"/>
          <w:highlight w:val="none"/>
          <w14:textFill>
            <w14:solidFill>
              <w14:schemeClr w14:val="tx1"/>
            </w14:solidFill>
          </w14:textFill>
        </w:rPr>
      </w:pPr>
    </w:p>
    <w:p w14:paraId="6752EC34">
      <w:pPr>
        <w:rPr>
          <w:rFonts w:ascii="宋体" w:hAnsi="宋体" w:cs="宋体"/>
          <w:color w:val="000000" w:themeColor="text1"/>
          <w:sz w:val="28"/>
          <w:szCs w:val="28"/>
          <w:highlight w:val="none"/>
          <w14:textFill>
            <w14:solidFill>
              <w14:schemeClr w14:val="tx1"/>
            </w14:solidFill>
          </w14:textFill>
        </w:rPr>
      </w:pPr>
    </w:p>
    <w:p w14:paraId="401D9382">
      <w:pPr>
        <w:rPr>
          <w:rFonts w:ascii="宋体" w:hAnsi="宋体" w:cs="宋体"/>
          <w:color w:val="000000" w:themeColor="text1"/>
          <w:sz w:val="28"/>
          <w:szCs w:val="28"/>
          <w:highlight w:val="none"/>
          <w14:textFill>
            <w14:solidFill>
              <w14:schemeClr w14:val="tx1"/>
            </w14:solidFill>
          </w14:textFill>
        </w:rPr>
      </w:pPr>
    </w:p>
    <w:p w14:paraId="45FFEDB9">
      <w:pPr>
        <w:rPr>
          <w:rFonts w:ascii="宋体" w:hAnsi="宋体" w:cs="宋体"/>
          <w:color w:val="000000" w:themeColor="text1"/>
          <w:sz w:val="28"/>
          <w:szCs w:val="28"/>
          <w:highlight w:val="none"/>
          <w14:textFill>
            <w14:solidFill>
              <w14:schemeClr w14:val="tx1"/>
            </w14:solidFill>
          </w14:textFill>
        </w:rPr>
      </w:pPr>
    </w:p>
    <w:p w14:paraId="5A9E0D4B">
      <w:pPr>
        <w:rPr>
          <w:rFonts w:ascii="宋体" w:hAnsi="宋体" w:cs="宋体"/>
          <w:color w:val="000000" w:themeColor="text1"/>
          <w:sz w:val="28"/>
          <w:szCs w:val="28"/>
          <w:highlight w:val="none"/>
          <w14:textFill>
            <w14:solidFill>
              <w14:schemeClr w14:val="tx1"/>
            </w14:solidFill>
          </w14:textFill>
        </w:rPr>
      </w:pPr>
    </w:p>
    <w:p w14:paraId="087AEA94">
      <w:pPr>
        <w:rPr>
          <w:rFonts w:ascii="宋体" w:hAnsi="宋体" w:cs="宋体"/>
          <w:color w:val="000000" w:themeColor="text1"/>
          <w:sz w:val="28"/>
          <w:szCs w:val="28"/>
          <w:highlight w:val="none"/>
          <w14:textFill>
            <w14:solidFill>
              <w14:schemeClr w14:val="tx1"/>
            </w14:solidFill>
          </w14:textFill>
        </w:rPr>
      </w:pPr>
    </w:p>
    <w:p w14:paraId="40F9B901">
      <w:pPr>
        <w:rPr>
          <w:rFonts w:ascii="宋体" w:hAnsi="宋体" w:cs="宋体"/>
          <w:color w:val="000000" w:themeColor="text1"/>
          <w:sz w:val="28"/>
          <w:szCs w:val="28"/>
          <w:highlight w:val="none"/>
          <w14:textFill>
            <w14:solidFill>
              <w14:schemeClr w14:val="tx1"/>
            </w14:solidFill>
          </w14:textFill>
        </w:rPr>
      </w:pPr>
    </w:p>
    <w:p w14:paraId="1DA4B547">
      <w:pPr>
        <w:spacing w:line="360" w:lineRule="auto"/>
        <w:ind w:firstLine="1560" w:firstLineChars="650"/>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投标人：（盖单位章）</w:t>
      </w:r>
    </w:p>
    <w:p w14:paraId="13938B54">
      <w:pPr>
        <w:spacing w:line="360" w:lineRule="auto"/>
        <w:ind w:firstLine="1560" w:firstLineChars="650"/>
        <w:rPr>
          <w:rFonts w:ascii="宋体" w:hAnsi="宋体" w:cs="宋体"/>
          <w:color w:val="000000" w:themeColor="text1"/>
          <w:sz w:val="24"/>
          <w:szCs w:val="24"/>
          <w:highlight w:val="none"/>
          <w14:textFill>
            <w14:solidFill>
              <w14:schemeClr w14:val="tx1"/>
            </w14:solidFill>
          </w14:textFill>
        </w:rPr>
      </w:pPr>
    </w:p>
    <w:p w14:paraId="5DC6F08F">
      <w:pPr>
        <w:spacing w:line="360" w:lineRule="auto"/>
        <w:ind w:firstLine="1560" w:firstLineChars="65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法定代表人或其委托代理人：（签字或盖章）</w:t>
      </w:r>
    </w:p>
    <w:p w14:paraId="4A0999BF">
      <w:pPr>
        <w:spacing w:line="360" w:lineRule="auto"/>
        <w:ind w:firstLine="1560" w:firstLineChars="650"/>
        <w:rPr>
          <w:rFonts w:ascii="宋体" w:hAnsi="宋体" w:cs="宋体"/>
          <w:color w:val="000000" w:themeColor="text1"/>
          <w:sz w:val="24"/>
          <w:szCs w:val="24"/>
          <w:highlight w:val="none"/>
          <w14:textFill>
            <w14:solidFill>
              <w14:schemeClr w14:val="tx1"/>
            </w14:solidFill>
          </w14:textFill>
        </w:rPr>
      </w:pPr>
    </w:p>
    <w:p w14:paraId="4A7BDC11">
      <w:pPr>
        <w:spacing w:line="360" w:lineRule="auto"/>
        <w:ind w:firstLine="1560" w:firstLineChars="65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日  期：年月日</w:t>
      </w:r>
    </w:p>
    <w:p w14:paraId="11B7E582">
      <w:pPr>
        <w:spacing w:line="360" w:lineRule="auto"/>
        <w:rPr>
          <w:rFonts w:ascii="宋体" w:hAnsi="宋体" w:cs="宋体"/>
          <w:color w:val="000000" w:themeColor="text1"/>
          <w:sz w:val="28"/>
          <w:szCs w:val="28"/>
          <w:highlight w:val="none"/>
          <w14:textFill>
            <w14:solidFill>
              <w14:schemeClr w14:val="tx1"/>
            </w14:solidFill>
          </w14:textFill>
        </w:rPr>
      </w:pPr>
    </w:p>
    <w:p w14:paraId="5DAEA8B5">
      <w:pPr>
        <w:keepNext w:val="0"/>
        <w:keepLines w:val="0"/>
        <w:pageBreakBefore/>
        <w:widowControl w:val="0"/>
        <w:kinsoku/>
        <w:wordWrap/>
        <w:overflowPunct/>
        <w:topLinePunct w:val="0"/>
        <w:autoSpaceDE/>
        <w:autoSpaceDN/>
        <w:bidi w:val="0"/>
        <w:adjustRightInd/>
        <w:snapToGrid/>
        <w:jc w:val="center"/>
        <w:textAlignment w:val="auto"/>
        <w:outlineLvl w:val="1"/>
        <w:rPr>
          <w:rFonts w:ascii="宋体" w:hAnsi="宋体" w:cs="宋体"/>
          <w:b/>
          <w:color w:val="000000" w:themeColor="text1"/>
          <w:sz w:val="30"/>
          <w:szCs w:val="30"/>
          <w:highlight w:val="none"/>
          <w14:textFill>
            <w14:solidFill>
              <w14:schemeClr w14:val="tx1"/>
            </w14:solidFill>
          </w14:textFill>
        </w:rPr>
      </w:pPr>
      <w:bookmarkStart w:id="56" w:name="_Toc18911"/>
      <w:bookmarkStart w:id="57" w:name="_Toc17943"/>
      <w:r>
        <w:rPr>
          <w:rFonts w:hint="eastAsia" w:ascii="宋体" w:hAnsi="宋体" w:cs="宋体"/>
          <w:b/>
          <w:color w:val="000000" w:themeColor="text1"/>
          <w:sz w:val="30"/>
          <w:szCs w:val="30"/>
          <w:highlight w:val="none"/>
          <w14:textFill>
            <w14:solidFill>
              <w14:schemeClr w14:val="tx1"/>
            </w14:solidFill>
          </w14:textFill>
        </w:rPr>
        <w:t>开标一览表</w:t>
      </w:r>
      <w:bookmarkEnd w:id="56"/>
      <w:bookmarkEnd w:id="57"/>
    </w:p>
    <w:p w14:paraId="1525BB10">
      <w:pPr>
        <w:spacing w:line="520" w:lineRule="exact"/>
        <w:jc w:val="cente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  （以电子标系统内生成格式为准填写并签章）</w:t>
      </w:r>
    </w:p>
    <w:p w14:paraId="3BA2911A">
      <w:pPr>
        <w:spacing w:before="60" w:after="60" w:line="460" w:lineRule="exact"/>
        <w:jc w:val="center"/>
        <w:outlineLvl w:val="1"/>
        <w:rPr>
          <w:rFonts w:hint="eastAsia" w:ascii="宋体" w:hAnsi="宋体" w:eastAsia="宋体" w:cs="宋体"/>
          <w:b/>
          <w:color w:val="000000" w:themeColor="text1"/>
          <w:sz w:val="32"/>
          <w:highlight w:val="none"/>
          <w14:textFill>
            <w14:solidFill>
              <w14:schemeClr w14:val="tx1"/>
            </w14:solidFill>
          </w14:textFill>
        </w:rPr>
      </w:pPr>
      <w:bookmarkStart w:id="58" w:name="_Toc353257311"/>
      <w:r>
        <w:rPr>
          <w:rFonts w:hint="eastAsia" w:ascii="宋体" w:hAnsi="宋体" w:eastAsia="宋体" w:cs="宋体"/>
          <w:b/>
          <w:color w:val="000000" w:themeColor="text1"/>
          <w:sz w:val="32"/>
          <w:highlight w:val="none"/>
          <w14:textFill>
            <w14:solidFill>
              <w14:schemeClr w14:val="tx1"/>
            </w14:solidFill>
          </w14:textFill>
        </w:rPr>
        <w:t>投标函</w:t>
      </w:r>
    </w:p>
    <w:p w14:paraId="28B12CCB">
      <w:pPr>
        <w:spacing w:before="60" w:after="60" w:line="4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中凡建设项目管理（山东）有限公司</w:t>
      </w:r>
      <w:r>
        <w:rPr>
          <w:rFonts w:hint="eastAsia" w:ascii="宋体" w:hAnsi="宋体" w:eastAsia="宋体" w:cs="宋体"/>
          <w:color w:val="000000" w:themeColor="text1"/>
          <w:sz w:val="24"/>
          <w:szCs w:val="24"/>
          <w:highlight w:val="none"/>
          <w14:textFill>
            <w14:solidFill>
              <w14:schemeClr w14:val="tx1"/>
            </w14:solidFill>
          </w14:textFill>
        </w:rPr>
        <w:t>：</w:t>
      </w:r>
    </w:p>
    <w:p w14:paraId="38443752">
      <w:pPr>
        <w:spacing w:before="60" w:after="60" w:line="4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经研究，我方决定参加招标编号为</w:t>
      </w:r>
      <w:r>
        <w:rPr>
          <w:rFonts w:hint="eastAsia" w:ascii="宋体" w:hAnsi="宋体" w:eastAsia="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的政府采购项目并投标。为此，我方郑重声明以下诸点，并负法律责任。</w:t>
      </w:r>
    </w:p>
    <w:p w14:paraId="7172B753">
      <w:pPr>
        <w:spacing w:before="60" w:after="60" w:line="420" w:lineRule="exact"/>
        <w:ind w:left="359" w:leftChars="171" w:firstLine="120" w:firstLineChars="5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1、我方符合《中华人民共和国政府采购法》第二十二条规定的投标人条件：</w:t>
      </w:r>
    </w:p>
    <w:p w14:paraId="5EB0016B">
      <w:pPr>
        <w:spacing w:before="60" w:after="60" w:line="420" w:lineRule="exact"/>
        <w:ind w:left="359" w:leftChars="171" w:firstLine="120" w:firstLineChars="5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（1）具有独立承担</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"http://www.haosou.com/s?q=%E6%B0%91%E4%BA%8B%E8%B4%A3%E4%BB%BB&amp;ie=utf-8&amp;src=wenda_link" \t "_blank"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民事责任</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的能力；（2）具有良好的商业信誉和健全的财务</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"http://www.haosou.com/s?q=%E4%BC%9A%E8%AE%A1%E5%88%B6%E5%BA%A6&amp;ie=utf-8&amp;src=wenda_link" \t "_blank"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会计制度</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；（3）具有履行合同所必需的设备和专业技术能力；（4）有依法缴纳税收和</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"http://www.haosou.com/s?q=%E7%A4%BE%E4%BC%9A%E4%BF%9D%E9%9A%9C%E8%B5%84%E9%87%91&amp;ie=utf-8&amp;src=wenda_link" \t "_blank"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社会保障资金</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的良好记录；（5）参加</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"http://www.haosou.com/s?q=%E6%94%BF%E5%BA%9C%E9%87%87%E8%B4%AD&amp;ie=utf-8&amp;src=wenda_link" \t "_blank"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政府采购</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活动前三年内，在经营活动中没有重大违法记录；（6）法律、</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"http://www.haosou.com/s?q=%E8%A1%8C%E6%94%BF%E6%B3%95%E8%A7%84&amp;ie=utf-8&amp;src=wenda_link" \t "_blank"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行政法规</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规定的其他条件。</w:t>
      </w:r>
    </w:p>
    <w:p w14:paraId="3D594FB1">
      <w:pPr>
        <w:spacing w:before="60" w:after="60" w:line="420" w:lineRule="exact"/>
        <w:ind w:left="359" w:leftChars="171" w:firstLine="120" w:firstLineChars="50"/>
        <w:rPr>
          <w:rFonts w:hint="eastAsia" w:ascii="宋体" w:hAnsi="宋体" w:eastAsia="宋体" w:cs="宋体"/>
          <w:color w:val="000000" w:themeColor="text1"/>
          <w:sz w:val="24"/>
          <w:szCs w:val="24"/>
          <w:highlight w:val="none"/>
          <w:shd w:val="pct10" w:color="auto" w:fill="FFFFFF"/>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2、我方提交的投标文件</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加密文件 1 份。</w:t>
      </w:r>
    </w:p>
    <w:p w14:paraId="04668000">
      <w:pPr>
        <w:spacing w:before="60" w:after="60" w:line="42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3、如果我方的投标文件被接受，我方将履行招标文件中的每一项要求，并按我方投标文件中的承诺按期、保质、按量提供货物及服务。</w:t>
      </w:r>
    </w:p>
    <w:p w14:paraId="1DC7E479">
      <w:pPr>
        <w:spacing w:before="60" w:after="60" w:line="42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4、我们理解，最低报价不是中标的唯一条件，你们有选择中标人的权利。</w:t>
      </w:r>
    </w:p>
    <w:p w14:paraId="2C070844">
      <w:pPr>
        <w:spacing w:before="60" w:after="60" w:line="42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5、我方愿意按照《中华人民共和国</w:t>
      </w:r>
      <w:r>
        <w:rPr>
          <w:rFonts w:hint="eastAsia" w:ascii="宋体" w:hAnsi="宋体" w:cs="宋体"/>
          <w:color w:val="000000" w:themeColor="text1"/>
          <w:sz w:val="24"/>
          <w:szCs w:val="24"/>
          <w:highlight w:val="none"/>
          <w:lang w:eastAsia="zh-CN"/>
          <w14:textFill>
            <w14:solidFill>
              <w14:schemeClr w14:val="tx1"/>
            </w14:solidFill>
          </w14:textFill>
        </w:rPr>
        <w:t>民法典</w:t>
      </w:r>
      <w:r>
        <w:rPr>
          <w:rFonts w:hint="eastAsia" w:ascii="宋体" w:hAnsi="宋体" w:eastAsia="宋体" w:cs="宋体"/>
          <w:color w:val="000000" w:themeColor="text1"/>
          <w:sz w:val="24"/>
          <w:szCs w:val="24"/>
          <w:highlight w:val="none"/>
          <w14:textFill>
            <w14:solidFill>
              <w14:schemeClr w14:val="tx1"/>
            </w14:solidFill>
          </w14:textFill>
        </w:rPr>
        <w:t>》履行自己的全部责任。</w:t>
      </w:r>
    </w:p>
    <w:p w14:paraId="31249A56">
      <w:pPr>
        <w:spacing w:before="60" w:after="60" w:line="42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6、我们同意按照招标文件的规定交纳中标服务费，遵守有关招标的各项规定。</w:t>
      </w:r>
    </w:p>
    <w:p w14:paraId="50EF7762">
      <w:pPr>
        <w:spacing w:before="60" w:after="60" w:line="420" w:lineRule="exact"/>
        <w:ind w:left="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7、我方投标文件自投标文件递交截止之日起投标有效期为90日历天。</w:t>
      </w:r>
    </w:p>
    <w:p w14:paraId="10DAD807">
      <w:pPr>
        <w:spacing w:before="60" w:after="60" w:line="420" w:lineRule="exact"/>
        <w:ind w:left="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8、我公司承诺提供的所有资料完全真实，否则将承担由此引起的一切后果。</w:t>
      </w:r>
    </w:p>
    <w:p w14:paraId="4ADFBA7C">
      <w:pPr>
        <w:spacing w:before="60" w:after="60" w:line="420" w:lineRule="exact"/>
        <w:ind w:left="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9、与本投标有关的一切正式往来通讯请寄：</w:t>
      </w:r>
    </w:p>
    <w:p w14:paraId="11CF11C8">
      <w:pPr>
        <w:spacing w:before="60" w:after="60" w:line="420" w:lineRule="exact"/>
        <w:ind w:left="84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投标人代表姓名、职务：</w:t>
      </w:r>
    </w:p>
    <w:p w14:paraId="0F9CE199">
      <w:pPr>
        <w:spacing w:before="60" w:after="60" w:line="420" w:lineRule="exact"/>
        <w:ind w:left="84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投标人全称（公章）：</w:t>
      </w:r>
    </w:p>
    <w:p w14:paraId="4D3666DB">
      <w:pPr>
        <w:spacing w:before="60" w:after="60" w:line="420" w:lineRule="exact"/>
        <w:ind w:left="84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w:t>
      </w:r>
      <w:r>
        <w:rPr>
          <w:rFonts w:hint="eastAsia" w:ascii="宋体" w:hAnsi="宋体" w:cs="宋体"/>
          <w:color w:val="000000" w:themeColor="text1"/>
          <w:sz w:val="24"/>
          <w:szCs w:val="24"/>
          <w:highlight w:val="none"/>
          <w:lang w:eastAsia="zh-CN"/>
          <w14:textFill>
            <w14:solidFill>
              <w14:schemeClr w14:val="tx1"/>
            </w14:solidFill>
          </w14:textFill>
        </w:rPr>
        <w:t>及</w:t>
      </w:r>
      <w:r>
        <w:rPr>
          <w:rFonts w:hint="eastAsia" w:ascii="宋体" w:hAnsi="宋体" w:eastAsia="宋体" w:cs="宋体"/>
          <w:color w:val="000000" w:themeColor="text1"/>
          <w:sz w:val="24"/>
          <w:szCs w:val="24"/>
          <w:highlight w:val="none"/>
          <w14:textFill>
            <w14:solidFill>
              <w14:schemeClr w14:val="tx1"/>
            </w14:solidFill>
          </w14:textFill>
        </w:rPr>
        <w:t>授权人</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签字</w:t>
      </w:r>
      <w:r>
        <w:rPr>
          <w:rFonts w:hint="eastAsia" w:ascii="宋体" w:hAnsi="宋体" w:cs="宋体"/>
          <w:color w:val="000000" w:themeColor="text1"/>
          <w:sz w:val="24"/>
          <w:szCs w:val="24"/>
          <w:highlight w:val="none"/>
          <w:lang w:eastAsia="zh-CN"/>
          <w14:textFill>
            <w14:solidFill>
              <w14:schemeClr w14:val="tx1"/>
            </w14:solidFill>
          </w14:textFill>
        </w:rPr>
        <w:t>及</w:t>
      </w:r>
      <w:r>
        <w:rPr>
          <w:rFonts w:hint="eastAsia" w:ascii="宋体" w:hAnsi="宋体" w:eastAsia="宋体" w:cs="宋体"/>
          <w:color w:val="000000" w:themeColor="text1"/>
          <w:sz w:val="24"/>
          <w:szCs w:val="24"/>
          <w:highlight w:val="none"/>
          <w:lang w:eastAsia="zh-CN"/>
          <w14:textFill>
            <w14:solidFill>
              <w14:schemeClr w14:val="tx1"/>
            </w14:solidFill>
          </w14:textFill>
        </w:rPr>
        <w:t>盖章）</w:t>
      </w:r>
      <w:r>
        <w:rPr>
          <w:rFonts w:hint="eastAsia" w:ascii="宋体" w:hAnsi="宋体" w:eastAsia="宋体" w:cs="宋体"/>
          <w:color w:val="000000" w:themeColor="text1"/>
          <w:sz w:val="24"/>
          <w:szCs w:val="24"/>
          <w:highlight w:val="none"/>
          <w14:textFill>
            <w14:solidFill>
              <w14:schemeClr w14:val="tx1"/>
            </w14:solidFill>
          </w14:textFill>
        </w:rPr>
        <w:t>：</w:t>
      </w:r>
    </w:p>
    <w:p w14:paraId="2A2F9040">
      <w:pPr>
        <w:spacing w:before="60" w:after="60" w:line="420" w:lineRule="exact"/>
        <w:ind w:left="84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p>
    <w:p w14:paraId="1814A7DC">
      <w:pPr>
        <w:spacing w:before="60" w:after="60" w:line="420" w:lineRule="exact"/>
        <w:ind w:left="84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邮政编码：</w:t>
      </w:r>
    </w:p>
    <w:p w14:paraId="212A4334">
      <w:pPr>
        <w:spacing w:before="60" w:after="60" w:line="420" w:lineRule="exact"/>
        <w:ind w:left="84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    话：</w:t>
      </w:r>
    </w:p>
    <w:p w14:paraId="53739FA8">
      <w:pPr>
        <w:spacing w:before="60" w:after="60" w:line="420" w:lineRule="exact"/>
        <w:ind w:left="84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传    真：</w:t>
      </w:r>
    </w:p>
    <w:p w14:paraId="7B4A19B1">
      <w:pPr>
        <w:spacing w:before="60" w:after="60" w:line="420" w:lineRule="exact"/>
        <w:ind w:right="480"/>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年   月   日</w:t>
      </w:r>
    </w:p>
    <w:p w14:paraId="7BD61595">
      <w:pPr>
        <w:pStyle w:val="41"/>
        <w:spacing w:line="480" w:lineRule="exact"/>
        <w:ind w:firstLine="420"/>
        <w:textAlignment w:val="center"/>
        <w:rPr>
          <w:rFonts w:hAnsi="宋体" w:cs="宋体"/>
          <w:color w:val="000000" w:themeColor="text1"/>
          <w:highlight w:val="none"/>
          <w14:textFill>
            <w14:solidFill>
              <w14:schemeClr w14:val="tx1"/>
            </w14:solidFill>
          </w14:textFill>
        </w:rPr>
      </w:pPr>
    </w:p>
    <w:p w14:paraId="79190E9B">
      <w:pPr>
        <w:spacing w:line="360" w:lineRule="auto"/>
        <w:jc w:val="center"/>
        <w:outlineLvl w:val="1"/>
        <w:rPr>
          <w:rFonts w:hint="eastAsia" w:ascii="宋体" w:hAnsi="宋体" w:eastAsia="宋体" w:cs="宋体"/>
          <w:b/>
          <w:sz w:val="28"/>
          <w:szCs w:val="28"/>
          <w:highlight w:val="none"/>
        </w:rPr>
      </w:pPr>
      <w:r>
        <w:rPr>
          <w:rFonts w:hint="eastAsia" w:ascii="宋体" w:hAnsi="宋体" w:cs="宋体"/>
          <w:b/>
          <w:color w:val="000000" w:themeColor="text1"/>
          <w:sz w:val="32"/>
          <w:szCs w:val="32"/>
          <w:highlight w:val="none"/>
          <w14:textFill>
            <w14:solidFill>
              <w14:schemeClr w14:val="tx1"/>
            </w14:solidFill>
          </w14:textFill>
        </w:rPr>
        <w:br w:type="page"/>
      </w:r>
      <w:bookmarkEnd w:id="58"/>
      <w:r>
        <w:rPr>
          <w:rFonts w:hint="eastAsia" w:ascii="宋体" w:hAnsi="宋体" w:eastAsia="宋体" w:cs="宋体"/>
          <w:b/>
          <w:sz w:val="28"/>
          <w:szCs w:val="28"/>
          <w:highlight w:val="none"/>
        </w:rPr>
        <w:t>法定代表人身份证明书</w:t>
      </w:r>
    </w:p>
    <w:p w14:paraId="35EA3DD1">
      <w:pPr>
        <w:spacing w:line="360" w:lineRule="auto"/>
        <w:rPr>
          <w:rFonts w:hint="eastAsia" w:ascii="宋体" w:hAnsi="宋体" w:eastAsia="宋体" w:cs="宋体"/>
          <w:sz w:val="24"/>
          <w:szCs w:val="24"/>
          <w:highlight w:val="none"/>
        </w:rPr>
      </w:pPr>
    </w:p>
    <w:p w14:paraId="4729DDC3">
      <w:pPr>
        <w:spacing w:line="48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 标 人：</w:t>
      </w:r>
      <w:r>
        <w:rPr>
          <w:rFonts w:hint="eastAsia" w:ascii="宋体" w:hAnsi="宋体" w:eastAsia="宋体" w:cs="宋体"/>
          <w:color w:val="auto"/>
          <w:sz w:val="24"/>
          <w:szCs w:val="24"/>
          <w:highlight w:val="none"/>
          <w:u w:val="single"/>
        </w:rPr>
        <w:t xml:space="preserve">                                                </w:t>
      </w:r>
    </w:p>
    <w:p w14:paraId="45AC425A">
      <w:pPr>
        <w:spacing w:line="48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rPr>
        <w:t xml:space="preserve">                                                </w:t>
      </w:r>
    </w:p>
    <w:p w14:paraId="2A69B9B7">
      <w:pPr>
        <w:spacing w:line="480" w:lineRule="auto"/>
        <w:ind w:firstLine="720" w:firstLineChars="3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14:paraId="0A80303B">
      <w:pPr>
        <w:spacing w:line="48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476B801">
      <w:pPr>
        <w:spacing w:line="48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经营期限：</w:t>
      </w:r>
      <w:r>
        <w:rPr>
          <w:rFonts w:hint="eastAsia" w:ascii="宋体" w:hAnsi="宋体" w:eastAsia="宋体" w:cs="宋体"/>
          <w:color w:val="auto"/>
          <w:sz w:val="24"/>
          <w:szCs w:val="24"/>
          <w:highlight w:val="none"/>
          <w:u w:val="single"/>
        </w:rPr>
        <w:t xml:space="preserve">                                                </w:t>
      </w:r>
    </w:p>
    <w:p w14:paraId="24365B61">
      <w:pPr>
        <w:spacing w:line="48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性    别：</w:t>
      </w:r>
      <w:r>
        <w:rPr>
          <w:rFonts w:hint="eastAsia" w:ascii="宋体" w:hAnsi="宋体" w:eastAsia="宋体" w:cs="宋体"/>
          <w:color w:val="auto"/>
          <w:sz w:val="24"/>
          <w:szCs w:val="24"/>
          <w:highlight w:val="none"/>
          <w:u w:val="single"/>
        </w:rPr>
        <w:t xml:space="preserve">                </w:t>
      </w:r>
    </w:p>
    <w:p w14:paraId="01FBD608">
      <w:pPr>
        <w:spacing w:line="48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职    务：</w:t>
      </w:r>
      <w:r>
        <w:rPr>
          <w:rFonts w:hint="eastAsia" w:ascii="宋体" w:hAnsi="宋体" w:eastAsia="宋体" w:cs="宋体"/>
          <w:color w:val="auto"/>
          <w:sz w:val="24"/>
          <w:szCs w:val="24"/>
          <w:highlight w:val="none"/>
          <w:u w:val="single"/>
        </w:rPr>
        <w:t xml:space="preserve">                </w:t>
      </w:r>
    </w:p>
    <w:p w14:paraId="6899D4AA">
      <w:pPr>
        <w:spacing w:line="48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的法定代表人。</w:t>
      </w:r>
    </w:p>
    <w:p w14:paraId="7F7C601B">
      <w:pPr>
        <w:spacing w:line="360" w:lineRule="auto"/>
        <w:ind w:firstLine="720" w:firstLineChars="300"/>
        <w:rPr>
          <w:rFonts w:hint="eastAsia" w:ascii="宋体" w:hAnsi="宋体" w:eastAsia="宋体" w:cs="宋体"/>
          <w:color w:val="auto"/>
          <w:sz w:val="24"/>
          <w:szCs w:val="24"/>
          <w:highlight w:val="none"/>
        </w:rPr>
      </w:pPr>
    </w:p>
    <w:p w14:paraId="06A2E0D1">
      <w:pPr>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14:paraId="33C2CA48">
      <w:pPr>
        <w:snapToGrid w:val="0"/>
        <w:ind w:firstLine="723" w:firstLineChars="300"/>
        <w:jc w:val="both"/>
        <w:rPr>
          <w:rFonts w:hint="eastAsia" w:ascii="宋体" w:hAnsi="宋体" w:eastAsia="宋体" w:cs="宋体"/>
          <w:b/>
          <w:color w:val="auto"/>
          <w:sz w:val="24"/>
          <w:szCs w:val="24"/>
          <w:highlight w:val="none"/>
          <w:lang w:eastAsia="zh-CN"/>
        </w:rPr>
      </w:pPr>
    </w:p>
    <w:p w14:paraId="625FA434">
      <w:pPr>
        <w:spacing w:line="360" w:lineRule="auto"/>
        <w:ind w:firstLine="1200" w:firstLineChars="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bl>
      <w:tblPr>
        <w:tblStyle w:val="76"/>
        <w:tblW w:w="5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00"/>
      </w:tblGrid>
      <w:tr w14:paraId="1BC4B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8" w:hRule="atLeast"/>
          <w:jc w:val="center"/>
        </w:trPr>
        <w:tc>
          <w:tcPr>
            <w:tcW w:w="5500" w:type="dxa"/>
            <w:noWrap w:val="0"/>
            <w:vAlign w:val="center"/>
          </w:tcPr>
          <w:p w14:paraId="3E410E19">
            <w:pPr>
              <w:spacing w:before="60" w:after="60" w:line="5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附：法定代表人身份证件</w:t>
            </w:r>
          </w:p>
          <w:p w14:paraId="57DB73AA">
            <w:pPr>
              <w:spacing w:before="60" w:after="60" w:line="5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正反面</w:t>
            </w:r>
          </w:p>
        </w:tc>
      </w:tr>
    </w:tbl>
    <w:p w14:paraId="5CCF30EC">
      <w:pPr>
        <w:spacing w:line="360" w:lineRule="auto"/>
        <w:ind w:firstLine="1200" w:firstLineChars="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7B29BBCA">
      <w:pPr>
        <w:spacing w:line="360" w:lineRule="auto"/>
        <w:ind w:firstLine="4200" w:firstLineChars="1750"/>
        <w:rPr>
          <w:rFonts w:hint="eastAsia" w:ascii="宋体" w:hAnsi="宋体" w:eastAsia="宋体" w:cs="宋体"/>
          <w:color w:val="auto"/>
          <w:sz w:val="24"/>
          <w:szCs w:val="24"/>
          <w:highlight w:val="none"/>
        </w:rPr>
      </w:pPr>
    </w:p>
    <w:p w14:paraId="053F331C">
      <w:pPr>
        <w:pStyle w:val="75"/>
        <w:rPr>
          <w:rFonts w:hint="eastAsia" w:ascii="宋体" w:hAnsi="宋体" w:eastAsia="宋体" w:cs="宋体"/>
          <w:color w:val="auto"/>
          <w:sz w:val="24"/>
          <w:szCs w:val="24"/>
          <w:highlight w:val="none"/>
        </w:rPr>
      </w:pPr>
    </w:p>
    <w:p w14:paraId="06FE7103">
      <w:pPr>
        <w:spacing w:line="360" w:lineRule="auto"/>
        <w:ind w:firstLine="4200" w:firstLineChars="175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u w:val="single"/>
        </w:rPr>
        <w:t xml:space="preserve">                   (盖单位章)</w:t>
      </w:r>
    </w:p>
    <w:p w14:paraId="2394EF12">
      <w:pPr>
        <w:spacing w:line="360" w:lineRule="auto"/>
        <w:ind w:firstLine="4200" w:firstLineChars="17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94A7B9D">
      <w:pPr>
        <w:spacing w:line="500" w:lineRule="exact"/>
        <w:jc w:val="center"/>
        <w:rPr>
          <w:rFonts w:hint="eastAsia" w:ascii="宋体" w:hAnsi="宋体" w:eastAsia="宋体" w:cs="宋体"/>
          <w:sz w:val="24"/>
          <w:highlight w:val="none"/>
        </w:rPr>
      </w:pPr>
    </w:p>
    <w:p w14:paraId="0D8FB649">
      <w:pPr>
        <w:spacing w:line="500" w:lineRule="exact"/>
        <w:jc w:val="center"/>
        <w:rPr>
          <w:rFonts w:hint="eastAsia" w:ascii="宋体" w:hAnsi="宋体" w:eastAsia="宋体" w:cs="宋体"/>
          <w:sz w:val="24"/>
          <w:highlight w:val="none"/>
        </w:rPr>
      </w:pPr>
    </w:p>
    <w:p w14:paraId="039CC033">
      <w:pPr>
        <w:pStyle w:val="75"/>
        <w:rPr>
          <w:rFonts w:hint="eastAsia"/>
          <w:highlight w:val="none"/>
        </w:rPr>
      </w:pPr>
    </w:p>
    <w:p w14:paraId="5BF28092">
      <w:pPr>
        <w:spacing w:line="360" w:lineRule="auto"/>
        <w:jc w:val="both"/>
        <w:rPr>
          <w:rFonts w:hint="eastAsia" w:ascii="宋体" w:hAnsi="宋体" w:eastAsia="宋体" w:cs="宋体"/>
          <w:b/>
          <w:sz w:val="28"/>
          <w:szCs w:val="28"/>
          <w:highlight w:val="none"/>
        </w:rPr>
      </w:pPr>
    </w:p>
    <w:p w14:paraId="0399BE41">
      <w:pPr>
        <w:pStyle w:val="75"/>
        <w:rPr>
          <w:rFonts w:hint="eastAsia"/>
          <w:highlight w:val="none"/>
        </w:rPr>
      </w:pPr>
    </w:p>
    <w:p w14:paraId="79871A24">
      <w:pPr>
        <w:spacing w:line="360" w:lineRule="auto"/>
        <w:jc w:val="center"/>
        <w:outlineLvl w:val="1"/>
        <w:rPr>
          <w:rFonts w:hint="eastAsia" w:ascii="宋体" w:hAnsi="宋体" w:eastAsia="宋体" w:cs="宋体"/>
          <w:b/>
          <w:sz w:val="28"/>
          <w:szCs w:val="28"/>
          <w:highlight w:val="none"/>
        </w:rPr>
      </w:pPr>
      <w:r>
        <w:rPr>
          <w:rFonts w:hint="eastAsia" w:ascii="宋体" w:hAnsi="宋体" w:eastAsia="宋体" w:cs="宋体"/>
          <w:b/>
          <w:sz w:val="28"/>
          <w:szCs w:val="28"/>
          <w:highlight w:val="none"/>
        </w:rPr>
        <w:t>法定代表人授权委托书</w:t>
      </w:r>
    </w:p>
    <w:p w14:paraId="067F3E03">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本授权委托书声明：我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（法定代表人名称）系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（投标人全称）的法定代表人，现授权委托我公司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（委托代理人名称和职务）为全权代表，参加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（招标人名称）的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项目（招标项目名称）招投标活动，招标编号为：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。该同志代表我单位全权处理本次招投标活动中与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（招标人名称）的一切事宜，由他签字的一切文件，我公司均认可。</w:t>
      </w:r>
    </w:p>
    <w:p w14:paraId="520A84BC">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委托代理人无转委托权，特此委托。</w:t>
      </w:r>
    </w:p>
    <w:p w14:paraId="18F3B7DF">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410CE6BC">
      <w:pPr>
        <w:spacing w:line="500" w:lineRule="exact"/>
        <w:ind w:firstLine="4560" w:firstLineChars="1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b w:val="0"/>
          <w:bCs w:val="0"/>
          <w:color w:val="auto"/>
          <w:sz w:val="24"/>
          <w:szCs w:val="24"/>
          <w:highlight w:val="none"/>
        </w:rPr>
        <w:t>（签字或</w:t>
      </w:r>
      <w:r>
        <w:rPr>
          <w:rFonts w:hint="eastAsia" w:ascii="宋体" w:hAnsi="宋体" w:eastAsia="宋体" w:cs="宋体"/>
          <w:b w:val="0"/>
          <w:bCs w:val="0"/>
          <w:color w:val="auto"/>
          <w:sz w:val="24"/>
          <w:szCs w:val="24"/>
          <w:highlight w:val="none"/>
          <w:lang w:eastAsia="zh-CN"/>
        </w:rPr>
        <w:t>盖</w:t>
      </w:r>
      <w:r>
        <w:rPr>
          <w:rFonts w:hint="eastAsia" w:ascii="宋体" w:hAnsi="宋体" w:eastAsia="宋体" w:cs="宋体"/>
          <w:b w:val="0"/>
          <w:bCs w:val="0"/>
          <w:color w:val="auto"/>
          <w:sz w:val="24"/>
          <w:szCs w:val="24"/>
          <w:highlight w:val="none"/>
        </w:rPr>
        <w:t>章）</w:t>
      </w:r>
      <w:r>
        <w:rPr>
          <w:rFonts w:hint="eastAsia" w:ascii="宋体" w:hAnsi="宋体" w:eastAsia="宋体" w:cs="宋体"/>
          <w:color w:val="auto"/>
          <w:sz w:val="24"/>
          <w:szCs w:val="24"/>
          <w:highlight w:val="none"/>
        </w:rPr>
        <w:t>：</w:t>
      </w:r>
    </w:p>
    <w:p w14:paraId="57315973">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投标人全称(</w:t>
      </w:r>
      <w:r>
        <w:rPr>
          <w:rFonts w:hint="eastAsia" w:ascii="宋体" w:hAnsi="宋体" w:eastAsia="宋体" w:cs="宋体"/>
          <w:color w:val="auto"/>
          <w:sz w:val="24"/>
          <w:szCs w:val="24"/>
          <w:highlight w:val="none"/>
          <w:lang w:eastAsia="zh-CN"/>
        </w:rPr>
        <w:t>加盖</w:t>
      </w:r>
      <w:r>
        <w:rPr>
          <w:rFonts w:hint="eastAsia" w:ascii="宋体" w:hAnsi="宋体" w:eastAsia="宋体" w:cs="宋体"/>
          <w:color w:val="auto"/>
          <w:sz w:val="24"/>
          <w:szCs w:val="24"/>
          <w:highlight w:val="none"/>
        </w:rPr>
        <w:t>公章)：</w:t>
      </w:r>
    </w:p>
    <w:p w14:paraId="33AA72C9">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授权委托期：</w:t>
      </w:r>
    </w:p>
    <w:p w14:paraId="71BC7EE2">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w:t>
      </w:r>
    </w:p>
    <w:p w14:paraId="37C6E7B4">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委托代理人姓名：</w:t>
      </w:r>
    </w:p>
    <w:p w14:paraId="6A193068">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p>
    <w:p w14:paraId="09269AFF">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身份证号码  ：</w:t>
      </w:r>
    </w:p>
    <w:p w14:paraId="60B5F8F8">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详细通讯地址：</w:t>
      </w:r>
    </w:p>
    <w:p w14:paraId="6C005B2F">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 政 编 码 ：</w:t>
      </w:r>
    </w:p>
    <w:p w14:paraId="056C21E8">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p>
    <w:p w14:paraId="78405B8E">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p w14:paraId="27BB3FA3">
      <w:pPr>
        <w:tabs>
          <w:tab w:val="left" w:pos="0"/>
          <w:tab w:val="left" w:pos="180"/>
          <w:tab w:val="left" w:pos="360"/>
        </w:tabs>
        <w:jc w:val="center"/>
        <w:rPr>
          <w:rFonts w:hint="eastAsia" w:ascii="宋体" w:hAnsi="宋体" w:eastAsia="宋体" w:cs="宋体"/>
          <w:color w:val="auto"/>
          <w:highlight w:val="none"/>
        </w:rPr>
      </w:pPr>
    </w:p>
    <w:tbl>
      <w:tblPr>
        <w:tblStyle w:val="76"/>
        <w:tblW w:w="5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20"/>
      </w:tblGrid>
      <w:tr w14:paraId="77196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8" w:hRule="atLeast"/>
          <w:jc w:val="center"/>
        </w:trPr>
        <w:tc>
          <w:tcPr>
            <w:tcW w:w="5920" w:type="dxa"/>
            <w:noWrap w:val="0"/>
            <w:vAlign w:val="center"/>
          </w:tcPr>
          <w:p w14:paraId="6A052DB0">
            <w:pPr>
              <w:spacing w:before="60" w:after="60" w:line="500" w:lineRule="exact"/>
              <w:ind w:firstLine="482" w:firstLineChars="20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附：授权代理人身份证件正反面</w:t>
            </w:r>
          </w:p>
        </w:tc>
      </w:tr>
    </w:tbl>
    <w:p w14:paraId="2F85C280">
      <w:pPr>
        <w:autoSpaceDE w:val="0"/>
        <w:autoSpaceDN w:val="0"/>
        <w:adjustRightInd w:val="0"/>
        <w:spacing w:line="360" w:lineRule="auto"/>
        <w:jc w:val="center"/>
        <w:rPr>
          <w:rFonts w:hint="eastAsia" w:ascii="宋体" w:hAnsi="宋体" w:eastAsia="宋体" w:cs="宋体"/>
          <w:b/>
          <w:bCs/>
          <w:sz w:val="32"/>
          <w:szCs w:val="22"/>
          <w:highlight w:val="none"/>
          <w:lang w:eastAsia="zh-CN"/>
        </w:rPr>
      </w:pPr>
    </w:p>
    <w:p w14:paraId="1942B18E">
      <w:pPr>
        <w:pStyle w:val="495"/>
        <w:spacing w:line="440" w:lineRule="exact"/>
        <w:ind w:left="250" w:right="720"/>
        <w:jc w:val="center"/>
        <w:rPr>
          <w:rFonts w:ascii="宋体" w:hAnsi="宋体" w:cs="宋体"/>
          <w:b/>
          <w:color w:val="000000" w:themeColor="text1"/>
          <w:sz w:val="28"/>
          <w:szCs w:val="28"/>
          <w:highlight w:val="none"/>
          <w14:textFill>
            <w14:solidFill>
              <w14:schemeClr w14:val="tx1"/>
            </w14:solidFill>
          </w14:textFill>
        </w:rPr>
      </w:pPr>
    </w:p>
    <w:p w14:paraId="656E115E">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br w:type="page"/>
      </w:r>
    </w:p>
    <w:p w14:paraId="2D5F99E4">
      <w:pPr>
        <w:jc w:val="center"/>
        <w:rPr>
          <w:rFonts w:ascii="宋体" w:hAnsi="宋体" w:cs="宋体"/>
          <w:b/>
          <w:color w:val="000000" w:themeColor="text1"/>
          <w:sz w:val="30"/>
          <w:szCs w:val="30"/>
          <w:highlight w:val="none"/>
          <w14:textFill>
            <w14:solidFill>
              <w14:schemeClr w14:val="tx1"/>
            </w14:solidFill>
          </w14:textFill>
        </w:rPr>
      </w:pPr>
    </w:p>
    <w:p w14:paraId="34EA5FCA">
      <w:pPr>
        <w:jc w:val="center"/>
        <w:outlineLvl w:val="1"/>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联合体协议书（本项目不适用）</w:t>
      </w:r>
    </w:p>
    <w:p w14:paraId="62904EF0">
      <w:pPr>
        <w:rPr>
          <w:rFonts w:ascii="宋体" w:hAnsi="宋体" w:cs="宋体"/>
          <w:b/>
          <w:color w:val="000000" w:themeColor="text1"/>
          <w:sz w:val="30"/>
          <w:szCs w:val="30"/>
          <w:highlight w:val="none"/>
          <w14:textFill>
            <w14:solidFill>
              <w14:schemeClr w14:val="tx1"/>
            </w14:solidFill>
          </w14:textFill>
        </w:rPr>
      </w:pPr>
    </w:p>
    <w:p w14:paraId="039C79C4">
      <w:pPr>
        <w:rPr>
          <w:rFonts w:ascii="宋体" w:hAnsi="宋体" w:cs="宋体"/>
          <w:b/>
          <w:color w:val="000000" w:themeColor="text1"/>
          <w:sz w:val="30"/>
          <w:szCs w:val="30"/>
          <w:highlight w:val="none"/>
          <w14:textFill>
            <w14:solidFill>
              <w14:schemeClr w14:val="tx1"/>
            </w14:solidFill>
          </w14:textFill>
        </w:rPr>
      </w:pPr>
    </w:p>
    <w:p w14:paraId="5C3CC6DF">
      <w:pPr>
        <w:rPr>
          <w:rFonts w:ascii="宋体" w:hAnsi="宋体" w:cs="宋体"/>
          <w:b/>
          <w:color w:val="000000" w:themeColor="text1"/>
          <w:sz w:val="30"/>
          <w:szCs w:val="30"/>
          <w:highlight w:val="none"/>
          <w14:textFill>
            <w14:solidFill>
              <w14:schemeClr w14:val="tx1"/>
            </w14:solidFill>
          </w14:textFill>
        </w:rPr>
      </w:pPr>
    </w:p>
    <w:p w14:paraId="6353EEBA">
      <w:pPr>
        <w:rPr>
          <w:rFonts w:ascii="宋体" w:hAnsi="宋体" w:cs="宋体"/>
          <w:b/>
          <w:color w:val="000000" w:themeColor="text1"/>
          <w:sz w:val="30"/>
          <w:szCs w:val="30"/>
          <w:highlight w:val="none"/>
          <w14:textFill>
            <w14:solidFill>
              <w14:schemeClr w14:val="tx1"/>
            </w14:solidFill>
          </w14:textFill>
        </w:rPr>
      </w:pPr>
    </w:p>
    <w:p w14:paraId="2B3714F2">
      <w:pPr>
        <w:rPr>
          <w:rFonts w:ascii="宋体" w:hAnsi="宋体" w:cs="宋体"/>
          <w:b/>
          <w:color w:val="000000" w:themeColor="text1"/>
          <w:sz w:val="30"/>
          <w:szCs w:val="30"/>
          <w:highlight w:val="none"/>
          <w14:textFill>
            <w14:solidFill>
              <w14:schemeClr w14:val="tx1"/>
            </w14:solidFill>
          </w14:textFill>
        </w:rPr>
      </w:pPr>
    </w:p>
    <w:p w14:paraId="7B8DC199">
      <w:pPr>
        <w:rPr>
          <w:rFonts w:ascii="宋体" w:hAnsi="宋体" w:cs="宋体"/>
          <w:b/>
          <w:color w:val="000000" w:themeColor="text1"/>
          <w:sz w:val="30"/>
          <w:szCs w:val="30"/>
          <w:highlight w:val="none"/>
          <w14:textFill>
            <w14:solidFill>
              <w14:schemeClr w14:val="tx1"/>
            </w14:solidFill>
          </w14:textFill>
        </w:rPr>
      </w:pPr>
    </w:p>
    <w:p w14:paraId="421DE33D">
      <w:pPr>
        <w:rPr>
          <w:rFonts w:ascii="宋体" w:hAnsi="宋体" w:cs="宋体"/>
          <w:b/>
          <w:color w:val="000000" w:themeColor="text1"/>
          <w:sz w:val="30"/>
          <w:szCs w:val="30"/>
          <w:highlight w:val="none"/>
          <w14:textFill>
            <w14:solidFill>
              <w14:schemeClr w14:val="tx1"/>
            </w14:solidFill>
          </w14:textFill>
        </w:rPr>
      </w:pPr>
    </w:p>
    <w:p w14:paraId="08E38A60">
      <w:pPr>
        <w:rPr>
          <w:rFonts w:ascii="宋体" w:hAnsi="宋体" w:cs="宋体"/>
          <w:b/>
          <w:color w:val="000000" w:themeColor="text1"/>
          <w:sz w:val="30"/>
          <w:szCs w:val="30"/>
          <w:highlight w:val="none"/>
          <w14:textFill>
            <w14:solidFill>
              <w14:schemeClr w14:val="tx1"/>
            </w14:solidFill>
          </w14:textFill>
        </w:rPr>
      </w:pPr>
    </w:p>
    <w:p w14:paraId="7CBCE3B8">
      <w:pPr>
        <w:rPr>
          <w:rFonts w:ascii="宋体" w:hAnsi="宋体" w:cs="宋体"/>
          <w:b/>
          <w:color w:val="000000" w:themeColor="text1"/>
          <w:sz w:val="30"/>
          <w:szCs w:val="30"/>
          <w:highlight w:val="none"/>
          <w14:textFill>
            <w14:solidFill>
              <w14:schemeClr w14:val="tx1"/>
            </w14:solidFill>
          </w14:textFill>
        </w:rPr>
      </w:pPr>
    </w:p>
    <w:p w14:paraId="44E94A29">
      <w:pPr>
        <w:rPr>
          <w:rFonts w:ascii="宋体" w:hAnsi="宋体" w:cs="宋体"/>
          <w:b/>
          <w:color w:val="000000" w:themeColor="text1"/>
          <w:sz w:val="30"/>
          <w:szCs w:val="30"/>
          <w:highlight w:val="none"/>
          <w14:textFill>
            <w14:solidFill>
              <w14:schemeClr w14:val="tx1"/>
            </w14:solidFill>
          </w14:textFill>
        </w:rPr>
      </w:pPr>
    </w:p>
    <w:p w14:paraId="7F2EA1B0">
      <w:pPr>
        <w:rPr>
          <w:rFonts w:ascii="宋体" w:hAnsi="宋体" w:cs="宋体"/>
          <w:b/>
          <w:color w:val="000000" w:themeColor="text1"/>
          <w:sz w:val="30"/>
          <w:szCs w:val="30"/>
          <w:highlight w:val="none"/>
          <w14:textFill>
            <w14:solidFill>
              <w14:schemeClr w14:val="tx1"/>
            </w14:solidFill>
          </w14:textFill>
        </w:rPr>
      </w:pPr>
    </w:p>
    <w:p w14:paraId="56CA3372">
      <w:pPr>
        <w:rPr>
          <w:rFonts w:ascii="宋体" w:hAnsi="宋体" w:cs="宋体"/>
          <w:b/>
          <w:color w:val="000000" w:themeColor="text1"/>
          <w:sz w:val="30"/>
          <w:szCs w:val="30"/>
          <w:highlight w:val="none"/>
          <w14:textFill>
            <w14:solidFill>
              <w14:schemeClr w14:val="tx1"/>
            </w14:solidFill>
          </w14:textFill>
        </w:rPr>
      </w:pPr>
    </w:p>
    <w:p w14:paraId="44F8E1E1">
      <w:pPr>
        <w:rPr>
          <w:rFonts w:ascii="宋体" w:hAnsi="宋体" w:cs="宋体"/>
          <w:b/>
          <w:color w:val="000000" w:themeColor="text1"/>
          <w:sz w:val="30"/>
          <w:szCs w:val="30"/>
          <w:highlight w:val="none"/>
          <w14:textFill>
            <w14:solidFill>
              <w14:schemeClr w14:val="tx1"/>
            </w14:solidFill>
          </w14:textFill>
        </w:rPr>
      </w:pPr>
    </w:p>
    <w:p w14:paraId="5F8D666C">
      <w:pPr>
        <w:pStyle w:val="4"/>
        <w:outlineLvl w:val="9"/>
        <w:rPr>
          <w:rFonts w:ascii="宋体" w:hAnsi="宋体" w:cs="宋体"/>
          <w:b/>
          <w:color w:val="000000" w:themeColor="text1"/>
          <w:sz w:val="30"/>
          <w:szCs w:val="30"/>
          <w:highlight w:val="none"/>
          <w14:textFill>
            <w14:solidFill>
              <w14:schemeClr w14:val="tx1"/>
            </w14:solidFill>
          </w14:textFill>
        </w:rPr>
      </w:pPr>
    </w:p>
    <w:p w14:paraId="5868BB09">
      <w:pPr>
        <w:rPr>
          <w:color w:val="000000" w:themeColor="text1"/>
          <w:highlight w:val="none"/>
          <w14:textFill>
            <w14:solidFill>
              <w14:schemeClr w14:val="tx1"/>
            </w14:solidFill>
          </w14:textFill>
        </w:rPr>
      </w:pPr>
    </w:p>
    <w:p w14:paraId="15144B35">
      <w:pPr>
        <w:rPr>
          <w:rFonts w:ascii="宋体" w:hAnsi="宋体" w:cs="宋体"/>
          <w:b/>
          <w:color w:val="000000" w:themeColor="text1"/>
          <w:sz w:val="30"/>
          <w:szCs w:val="30"/>
          <w:highlight w:val="none"/>
          <w14:textFill>
            <w14:solidFill>
              <w14:schemeClr w14:val="tx1"/>
            </w14:solidFill>
          </w14:textFill>
        </w:rPr>
      </w:pPr>
    </w:p>
    <w:p w14:paraId="1E19683F">
      <w:pPr>
        <w:rPr>
          <w:rFonts w:ascii="宋体" w:hAnsi="宋体" w:cs="宋体"/>
          <w:b/>
          <w:color w:val="000000" w:themeColor="text1"/>
          <w:sz w:val="30"/>
          <w:szCs w:val="30"/>
          <w:highlight w:val="none"/>
          <w14:textFill>
            <w14:solidFill>
              <w14:schemeClr w14:val="tx1"/>
            </w14:solidFill>
          </w14:textFill>
        </w:rPr>
      </w:pPr>
    </w:p>
    <w:p w14:paraId="33974C8D">
      <w:pPr>
        <w:rPr>
          <w:rFonts w:ascii="宋体" w:hAnsi="宋体" w:cs="宋体"/>
          <w:b/>
          <w:color w:val="000000" w:themeColor="text1"/>
          <w:sz w:val="30"/>
          <w:szCs w:val="30"/>
          <w:highlight w:val="none"/>
          <w14:textFill>
            <w14:solidFill>
              <w14:schemeClr w14:val="tx1"/>
            </w14:solidFill>
          </w14:textFill>
        </w:rPr>
      </w:pPr>
    </w:p>
    <w:p w14:paraId="52C2C461">
      <w:pPr>
        <w:rPr>
          <w:rFonts w:ascii="宋体" w:hAnsi="宋体" w:cs="宋体"/>
          <w:b/>
          <w:color w:val="000000" w:themeColor="text1"/>
          <w:sz w:val="30"/>
          <w:szCs w:val="30"/>
          <w:highlight w:val="none"/>
          <w14:textFill>
            <w14:solidFill>
              <w14:schemeClr w14:val="tx1"/>
            </w14:solidFill>
          </w14:textFill>
        </w:rPr>
      </w:pPr>
    </w:p>
    <w:p w14:paraId="47814276">
      <w:pPr>
        <w:rPr>
          <w:rFonts w:ascii="宋体" w:hAnsi="宋体" w:cs="宋体"/>
          <w:b/>
          <w:color w:val="000000" w:themeColor="text1"/>
          <w:sz w:val="30"/>
          <w:szCs w:val="30"/>
          <w:highlight w:val="none"/>
          <w14:textFill>
            <w14:solidFill>
              <w14:schemeClr w14:val="tx1"/>
            </w14:solidFill>
          </w14:textFill>
        </w:rPr>
      </w:pPr>
    </w:p>
    <w:p w14:paraId="0A86C389">
      <w:pPr>
        <w:rPr>
          <w:rFonts w:ascii="宋体" w:hAnsi="宋体" w:cs="宋体"/>
          <w:b/>
          <w:color w:val="000000" w:themeColor="text1"/>
          <w:sz w:val="30"/>
          <w:szCs w:val="30"/>
          <w:highlight w:val="none"/>
          <w14:textFill>
            <w14:solidFill>
              <w14:schemeClr w14:val="tx1"/>
            </w14:solidFill>
          </w14:textFill>
        </w:rPr>
      </w:pPr>
    </w:p>
    <w:p w14:paraId="1ED53007">
      <w:pPr>
        <w:rPr>
          <w:rFonts w:ascii="宋体" w:hAnsi="宋体" w:cs="宋体"/>
          <w:b/>
          <w:color w:val="000000" w:themeColor="text1"/>
          <w:sz w:val="30"/>
          <w:szCs w:val="30"/>
          <w:highlight w:val="none"/>
          <w14:textFill>
            <w14:solidFill>
              <w14:schemeClr w14:val="tx1"/>
            </w14:solidFill>
          </w14:textFill>
        </w:rPr>
      </w:pPr>
    </w:p>
    <w:p w14:paraId="25E31353">
      <w:pPr>
        <w:rPr>
          <w:rFonts w:ascii="宋体" w:hAnsi="宋体" w:cs="宋体"/>
          <w:b/>
          <w:color w:val="000000" w:themeColor="text1"/>
          <w:sz w:val="30"/>
          <w:szCs w:val="30"/>
          <w:highlight w:val="none"/>
          <w14:textFill>
            <w14:solidFill>
              <w14:schemeClr w14:val="tx1"/>
            </w14:solidFill>
          </w14:textFill>
        </w:rPr>
      </w:pPr>
    </w:p>
    <w:p w14:paraId="0BCBCA32">
      <w:pPr>
        <w:pStyle w:val="4"/>
        <w:outlineLvl w:val="9"/>
        <w:rPr>
          <w:rFonts w:ascii="宋体" w:hAnsi="宋体" w:cs="宋体"/>
          <w:b/>
          <w:color w:val="000000" w:themeColor="text1"/>
          <w:sz w:val="30"/>
          <w:szCs w:val="30"/>
          <w:highlight w:val="none"/>
          <w14:textFill>
            <w14:solidFill>
              <w14:schemeClr w14:val="tx1"/>
            </w14:solidFill>
          </w14:textFill>
        </w:rPr>
      </w:pPr>
    </w:p>
    <w:p w14:paraId="543FB1E8">
      <w:pPr>
        <w:rPr>
          <w:rFonts w:ascii="宋体" w:hAnsi="宋体" w:cs="宋体"/>
          <w:b/>
          <w:color w:val="000000" w:themeColor="text1"/>
          <w:sz w:val="30"/>
          <w:szCs w:val="30"/>
          <w:highlight w:val="none"/>
          <w14:textFill>
            <w14:solidFill>
              <w14:schemeClr w14:val="tx1"/>
            </w14:solidFill>
          </w14:textFill>
        </w:rPr>
      </w:pPr>
    </w:p>
    <w:p w14:paraId="151E0BE1">
      <w:pPr>
        <w:pStyle w:val="4"/>
        <w:outlineLvl w:val="9"/>
        <w:rPr>
          <w:rFonts w:ascii="宋体" w:hAnsi="宋体" w:cs="宋体"/>
          <w:b/>
          <w:color w:val="000000" w:themeColor="text1"/>
          <w:sz w:val="30"/>
          <w:szCs w:val="30"/>
          <w:highlight w:val="none"/>
          <w14:textFill>
            <w14:solidFill>
              <w14:schemeClr w14:val="tx1"/>
            </w14:solidFill>
          </w14:textFill>
        </w:rPr>
      </w:pPr>
    </w:p>
    <w:p w14:paraId="6BCDB817">
      <w:pPr>
        <w:rPr>
          <w:rFonts w:ascii="宋体" w:hAnsi="宋体" w:cs="宋体"/>
          <w:b/>
          <w:color w:val="000000" w:themeColor="text1"/>
          <w:sz w:val="30"/>
          <w:szCs w:val="30"/>
          <w:highlight w:val="none"/>
          <w14:textFill>
            <w14:solidFill>
              <w14:schemeClr w14:val="tx1"/>
            </w14:solidFill>
          </w14:textFill>
        </w:rPr>
      </w:pPr>
    </w:p>
    <w:p w14:paraId="4C4F50AA">
      <w:pPr>
        <w:rPr>
          <w:rFonts w:ascii="宋体" w:hAnsi="宋体" w:cs="宋体"/>
          <w:b/>
          <w:color w:val="000000" w:themeColor="text1"/>
          <w:sz w:val="30"/>
          <w:szCs w:val="30"/>
          <w:highlight w:val="none"/>
          <w14:textFill>
            <w14:solidFill>
              <w14:schemeClr w14:val="tx1"/>
            </w14:solidFill>
          </w14:textFill>
        </w:rPr>
      </w:pPr>
    </w:p>
    <w:p w14:paraId="07915AB7">
      <w:pPr>
        <w:jc w:val="center"/>
        <w:outlineLvl w:val="1"/>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技术标</w:t>
      </w:r>
    </w:p>
    <w:p w14:paraId="7CDDCEBE">
      <w:pPr>
        <w:rPr>
          <w:rFonts w:ascii="宋体" w:hAnsi="宋体" w:cs="宋体"/>
          <w:color w:val="000000" w:themeColor="text1"/>
          <w:sz w:val="24"/>
          <w:highlight w:val="none"/>
          <w14:textFill>
            <w14:solidFill>
              <w14:schemeClr w14:val="tx1"/>
            </w14:solidFill>
          </w14:textFill>
        </w:rPr>
      </w:pPr>
    </w:p>
    <w:p w14:paraId="2526767B">
      <w:pPr>
        <w:spacing w:line="360" w:lineRule="auto"/>
        <w:jc w:val="center"/>
        <w:rPr>
          <w:rFonts w:ascii="宋体" w:hAnsi="宋体" w:cs="宋体"/>
          <w:color w:val="000000" w:themeColor="text1"/>
          <w:sz w:val="24"/>
          <w:highlight w:val="none"/>
          <w14:textFill>
            <w14:solidFill>
              <w14:schemeClr w14:val="tx1"/>
            </w14:solidFill>
          </w14:textFill>
        </w:rPr>
      </w:pPr>
    </w:p>
    <w:p w14:paraId="7E8B2AEA">
      <w:pPr>
        <w:spacing w:line="500" w:lineRule="exact"/>
        <w:jc w:val="center"/>
        <w:textAlignment w:val="center"/>
        <w:outlineLvl w:val="9"/>
        <w:rPr>
          <w:rFonts w:hint="eastAsia" w:ascii="宋体" w:hAnsi="宋体" w:cs="宋体"/>
          <w:bCs/>
          <w:color w:val="000000" w:themeColor="text1"/>
          <w:sz w:val="24"/>
          <w:szCs w:val="24"/>
          <w:highlight w:val="none"/>
          <w14:textFill>
            <w14:solidFill>
              <w14:schemeClr w14:val="tx1"/>
            </w14:solidFill>
          </w14:textFill>
        </w:rPr>
      </w:pPr>
      <w:bookmarkStart w:id="59" w:name="_Toc3034"/>
      <w:bookmarkStart w:id="60" w:name="_Toc22698"/>
      <w:r>
        <w:rPr>
          <w:rFonts w:hint="eastAsia" w:ascii="宋体" w:hAnsi="宋体" w:cs="宋体"/>
          <w:bCs/>
          <w:color w:val="000000" w:themeColor="text1"/>
          <w:sz w:val="24"/>
          <w:szCs w:val="24"/>
          <w:highlight w:val="none"/>
          <w14:textFill>
            <w14:solidFill>
              <w14:schemeClr w14:val="tx1"/>
            </w14:solidFill>
          </w14:textFill>
        </w:rPr>
        <w:t>（投标人结合评分标准编制</w:t>
      </w:r>
      <w:r>
        <w:rPr>
          <w:rFonts w:hint="eastAsia" w:ascii="宋体" w:hAnsi="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sz w:val="24"/>
          <w:szCs w:val="24"/>
          <w:highlight w:val="none"/>
          <w:lang w:val="en-US" w:eastAsia="zh-CN"/>
        </w:rPr>
        <w:t>保证目录清晰、内容完整。</w:t>
      </w:r>
      <w:r>
        <w:rPr>
          <w:rFonts w:hint="eastAsia" w:ascii="宋体" w:hAnsi="宋体" w:cs="宋体"/>
          <w:bCs/>
          <w:color w:val="000000" w:themeColor="text1"/>
          <w:sz w:val="24"/>
          <w:szCs w:val="24"/>
          <w:highlight w:val="none"/>
          <w14:textFill>
            <w14:solidFill>
              <w14:schemeClr w14:val="tx1"/>
            </w14:solidFill>
          </w14:textFill>
        </w:rPr>
        <w:t>）</w:t>
      </w:r>
      <w:bookmarkEnd w:id="59"/>
      <w:bookmarkEnd w:id="60"/>
    </w:p>
    <w:p w14:paraId="76D9EF3B">
      <w:pPr>
        <w:rPr>
          <w:rFonts w:ascii="宋体" w:hAnsi="宋体" w:cs="宋体"/>
          <w:b/>
          <w:color w:val="000000" w:themeColor="text1"/>
          <w:sz w:val="32"/>
          <w:szCs w:val="32"/>
          <w:highlight w:val="none"/>
          <w14:textFill>
            <w14:solidFill>
              <w14:schemeClr w14:val="tx1"/>
            </w14:solidFill>
          </w14:textFill>
        </w:rPr>
      </w:pPr>
    </w:p>
    <w:p w14:paraId="1B636D48">
      <w:pPr>
        <w:pStyle w:val="4"/>
        <w:outlineLvl w:val="9"/>
        <w:rPr>
          <w:rFonts w:ascii="宋体" w:hAnsi="宋体" w:cs="宋体"/>
          <w:b/>
          <w:color w:val="000000" w:themeColor="text1"/>
          <w:sz w:val="32"/>
          <w:szCs w:val="32"/>
          <w:highlight w:val="none"/>
          <w14:textFill>
            <w14:solidFill>
              <w14:schemeClr w14:val="tx1"/>
            </w14:solidFill>
          </w14:textFill>
        </w:rPr>
      </w:pPr>
    </w:p>
    <w:p w14:paraId="2FDD76AD">
      <w:pPr>
        <w:rPr>
          <w:rFonts w:ascii="宋体" w:hAnsi="宋体" w:cs="宋体"/>
          <w:b/>
          <w:color w:val="000000" w:themeColor="text1"/>
          <w:sz w:val="32"/>
          <w:szCs w:val="32"/>
          <w:highlight w:val="none"/>
          <w14:textFill>
            <w14:solidFill>
              <w14:schemeClr w14:val="tx1"/>
            </w14:solidFill>
          </w14:textFill>
        </w:rPr>
      </w:pPr>
    </w:p>
    <w:p w14:paraId="54A42744">
      <w:pPr>
        <w:pStyle w:val="4"/>
        <w:outlineLvl w:val="9"/>
        <w:rPr>
          <w:rFonts w:ascii="宋体" w:hAnsi="宋体" w:cs="宋体"/>
          <w:b/>
          <w:color w:val="000000" w:themeColor="text1"/>
          <w:sz w:val="32"/>
          <w:szCs w:val="32"/>
          <w:highlight w:val="none"/>
          <w14:textFill>
            <w14:solidFill>
              <w14:schemeClr w14:val="tx1"/>
            </w14:solidFill>
          </w14:textFill>
        </w:rPr>
      </w:pPr>
    </w:p>
    <w:p w14:paraId="662A9975">
      <w:pPr>
        <w:rPr>
          <w:rFonts w:ascii="宋体" w:hAnsi="宋体" w:cs="宋体"/>
          <w:b/>
          <w:color w:val="000000" w:themeColor="text1"/>
          <w:sz w:val="32"/>
          <w:szCs w:val="32"/>
          <w:highlight w:val="none"/>
          <w14:textFill>
            <w14:solidFill>
              <w14:schemeClr w14:val="tx1"/>
            </w14:solidFill>
          </w14:textFill>
        </w:rPr>
      </w:pPr>
    </w:p>
    <w:p w14:paraId="080286C0">
      <w:pPr>
        <w:pStyle w:val="4"/>
        <w:outlineLvl w:val="9"/>
        <w:rPr>
          <w:rFonts w:ascii="宋体" w:hAnsi="宋体" w:cs="宋体"/>
          <w:b/>
          <w:color w:val="000000" w:themeColor="text1"/>
          <w:sz w:val="32"/>
          <w:szCs w:val="32"/>
          <w:highlight w:val="none"/>
          <w14:textFill>
            <w14:solidFill>
              <w14:schemeClr w14:val="tx1"/>
            </w14:solidFill>
          </w14:textFill>
        </w:rPr>
      </w:pPr>
    </w:p>
    <w:p w14:paraId="06A5BCD6">
      <w:pPr>
        <w:rPr>
          <w:rFonts w:ascii="宋体" w:hAnsi="宋体" w:cs="宋体"/>
          <w:b/>
          <w:color w:val="000000" w:themeColor="text1"/>
          <w:sz w:val="32"/>
          <w:szCs w:val="32"/>
          <w:highlight w:val="none"/>
          <w14:textFill>
            <w14:solidFill>
              <w14:schemeClr w14:val="tx1"/>
            </w14:solidFill>
          </w14:textFill>
        </w:rPr>
      </w:pPr>
    </w:p>
    <w:p w14:paraId="345B337E">
      <w:pPr>
        <w:pStyle w:val="4"/>
        <w:outlineLvl w:val="9"/>
        <w:rPr>
          <w:color w:val="000000" w:themeColor="text1"/>
          <w:highlight w:val="none"/>
          <w14:textFill>
            <w14:solidFill>
              <w14:schemeClr w14:val="tx1"/>
            </w14:solidFill>
          </w14:textFill>
        </w:rPr>
      </w:pPr>
    </w:p>
    <w:p w14:paraId="34212306">
      <w:pPr>
        <w:rPr>
          <w:rFonts w:ascii="宋体" w:hAnsi="宋体" w:cs="宋体"/>
          <w:bCs/>
          <w:color w:val="000000" w:themeColor="text1"/>
          <w:highlight w:val="none"/>
          <w14:textFill>
            <w14:solidFill>
              <w14:schemeClr w14:val="tx1"/>
            </w14:solidFill>
          </w14:textFill>
        </w:rPr>
      </w:pPr>
    </w:p>
    <w:p w14:paraId="3642DD24">
      <w:pPr>
        <w:rPr>
          <w:rFonts w:ascii="宋体" w:hAnsi="宋体" w:cs="宋体"/>
          <w:b/>
          <w:color w:val="000000" w:themeColor="text1"/>
          <w:sz w:val="30"/>
          <w:szCs w:val="30"/>
          <w:highlight w:val="none"/>
          <w14:textFill>
            <w14:solidFill>
              <w14:schemeClr w14:val="tx1"/>
            </w14:solidFill>
          </w14:textFill>
        </w:rPr>
      </w:pPr>
    </w:p>
    <w:p w14:paraId="22AD95E8">
      <w:pPr>
        <w:pStyle w:val="75"/>
        <w:rPr>
          <w:rFonts w:ascii="宋体" w:hAnsi="宋体" w:cs="宋体"/>
          <w:b/>
          <w:color w:val="000000" w:themeColor="text1"/>
          <w:sz w:val="30"/>
          <w:szCs w:val="30"/>
          <w:highlight w:val="none"/>
          <w14:textFill>
            <w14:solidFill>
              <w14:schemeClr w14:val="tx1"/>
            </w14:solidFill>
          </w14:textFill>
        </w:rPr>
      </w:pPr>
    </w:p>
    <w:p w14:paraId="17C2BC58">
      <w:pPr>
        <w:pStyle w:val="74"/>
        <w:rPr>
          <w:rFonts w:ascii="宋体" w:hAnsi="宋体" w:cs="宋体"/>
          <w:b/>
          <w:color w:val="000000" w:themeColor="text1"/>
          <w:sz w:val="30"/>
          <w:szCs w:val="30"/>
          <w:highlight w:val="none"/>
          <w14:textFill>
            <w14:solidFill>
              <w14:schemeClr w14:val="tx1"/>
            </w14:solidFill>
          </w14:textFill>
        </w:rPr>
      </w:pPr>
    </w:p>
    <w:p w14:paraId="13546759">
      <w:pPr>
        <w:pStyle w:val="74"/>
        <w:rPr>
          <w:rFonts w:ascii="宋体" w:hAnsi="宋体" w:cs="宋体"/>
          <w:b/>
          <w:color w:val="000000" w:themeColor="text1"/>
          <w:sz w:val="30"/>
          <w:szCs w:val="30"/>
          <w:highlight w:val="none"/>
          <w14:textFill>
            <w14:solidFill>
              <w14:schemeClr w14:val="tx1"/>
            </w14:solidFill>
          </w14:textFill>
        </w:rPr>
      </w:pPr>
    </w:p>
    <w:p w14:paraId="1BD0E7CB">
      <w:pPr>
        <w:rPr>
          <w:rFonts w:ascii="宋体" w:hAnsi="宋体" w:cs="宋体"/>
          <w:b/>
          <w:color w:val="000000" w:themeColor="text1"/>
          <w:sz w:val="30"/>
          <w:szCs w:val="30"/>
          <w:highlight w:val="none"/>
          <w14:textFill>
            <w14:solidFill>
              <w14:schemeClr w14:val="tx1"/>
            </w14:solidFill>
          </w14:textFill>
        </w:rPr>
      </w:pPr>
    </w:p>
    <w:p w14:paraId="0CBA96B1">
      <w:pPr>
        <w:pStyle w:val="30"/>
        <w:rPr>
          <w:rFonts w:ascii="宋体" w:hAnsi="宋体" w:cs="宋体"/>
          <w:color w:val="000000" w:themeColor="text1"/>
          <w:sz w:val="32"/>
          <w:szCs w:val="32"/>
          <w:highlight w:val="none"/>
          <w14:textFill>
            <w14:solidFill>
              <w14:schemeClr w14:val="tx1"/>
            </w14:solidFill>
          </w14:textFill>
        </w:rPr>
      </w:pPr>
    </w:p>
    <w:p w14:paraId="25648710">
      <w:pPr>
        <w:spacing w:before="60" w:after="60" w:line="460" w:lineRule="exact"/>
        <w:jc w:val="center"/>
        <w:rPr>
          <w:rFonts w:hint="eastAsia" w:ascii="宋体" w:hAnsi="宋体" w:eastAsia="宋体" w:cs="宋体"/>
          <w:b/>
          <w:bCs/>
          <w:color w:val="000000" w:themeColor="text1"/>
          <w:sz w:val="32"/>
          <w:szCs w:val="22"/>
          <w:highlight w:val="none"/>
          <w:lang w:eastAsia="zh-CN"/>
          <w14:textFill>
            <w14:solidFill>
              <w14:schemeClr w14:val="tx1"/>
            </w14:solidFill>
          </w14:textFill>
        </w:rPr>
      </w:pPr>
      <w:bookmarkStart w:id="61" w:name="_Toc448320487"/>
      <w:bookmarkStart w:id="62" w:name="_Toc211849464"/>
      <w:bookmarkStart w:id="63" w:name="_Toc422468460"/>
    </w:p>
    <w:p w14:paraId="3428FC0B">
      <w:pPr>
        <w:spacing w:before="60" w:after="60" w:line="460" w:lineRule="exact"/>
        <w:jc w:val="center"/>
        <w:rPr>
          <w:rFonts w:hint="eastAsia" w:ascii="宋体" w:hAnsi="宋体" w:eastAsia="宋体" w:cs="宋体"/>
          <w:b/>
          <w:bCs/>
          <w:color w:val="000000" w:themeColor="text1"/>
          <w:sz w:val="32"/>
          <w:szCs w:val="22"/>
          <w:highlight w:val="none"/>
          <w:lang w:eastAsia="zh-CN"/>
          <w14:textFill>
            <w14:solidFill>
              <w14:schemeClr w14:val="tx1"/>
            </w14:solidFill>
          </w14:textFill>
        </w:rPr>
      </w:pPr>
    </w:p>
    <w:p w14:paraId="0B274930">
      <w:pPr>
        <w:spacing w:before="60" w:after="60" w:line="460" w:lineRule="exact"/>
        <w:jc w:val="center"/>
        <w:rPr>
          <w:rFonts w:hint="eastAsia" w:ascii="宋体" w:hAnsi="宋体" w:eastAsia="宋体" w:cs="宋体"/>
          <w:b/>
          <w:bCs/>
          <w:color w:val="000000" w:themeColor="text1"/>
          <w:sz w:val="32"/>
          <w:szCs w:val="22"/>
          <w:highlight w:val="none"/>
          <w:lang w:eastAsia="zh-CN"/>
          <w14:textFill>
            <w14:solidFill>
              <w14:schemeClr w14:val="tx1"/>
            </w14:solidFill>
          </w14:textFill>
        </w:rPr>
      </w:pPr>
    </w:p>
    <w:p w14:paraId="6E396F68">
      <w:pPr>
        <w:keepNext w:val="0"/>
        <w:keepLines w:val="0"/>
        <w:pageBreakBefore/>
        <w:widowControl w:val="0"/>
        <w:kinsoku/>
        <w:wordWrap/>
        <w:overflowPunct/>
        <w:topLinePunct w:val="0"/>
        <w:autoSpaceDE/>
        <w:autoSpaceDN/>
        <w:bidi w:val="0"/>
        <w:adjustRightInd/>
        <w:snapToGrid/>
        <w:spacing w:before="60" w:after="60" w:line="460" w:lineRule="exact"/>
        <w:jc w:val="center"/>
        <w:textAlignment w:val="auto"/>
        <w:outlineLvl w:val="1"/>
        <w:rPr>
          <w:rFonts w:hint="eastAsia" w:ascii="宋体" w:hAnsi="宋体" w:eastAsia="宋体" w:cs="宋体"/>
          <w:b/>
          <w:bCs/>
          <w:color w:val="000000" w:themeColor="text1"/>
          <w:sz w:val="32"/>
          <w:szCs w:val="22"/>
          <w:highlight w:val="none"/>
          <w:lang w:eastAsia="zh-CN"/>
          <w14:textFill>
            <w14:solidFill>
              <w14:schemeClr w14:val="tx1"/>
            </w14:solidFill>
          </w14:textFill>
        </w:rPr>
      </w:pPr>
      <w:r>
        <w:rPr>
          <w:rFonts w:hint="eastAsia" w:ascii="宋体" w:hAnsi="宋体" w:eastAsia="宋体" w:cs="宋体"/>
          <w:b/>
          <w:bCs/>
          <w:color w:val="000000" w:themeColor="text1"/>
          <w:sz w:val="32"/>
          <w:szCs w:val="22"/>
          <w:highlight w:val="none"/>
          <w:lang w:eastAsia="zh-CN"/>
          <w14:textFill>
            <w14:solidFill>
              <w14:schemeClr w14:val="tx1"/>
            </w14:solidFill>
          </w14:textFill>
        </w:rPr>
        <w:t>资 格 审 查 资 料</w:t>
      </w:r>
    </w:p>
    <w:p w14:paraId="6775A309">
      <w:pPr>
        <w:pStyle w:val="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p>
    <w:p w14:paraId="13B27F75">
      <w:pPr>
        <w:pStyle w:val="41"/>
        <w:jc w:val="center"/>
        <w:outlineLvl w:val="1"/>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（一）基本情况表</w:t>
      </w:r>
    </w:p>
    <w:tbl>
      <w:tblPr>
        <w:tblStyle w:val="76"/>
        <w:tblW w:w="9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0"/>
        <w:gridCol w:w="847"/>
        <w:gridCol w:w="890"/>
        <w:gridCol w:w="561"/>
        <w:gridCol w:w="1142"/>
        <w:gridCol w:w="253"/>
        <w:gridCol w:w="1380"/>
        <w:gridCol w:w="106"/>
        <w:gridCol w:w="975"/>
        <w:gridCol w:w="1425"/>
      </w:tblGrid>
      <w:tr w14:paraId="378C7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760" w:type="dxa"/>
            <w:noWrap w:val="0"/>
            <w:vAlign w:val="center"/>
          </w:tcPr>
          <w:p w14:paraId="31746B7E">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投标人名称</w:t>
            </w:r>
          </w:p>
        </w:tc>
        <w:tc>
          <w:tcPr>
            <w:tcW w:w="7579" w:type="dxa"/>
            <w:gridSpan w:val="9"/>
            <w:noWrap w:val="0"/>
            <w:vAlign w:val="center"/>
          </w:tcPr>
          <w:p w14:paraId="33B386D9">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r>
      <w:tr w14:paraId="40953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760" w:type="dxa"/>
            <w:noWrap w:val="0"/>
            <w:vAlign w:val="center"/>
          </w:tcPr>
          <w:p w14:paraId="4B4212E6">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注册地址</w:t>
            </w:r>
          </w:p>
        </w:tc>
        <w:tc>
          <w:tcPr>
            <w:tcW w:w="3693" w:type="dxa"/>
            <w:gridSpan w:val="5"/>
            <w:noWrap w:val="0"/>
            <w:vAlign w:val="center"/>
          </w:tcPr>
          <w:p w14:paraId="6A34AEA0">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486" w:type="dxa"/>
            <w:gridSpan w:val="2"/>
            <w:noWrap w:val="0"/>
            <w:vAlign w:val="center"/>
          </w:tcPr>
          <w:p w14:paraId="54B24BCC">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邮政编码</w:t>
            </w:r>
          </w:p>
        </w:tc>
        <w:tc>
          <w:tcPr>
            <w:tcW w:w="2400" w:type="dxa"/>
            <w:gridSpan w:val="2"/>
            <w:noWrap w:val="0"/>
            <w:vAlign w:val="center"/>
          </w:tcPr>
          <w:p w14:paraId="77520114">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r>
      <w:tr w14:paraId="75C7A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1760" w:type="dxa"/>
            <w:vMerge w:val="restart"/>
            <w:noWrap w:val="0"/>
            <w:vAlign w:val="center"/>
          </w:tcPr>
          <w:p w14:paraId="33321BD1">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联系方式</w:t>
            </w:r>
          </w:p>
        </w:tc>
        <w:tc>
          <w:tcPr>
            <w:tcW w:w="1737" w:type="dxa"/>
            <w:gridSpan w:val="2"/>
            <w:noWrap w:val="0"/>
            <w:vAlign w:val="center"/>
          </w:tcPr>
          <w:p w14:paraId="3377FB61">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联系人</w:t>
            </w:r>
          </w:p>
        </w:tc>
        <w:tc>
          <w:tcPr>
            <w:tcW w:w="1956" w:type="dxa"/>
            <w:gridSpan w:val="3"/>
            <w:noWrap w:val="0"/>
            <w:vAlign w:val="center"/>
          </w:tcPr>
          <w:p w14:paraId="6E556C7D">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486" w:type="dxa"/>
            <w:gridSpan w:val="2"/>
            <w:noWrap w:val="0"/>
            <w:vAlign w:val="center"/>
          </w:tcPr>
          <w:p w14:paraId="272E8EDF">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电话</w:t>
            </w:r>
          </w:p>
        </w:tc>
        <w:tc>
          <w:tcPr>
            <w:tcW w:w="2400" w:type="dxa"/>
            <w:gridSpan w:val="2"/>
            <w:noWrap w:val="0"/>
            <w:vAlign w:val="center"/>
          </w:tcPr>
          <w:p w14:paraId="19BEB1C7">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r>
      <w:tr w14:paraId="498F9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760" w:type="dxa"/>
            <w:vMerge w:val="continue"/>
            <w:noWrap w:val="0"/>
            <w:vAlign w:val="center"/>
          </w:tcPr>
          <w:p w14:paraId="4D1510C9">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737" w:type="dxa"/>
            <w:gridSpan w:val="2"/>
            <w:noWrap w:val="0"/>
            <w:vAlign w:val="center"/>
          </w:tcPr>
          <w:p w14:paraId="28E3A022">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传</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真</w:t>
            </w:r>
          </w:p>
        </w:tc>
        <w:tc>
          <w:tcPr>
            <w:tcW w:w="1956" w:type="dxa"/>
            <w:gridSpan w:val="3"/>
            <w:noWrap w:val="0"/>
            <w:vAlign w:val="center"/>
          </w:tcPr>
          <w:p w14:paraId="3D68E2A6">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486" w:type="dxa"/>
            <w:gridSpan w:val="2"/>
            <w:noWrap w:val="0"/>
            <w:vAlign w:val="center"/>
          </w:tcPr>
          <w:p w14:paraId="606D49D0">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网址</w:t>
            </w:r>
          </w:p>
        </w:tc>
        <w:tc>
          <w:tcPr>
            <w:tcW w:w="2400" w:type="dxa"/>
            <w:gridSpan w:val="2"/>
            <w:noWrap w:val="0"/>
            <w:vAlign w:val="center"/>
          </w:tcPr>
          <w:p w14:paraId="71F7B475">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r>
      <w:tr w14:paraId="4AE0F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760" w:type="dxa"/>
            <w:noWrap w:val="0"/>
            <w:vAlign w:val="center"/>
          </w:tcPr>
          <w:p w14:paraId="259AF7BF">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7"/>
                <w:szCs w:val="27"/>
                <w:highlight w:val="none"/>
                <w14:textFill>
                  <w14:solidFill>
                    <w14:schemeClr w14:val="tx1"/>
                  </w14:solidFill>
                </w14:textFill>
              </w:rPr>
              <w:t>组织结构</w:t>
            </w:r>
          </w:p>
        </w:tc>
        <w:tc>
          <w:tcPr>
            <w:tcW w:w="7579" w:type="dxa"/>
            <w:gridSpan w:val="9"/>
            <w:noWrap w:val="0"/>
            <w:vAlign w:val="center"/>
          </w:tcPr>
          <w:p w14:paraId="1E120145">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r>
      <w:tr w14:paraId="54374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760" w:type="dxa"/>
            <w:noWrap w:val="0"/>
            <w:vAlign w:val="center"/>
          </w:tcPr>
          <w:p w14:paraId="230130EA">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法定代表人</w:t>
            </w:r>
          </w:p>
        </w:tc>
        <w:tc>
          <w:tcPr>
            <w:tcW w:w="847" w:type="dxa"/>
            <w:noWrap w:val="0"/>
            <w:vAlign w:val="center"/>
          </w:tcPr>
          <w:p w14:paraId="07855D4A">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姓名</w:t>
            </w:r>
          </w:p>
        </w:tc>
        <w:tc>
          <w:tcPr>
            <w:tcW w:w="1451" w:type="dxa"/>
            <w:gridSpan w:val="2"/>
            <w:noWrap w:val="0"/>
            <w:vAlign w:val="center"/>
          </w:tcPr>
          <w:p w14:paraId="2117500D">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395" w:type="dxa"/>
            <w:gridSpan w:val="2"/>
            <w:noWrap w:val="0"/>
            <w:vAlign w:val="center"/>
          </w:tcPr>
          <w:p w14:paraId="4B6BAAA6">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技术职称</w:t>
            </w:r>
          </w:p>
        </w:tc>
        <w:tc>
          <w:tcPr>
            <w:tcW w:w="1380" w:type="dxa"/>
            <w:noWrap w:val="0"/>
            <w:vAlign w:val="center"/>
          </w:tcPr>
          <w:p w14:paraId="3D96117F">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081" w:type="dxa"/>
            <w:gridSpan w:val="2"/>
            <w:noWrap w:val="0"/>
            <w:vAlign w:val="center"/>
          </w:tcPr>
          <w:p w14:paraId="59D56854">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电话</w:t>
            </w:r>
          </w:p>
        </w:tc>
        <w:tc>
          <w:tcPr>
            <w:tcW w:w="1425" w:type="dxa"/>
            <w:noWrap w:val="0"/>
            <w:vAlign w:val="center"/>
          </w:tcPr>
          <w:p w14:paraId="7A9ECA3E">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r>
      <w:tr w14:paraId="54324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760" w:type="dxa"/>
            <w:noWrap w:val="0"/>
            <w:vAlign w:val="center"/>
          </w:tcPr>
          <w:p w14:paraId="62E7D26E">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技术负责人</w:t>
            </w:r>
          </w:p>
        </w:tc>
        <w:tc>
          <w:tcPr>
            <w:tcW w:w="847" w:type="dxa"/>
            <w:noWrap w:val="0"/>
            <w:vAlign w:val="center"/>
          </w:tcPr>
          <w:p w14:paraId="68472466">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姓名</w:t>
            </w:r>
          </w:p>
        </w:tc>
        <w:tc>
          <w:tcPr>
            <w:tcW w:w="1451" w:type="dxa"/>
            <w:gridSpan w:val="2"/>
            <w:noWrap w:val="0"/>
            <w:vAlign w:val="center"/>
          </w:tcPr>
          <w:p w14:paraId="3BD109DF">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395" w:type="dxa"/>
            <w:gridSpan w:val="2"/>
            <w:noWrap w:val="0"/>
            <w:vAlign w:val="center"/>
          </w:tcPr>
          <w:p w14:paraId="02B945F0">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技术职称</w:t>
            </w:r>
          </w:p>
        </w:tc>
        <w:tc>
          <w:tcPr>
            <w:tcW w:w="1380" w:type="dxa"/>
            <w:noWrap w:val="0"/>
            <w:vAlign w:val="center"/>
          </w:tcPr>
          <w:p w14:paraId="164BDACD">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081" w:type="dxa"/>
            <w:gridSpan w:val="2"/>
            <w:noWrap w:val="0"/>
            <w:vAlign w:val="center"/>
          </w:tcPr>
          <w:p w14:paraId="5AC5E320">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电话</w:t>
            </w:r>
          </w:p>
        </w:tc>
        <w:tc>
          <w:tcPr>
            <w:tcW w:w="1425" w:type="dxa"/>
            <w:noWrap w:val="0"/>
            <w:vAlign w:val="center"/>
          </w:tcPr>
          <w:p w14:paraId="685AEF40">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r>
      <w:tr w14:paraId="3B727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760" w:type="dxa"/>
            <w:noWrap w:val="0"/>
            <w:vAlign w:val="center"/>
          </w:tcPr>
          <w:p w14:paraId="272943CF">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成立时间</w:t>
            </w:r>
          </w:p>
        </w:tc>
        <w:tc>
          <w:tcPr>
            <w:tcW w:w="2298" w:type="dxa"/>
            <w:gridSpan w:val="3"/>
            <w:noWrap w:val="0"/>
            <w:vAlign w:val="center"/>
          </w:tcPr>
          <w:p w14:paraId="1EB66813">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5281" w:type="dxa"/>
            <w:gridSpan w:val="6"/>
            <w:noWrap w:val="0"/>
            <w:vAlign w:val="center"/>
          </w:tcPr>
          <w:p w14:paraId="6B547683">
            <w:pPr>
              <w:spacing w:line="240" w:lineRule="auto"/>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员工人数:</w:t>
            </w:r>
          </w:p>
        </w:tc>
      </w:tr>
      <w:tr w14:paraId="3C0A3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760" w:type="dxa"/>
            <w:noWrap w:val="0"/>
            <w:vAlign w:val="center"/>
          </w:tcPr>
          <w:p w14:paraId="6C7905FF">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企业资质等级 </w:t>
            </w:r>
          </w:p>
        </w:tc>
        <w:tc>
          <w:tcPr>
            <w:tcW w:w="2298" w:type="dxa"/>
            <w:gridSpan w:val="3"/>
            <w:noWrap w:val="0"/>
            <w:vAlign w:val="center"/>
          </w:tcPr>
          <w:p w14:paraId="37DF05BF">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142" w:type="dxa"/>
            <w:vMerge w:val="restart"/>
            <w:noWrap w:val="0"/>
            <w:vAlign w:val="center"/>
          </w:tcPr>
          <w:p w14:paraId="53A0D2CE">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其中 </w:t>
            </w:r>
          </w:p>
        </w:tc>
        <w:tc>
          <w:tcPr>
            <w:tcW w:w="1633" w:type="dxa"/>
            <w:gridSpan w:val="2"/>
            <w:noWrap w:val="0"/>
            <w:vAlign w:val="center"/>
          </w:tcPr>
          <w:p w14:paraId="207D8761">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项目经理 </w:t>
            </w:r>
          </w:p>
        </w:tc>
        <w:tc>
          <w:tcPr>
            <w:tcW w:w="2506" w:type="dxa"/>
            <w:gridSpan w:val="3"/>
            <w:noWrap w:val="0"/>
            <w:vAlign w:val="center"/>
          </w:tcPr>
          <w:p w14:paraId="2A8EE8E5">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p>
        </w:tc>
      </w:tr>
      <w:tr w14:paraId="17495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760" w:type="dxa"/>
            <w:noWrap w:val="0"/>
            <w:vAlign w:val="center"/>
          </w:tcPr>
          <w:p w14:paraId="426FDBE1">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营业执照号 </w:t>
            </w:r>
          </w:p>
        </w:tc>
        <w:tc>
          <w:tcPr>
            <w:tcW w:w="2298" w:type="dxa"/>
            <w:gridSpan w:val="3"/>
            <w:noWrap w:val="0"/>
            <w:vAlign w:val="center"/>
          </w:tcPr>
          <w:p w14:paraId="25A54694">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142" w:type="dxa"/>
            <w:vMerge w:val="continue"/>
            <w:noWrap w:val="0"/>
            <w:vAlign w:val="center"/>
          </w:tcPr>
          <w:p w14:paraId="3DFE108C">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p>
        </w:tc>
        <w:tc>
          <w:tcPr>
            <w:tcW w:w="1633" w:type="dxa"/>
            <w:gridSpan w:val="2"/>
            <w:noWrap w:val="0"/>
            <w:vAlign w:val="center"/>
          </w:tcPr>
          <w:p w14:paraId="6E847192">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高级职称人员 </w:t>
            </w:r>
          </w:p>
        </w:tc>
        <w:tc>
          <w:tcPr>
            <w:tcW w:w="2506" w:type="dxa"/>
            <w:gridSpan w:val="3"/>
            <w:noWrap w:val="0"/>
            <w:vAlign w:val="center"/>
          </w:tcPr>
          <w:p w14:paraId="03553300">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p>
        </w:tc>
      </w:tr>
      <w:tr w14:paraId="4C557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760" w:type="dxa"/>
            <w:noWrap w:val="0"/>
            <w:vAlign w:val="center"/>
          </w:tcPr>
          <w:p w14:paraId="3D5830BF">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注册资金 </w:t>
            </w:r>
          </w:p>
        </w:tc>
        <w:tc>
          <w:tcPr>
            <w:tcW w:w="2298" w:type="dxa"/>
            <w:gridSpan w:val="3"/>
            <w:noWrap w:val="0"/>
            <w:vAlign w:val="center"/>
          </w:tcPr>
          <w:p w14:paraId="50CA1670">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（万元） </w:t>
            </w:r>
          </w:p>
        </w:tc>
        <w:tc>
          <w:tcPr>
            <w:tcW w:w="1142" w:type="dxa"/>
            <w:vMerge w:val="continue"/>
            <w:noWrap w:val="0"/>
            <w:vAlign w:val="center"/>
          </w:tcPr>
          <w:p w14:paraId="03ABC594">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p>
        </w:tc>
        <w:tc>
          <w:tcPr>
            <w:tcW w:w="1633" w:type="dxa"/>
            <w:gridSpan w:val="2"/>
            <w:noWrap w:val="0"/>
            <w:vAlign w:val="center"/>
          </w:tcPr>
          <w:p w14:paraId="14E719F6">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中级职称人员 </w:t>
            </w:r>
          </w:p>
        </w:tc>
        <w:tc>
          <w:tcPr>
            <w:tcW w:w="2506" w:type="dxa"/>
            <w:gridSpan w:val="3"/>
            <w:noWrap w:val="0"/>
            <w:vAlign w:val="center"/>
          </w:tcPr>
          <w:p w14:paraId="4DFF61A4">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p>
        </w:tc>
      </w:tr>
      <w:tr w14:paraId="2383B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760" w:type="dxa"/>
            <w:noWrap w:val="0"/>
            <w:vAlign w:val="center"/>
          </w:tcPr>
          <w:p w14:paraId="11069E10">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开户银行 </w:t>
            </w:r>
          </w:p>
        </w:tc>
        <w:tc>
          <w:tcPr>
            <w:tcW w:w="2298" w:type="dxa"/>
            <w:gridSpan w:val="3"/>
            <w:noWrap w:val="0"/>
            <w:vAlign w:val="center"/>
          </w:tcPr>
          <w:p w14:paraId="4A22CE7C">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142" w:type="dxa"/>
            <w:vMerge w:val="continue"/>
            <w:noWrap w:val="0"/>
            <w:vAlign w:val="center"/>
          </w:tcPr>
          <w:p w14:paraId="1380D9FC">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p>
        </w:tc>
        <w:tc>
          <w:tcPr>
            <w:tcW w:w="1633" w:type="dxa"/>
            <w:gridSpan w:val="2"/>
            <w:noWrap w:val="0"/>
            <w:vAlign w:val="center"/>
          </w:tcPr>
          <w:p w14:paraId="7702BB51">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初级职称人员 </w:t>
            </w:r>
          </w:p>
        </w:tc>
        <w:tc>
          <w:tcPr>
            <w:tcW w:w="2506" w:type="dxa"/>
            <w:gridSpan w:val="3"/>
            <w:noWrap w:val="0"/>
            <w:vAlign w:val="center"/>
          </w:tcPr>
          <w:p w14:paraId="4769A881">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p>
        </w:tc>
      </w:tr>
      <w:tr w14:paraId="7206C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760" w:type="dxa"/>
            <w:noWrap w:val="0"/>
            <w:vAlign w:val="center"/>
          </w:tcPr>
          <w:p w14:paraId="4B1CFD35">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账号 </w:t>
            </w:r>
          </w:p>
        </w:tc>
        <w:tc>
          <w:tcPr>
            <w:tcW w:w="2298" w:type="dxa"/>
            <w:gridSpan w:val="3"/>
            <w:noWrap w:val="0"/>
            <w:vAlign w:val="center"/>
          </w:tcPr>
          <w:p w14:paraId="414FB986">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p>
        </w:tc>
        <w:tc>
          <w:tcPr>
            <w:tcW w:w="1142" w:type="dxa"/>
            <w:vMerge w:val="continue"/>
            <w:noWrap w:val="0"/>
            <w:vAlign w:val="center"/>
          </w:tcPr>
          <w:p w14:paraId="4DDA230C">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p>
        </w:tc>
        <w:tc>
          <w:tcPr>
            <w:tcW w:w="1633" w:type="dxa"/>
            <w:gridSpan w:val="2"/>
            <w:noWrap w:val="0"/>
            <w:vAlign w:val="center"/>
          </w:tcPr>
          <w:p w14:paraId="0B8D263C">
            <w:pPr>
              <w:spacing w:line="24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技工 </w:t>
            </w:r>
          </w:p>
        </w:tc>
        <w:tc>
          <w:tcPr>
            <w:tcW w:w="2506" w:type="dxa"/>
            <w:gridSpan w:val="3"/>
            <w:noWrap w:val="0"/>
            <w:vAlign w:val="center"/>
          </w:tcPr>
          <w:p w14:paraId="22ACA5F5">
            <w:pPr>
              <w:spacing w:line="240" w:lineRule="auto"/>
              <w:rPr>
                <w:rFonts w:hint="eastAsia" w:ascii="宋体" w:hAnsi="宋体" w:eastAsia="宋体" w:cs="宋体"/>
                <w:color w:val="000000" w:themeColor="text1"/>
                <w:highlight w:val="none"/>
                <w14:textFill>
                  <w14:solidFill>
                    <w14:schemeClr w14:val="tx1"/>
                  </w14:solidFill>
                </w14:textFill>
              </w:rPr>
            </w:pPr>
          </w:p>
        </w:tc>
      </w:tr>
      <w:tr w14:paraId="140E5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1760" w:type="dxa"/>
            <w:noWrap w:val="0"/>
            <w:vAlign w:val="center"/>
          </w:tcPr>
          <w:p w14:paraId="748E43D1">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经营</w:t>
            </w:r>
            <w:r>
              <w:rPr>
                <w:rFonts w:hint="eastAsia" w:ascii="宋体" w:hAnsi="宋体" w:eastAsia="宋体" w:cs="宋体"/>
                <w:color w:val="000000" w:themeColor="text1"/>
                <w:szCs w:val="21"/>
                <w:highlight w:val="none"/>
                <w14:textFill>
                  <w14:solidFill>
                    <w14:schemeClr w14:val="tx1"/>
                  </w14:solidFill>
                </w14:textFill>
              </w:rPr>
              <w:t>范围</w:t>
            </w:r>
          </w:p>
        </w:tc>
        <w:tc>
          <w:tcPr>
            <w:tcW w:w="7579" w:type="dxa"/>
            <w:gridSpan w:val="9"/>
            <w:noWrap w:val="0"/>
            <w:vAlign w:val="center"/>
          </w:tcPr>
          <w:p w14:paraId="306DA216">
            <w:pPr>
              <w:spacing w:line="240" w:lineRule="auto"/>
              <w:rPr>
                <w:rFonts w:hint="eastAsia" w:ascii="宋体" w:hAnsi="宋体" w:eastAsia="宋体" w:cs="宋体"/>
                <w:color w:val="000000" w:themeColor="text1"/>
                <w:szCs w:val="21"/>
                <w:highlight w:val="none"/>
                <w14:textFill>
                  <w14:solidFill>
                    <w14:schemeClr w14:val="tx1"/>
                  </w14:solidFill>
                </w14:textFill>
              </w:rPr>
            </w:pPr>
          </w:p>
        </w:tc>
      </w:tr>
      <w:tr w14:paraId="00D39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1760" w:type="dxa"/>
            <w:noWrap w:val="0"/>
            <w:vAlign w:val="center"/>
          </w:tcPr>
          <w:p w14:paraId="73F10105">
            <w:pPr>
              <w:spacing w:line="24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备注</w:t>
            </w:r>
          </w:p>
        </w:tc>
        <w:tc>
          <w:tcPr>
            <w:tcW w:w="7579" w:type="dxa"/>
            <w:gridSpan w:val="9"/>
            <w:noWrap w:val="0"/>
            <w:vAlign w:val="center"/>
          </w:tcPr>
          <w:p w14:paraId="1665DCF9">
            <w:pPr>
              <w:spacing w:line="240" w:lineRule="auto"/>
              <w:rPr>
                <w:rFonts w:hint="eastAsia" w:ascii="宋体" w:hAnsi="宋体" w:eastAsia="宋体" w:cs="宋体"/>
                <w:color w:val="000000" w:themeColor="text1"/>
                <w:szCs w:val="21"/>
                <w:highlight w:val="none"/>
                <w14:textFill>
                  <w14:solidFill>
                    <w14:schemeClr w14:val="tx1"/>
                  </w14:solidFill>
                </w14:textFill>
              </w:rPr>
            </w:pPr>
          </w:p>
        </w:tc>
      </w:tr>
    </w:tbl>
    <w:p w14:paraId="00D7E7C3">
      <w:pPr>
        <w:spacing w:line="400" w:lineRule="exact"/>
        <w:jc w:val="center"/>
        <w:rPr>
          <w:rFonts w:hint="eastAsia" w:ascii="宋体" w:hAnsi="宋体" w:eastAsia="宋体" w:cs="宋体"/>
          <w:b/>
          <w:bCs/>
          <w:color w:val="000000" w:themeColor="text1"/>
          <w:sz w:val="28"/>
          <w:szCs w:val="21"/>
          <w:highlight w:val="none"/>
          <w14:textFill>
            <w14:solidFill>
              <w14:schemeClr w14:val="tx1"/>
            </w14:solidFill>
          </w14:textFill>
        </w:rPr>
      </w:pPr>
    </w:p>
    <w:p w14:paraId="7A2904D3">
      <w:pPr>
        <w:spacing w:line="560" w:lineRule="exact"/>
        <w:ind w:firstLine="480" w:firstLineChars="200"/>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备注：本表后应附等材料的复印件</w:t>
      </w:r>
    </w:p>
    <w:p w14:paraId="0C62968A">
      <w:pPr>
        <w:spacing w:line="560" w:lineRule="exact"/>
        <w:rPr>
          <w:rFonts w:hint="eastAsia" w:ascii="宋体" w:hAnsi="宋体" w:eastAsia="宋体" w:cs="宋体"/>
          <w:b/>
          <w:bCs/>
          <w:color w:val="000000" w:themeColor="text1"/>
          <w:sz w:val="24"/>
          <w:highlight w:val="none"/>
          <w14:textFill>
            <w14:solidFill>
              <w14:schemeClr w14:val="tx1"/>
            </w14:solidFill>
          </w14:textFill>
        </w:rPr>
      </w:pPr>
    </w:p>
    <w:p w14:paraId="2E14650A">
      <w:pPr>
        <w:pStyle w:val="41"/>
        <w:jc w:val="left"/>
        <w:outlineLvl w:val="9"/>
        <w:rPr>
          <w:rFonts w:hint="eastAsia" w:ascii="宋体" w:hAnsi="宋体" w:eastAsia="宋体" w:cs="宋体"/>
          <w:b/>
          <w:color w:val="000000" w:themeColor="text1"/>
          <w:sz w:val="24"/>
          <w:szCs w:val="24"/>
          <w:highlight w:val="none"/>
          <w14:textFill>
            <w14:solidFill>
              <w14:schemeClr w14:val="tx1"/>
            </w14:solidFill>
          </w14:textFill>
        </w:rPr>
      </w:pPr>
    </w:p>
    <w:p w14:paraId="6B7A0227">
      <w:pPr>
        <w:pStyle w:val="41"/>
        <w:jc w:val="left"/>
        <w:outlineLvl w:val="9"/>
        <w:rPr>
          <w:rFonts w:hint="eastAsia" w:ascii="宋体" w:hAnsi="宋体" w:eastAsia="宋体" w:cs="宋体"/>
          <w:b/>
          <w:color w:val="000000" w:themeColor="text1"/>
          <w:sz w:val="24"/>
          <w:szCs w:val="24"/>
          <w:highlight w:val="none"/>
          <w14:textFill>
            <w14:solidFill>
              <w14:schemeClr w14:val="tx1"/>
            </w14:solidFill>
          </w14:textFill>
        </w:rPr>
      </w:pPr>
    </w:p>
    <w:p w14:paraId="279B218D">
      <w:pPr>
        <w:rPr>
          <w:rFonts w:hint="eastAsia" w:ascii="宋体" w:hAnsi="宋体" w:cs="宋体"/>
          <w:kern w:val="0"/>
          <w:sz w:val="28"/>
          <w:szCs w:val="28"/>
          <w:highlight w:val="none"/>
          <w:lang w:bidi="ar"/>
        </w:rPr>
      </w:pPr>
      <w:r>
        <w:rPr>
          <w:rFonts w:hint="eastAsia" w:ascii="宋体" w:hAnsi="宋体" w:cs="宋体"/>
          <w:kern w:val="0"/>
          <w:sz w:val="28"/>
          <w:szCs w:val="28"/>
          <w:highlight w:val="none"/>
          <w:lang w:bidi="ar"/>
        </w:rPr>
        <w:br w:type="page"/>
      </w:r>
    </w:p>
    <w:p w14:paraId="7A69FA42">
      <w:pPr>
        <w:spacing w:line="360" w:lineRule="auto"/>
        <w:jc w:val="center"/>
        <w:outlineLvl w:val="1"/>
        <w:rPr>
          <w:rFonts w:ascii="宋体" w:hAnsi="宋体" w:cs="宋体"/>
          <w:b/>
          <w:sz w:val="28"/>
          <w:szCs w:val="28"/>
          <w:highlight w:val="none"/>
        </w:rPr>
      </w:pPr>
      <w:r>
        <w:rPr>
          <w:rFonts w:hint="eastAsia" w:ascii="宋体" w:hAnsi="宋体" w:cs="宋体"/>
          <w:kern w:val="0"/>
          <w:sz w:val="28"/>
          <w:szCs w:val="28"/>
          <w:highlight w:val="none"/>
          <w:lang w:bidi="ar"/>
        </w:rPr>
        <w:t>（二）近年财务状况表</w:t>
      </w:r>
    </w:p>
    <w:p w14:paraId="7CD7AFED">
      <w:pPr>
        <w:spacing w:line="360" w:lineRule="auto"/>
        <w:jc w:val="left"/>
        <w:rPr>
          <w:rFonts w:ascii="宋体" w:hAnsi="宋体" w:cs="宋体"/>
          <w:b/>
          <w:sz w:val="24"/>
          <w:highlight w:val="none"/>
        </w:rPr>
      </w:pPr>
      <w:r>
        <w:rPr>
          <w:rFonts w:hint="eastAsia" w:ascii="宋体" w:hAnsi="宋体" w:cs="宋体"/>
          <w:b/>
          <w:sz w:val="24"/>
          <w:highlight w:val="none"/>
        </w:rPr>
        <w:t>附：</w:t>
      </w:r>
    </w:p>
    <w:p w14:paraId="7679D06E">
      <w:pPr>
        <w:spacing w:line="360" w:lineRule="auto"/>
        <w:jc w:val="left"/>
        <w:rPr>
          <w:rFonts w:ascii="宋体" w:hAnsi="宋体" w:cs="宋体"/>
          <w:kern w:val="0"/>
          <w:sz w:val="24"/>
          <w:highlight w:val="none"/>
          <w:lang w:bidi="ar"/>
        </w:rPr>
      </w:pPr>
      <w:r>
        <w:rPr>
          <w:rFonts w:hint="eastAsia" w:ascii="宋体" w:hAnsi="宋体" w:cs="宋体"/>
          <w:bCs/>
          <w:sz w:val="24"/>
          <w:highlight w:val="none"/>
        </w:rPr>
        <w:t>扫描件：</w:t>
      </w:r>
    </w:p>
    <w:p w14:paraId="687A789A">
      <w:pPr>
        <w:numPr>
          <w:ilvl w:val="0"/>
          <w:numId w:val="5"/>
        </w:numPr>
        <w:spacing w:line="720" w:lineRule="auto"/>
        <w:jc w:val="center"/>
        <w:outlineLvl w:val="1"/>
        <w:rPr>
          <w:rFonts w:hint="eastAsia" w:ascii="宋体" w:hAnsi="宋体" w:cs="宋体"/>
          <w:kern w:val="0"/>
          <w:sz w:val="28"/>
          <w:szCs w:val="28"/>
          <w:highlight w:val="none"/>
          <w:lang w:bidi="ar"/>
        </w:rPr>
      </w:pPr>
      <w:r>
        <w:rPr>
          <w:rFonts w:hint="eastAsia" w:ascii="宋体" w:hAnsi="宋体" w:cs="宋体"/>
          <w:kern w:val="0"/>
          <w:sz w:val="28"/>
          <w:szCs w:val="28"/>
          <w:highlight w:val="none"/>
          <w:lang w:bidi="ar"/>
        </w:rPr>
        <w:t>依法缴纳税收的证明</w:t>
      </w:r>
    </w:p>
    <w:p w14:paraId="50BAA740">
      <w:pPr>
        <w:spacing w:line="360" w:lineRule="auto"/>
        <w:jc w:val="left"/>
        <w:rPr>
          <w:rFonts w:ascii="宋体" w:hAnsi="宋体" w:cs="宋体"/>
          <w:b/>
          <w:sz w:val="24"/>
          <w:highlight w:val="none"/>
        </w:rPr>
      </w:pPr>
      <w:r>
        <w:rPr>
          <w:rFonts w:hint="eastAsia" w:ascii="宋体" w:hAnsi="宋体" w:cs="宋体"/>
          <w:b/>
          <w:sz w:val="24"/>
          <w:highlight w:val="none"/>
        </w:rPr>
        <w:t>附：</w:t>
      </w:r>
    </w:p>
    <w:p w14:paraId="54A6BD14">
      <w:pPr>
        <w:spacing w:line="360" w:lineRule="auto"/>
        <w:jc w:val="left"/>
        <w:rPr>
          <w:rFonts w:hint="eastAsia" w:ascii="宋体" w:hAnsi="宋体" w:cs="宋体"/>
          <w:kern w:val="0"/>
          <w:sz w:val="28"/>
          <w:szCs w:val="28"/>
          <w:highlight w:val="none"/>
          <w:lang w:bidi="ar"/>
        </w:rPr>
      </w:pPr>
      <w:r>
        <w:rPr>
          <w:rFonts w:hint="eastAsia" w:ascii="宋体" w:hAnsi="宋体" w:cs="宋体"/>
          <w:bCs/>
          <w:sz w:val="24"/>
          <w:highlight w:val="none"/>
        </w:rPr>
        <w:t>扫描件：</w:t>
      </w:r>
    </w:p>
    <w:p w14:paraId="0AC210C6">
      <w:pPr>
        <w:spacing w:line="720" w:lineRule="auto"/>
        <w:ind w:firstLine="0" w:firstLineChars="0"/>
        <w:jc w:val="center"/>
        <w:outlineLvl w:val="1"/>
        <w:rPr>
          <w:rFonts w:ascii="宋体" w:hAnsi="宋体" w:cs="宋体"/>
          <w:kern w:val="0"/>
          <w:sz w:val="28"/>
          <w:szCs w:val="28"/>
          <w:highlight w:val="none"/>
          <w:lang w:bidi="ar"/>
        </w:rPr>
      </w:pPr>
      <w:r>
        <w:rPr>
          <w:rFonts w:hint="eastAsia" w:ascii="宋体" w:hAnsi="宋体" w:cs="宋体"/>
          <w:kern w:val="0"/>
          <w:sz w:val="28"/>
          <w:szCs w:val="28"/>
          <w:highlight w:val="none"/>
          <w:lang w:bidi="ar"/>
        </w:rPr>
        <w:t>（四）依法缴纳社会保障资金的证明</w:t>
      </w:r>
    </w:p>
    <w:p w14:paraId="481D719B">
      <w:pPr>
        <w:spacing w:line="360" w:lineRule="auto"/>
        <w:jc w:val="left"/>
        <w:rPr>
          <w:rFonts w:ascii="宋体" w:hAnsi="宋体" w:cs="宋体"/>
          <w:b/>
          <w:sz w:val="24"/>
          <w:highlight w:val="none"/>
        </w:rPr>
      </w:pPr>
      <w:r>
        <w:rPr>
          <w:rFonts w:hint="eastAsia" w:ascii="宋体" w:hAnsi="宋体" w:cs="宋体"/>
          <w:b/>
          <w:sz w:val="24"/>
          <w:highlight w:val="none"/>
        </w:rPr>
        <w:t>附：</w:t>
      </w:r>
    </w:p>
    <w:p w14:paraId="63CD6E86">
      <w:pPr>
        <w:spacing w:line="360" w:lineRule="auto"/>
        <w:jc w:val="left"/>
        <w:rPr>
          <w:rFonts w:ascii="宋体" w:hAnsi="宋体" w:cs="宋体"/>
          <w:bCs/>
          <w:sz w:val="24"/>
          <w:highlight w:val="none"/>
        </w:rPr>
      </w:pPr>
      <w:r>
        <w:rPr>
          <w:rFonts w:hint="eastAsia" w:ascii="宋体" w:hAnsi="宋体" w:cs="宋体"/>
          <w:bCs/>
          <w:sz w:val="24"/>
          <w:highlight w:val="none"/>
        </w:rPr>
        <w:t>扫描件：</w:t>
      </w:r>
    </w:p>
    <w:p w14:paraId="59FC9785">
      <w:pPr>
        <w:spacing w:line="240" w:lineRule="auto"/>
        <w:jc w:val="left"/>
        <w:rPr>
          <w:rFonts w:hint="eastAsia" w:ascii="宋体" w:hAnsi="宋体" w:cs="宋体"/>
          <w:b/>
          <w:sz w:val="24"/>
          <w:highlight w:val="none"/>
        </w:rPr>
      </w:pPr>
    </w:p>
    <w:p w14:paraId="4C472496">
      <w:pPr>
        <w:spacing w:line="240" w:lineRule="auto"/>
        <w:jc w:val="left"/>
        <w:rPr>
          <w:rFonts w:hint="eastAsia" w:ascii="宋体" w:hAnsi="宋体" w:cs="宋体"/>
          <w:b/>
          <w:sz w:val="24"/>
          <w:highlight w:val="none"/>
        </w:rPr>
      </w:pPr>
      <w:r>
        <w:rPr>
          <w:rFonts w:hint="eastAsia" w:ascii="宋体" w:hAnsi="宋体" w:cs="宋体"/>
          <w:b/>
          <w:sz w:val="24"/>
          <w:highlight w:val="none"/>
        </w:rPr>
        <w:br w:type="page"/>
      </w:r>
    </w:p>
    <w:p w14:paraId="483D4F5B">
      <w:pPr>
        <w:pStyle w:val="41"/>
        <w:jc w:val="center"/>
        <w:outlineLvl w:val="9"/>
        <w:rPr>
          <w:rFonts w:hint="eastAsia" w:ascii="宋体" w:hAnsi="宋体" w:eastAsia="宋体" w:cs="宋体"/>
          <w:bCs/>
          <w:color w:val="000000" w:themeColor="text1"/>
          <w:sz w:val="24"/>
          <w:szCs w:val="24"/>
          <w:highlight w:val="none"/>
          <w:lang w:eastAsia="zh-CN"/>
          <w14:textFill>
            <w14:solidFill>
              <w14:schemeClr w14:val="tx1"/>
            </w14:solidFill>
          </w14:textFill>
        </w:rPr>
      </w:pPr>
    </w:p>
    <w:p w14:paraId="18AF587E">
      <w:pPr>
        <w:pStyle w:val="41"/>
        <w:jc w:val="center"/>
        <w:outlineLvl w:val="9"/>
        <w:rPr>
          <w:rFonts w:hint="eastAsia" w:ascii="宋体" w:hAnsi="宋体" w:eastAsia="宋体" w:cs="宋体"/>
          <w:b/>
          <w:bCs w:val="0"/>
          <w:color w:val="000000" w:themeColor="text1"/>
          <w:sz w:val="28"/>
          <w:szCs w:val="28"/>
          <w:highlight w:val="none"/>
          <w:lang w:eastAsia="zh-CN"/>
          <w14:textFill>
            <w14:solidFill>
              <w14:schemeClr w14:val="tx1"/>
            </w14:solidFill>
          </w14:textFill>
        </w:rPr>
      </w:pPr>
    </w:p>
    <w:p w14:paraId="4B2595A1">
      <w:pPr>
        <w:pStyle w:val="41"/>
        <w:jc w:val="center"/>
        <w:outlineLvl w:val="1"/>
        <w:rPr>
          <w:rFonts w:hint="eastAsia" w:ascii="宋体" w:hAnsi="宋体" w:eastAsia="宋体" w:cs="宋体"/>
          <w:b/>
          <w:bCs w:val="0"/>
          <w:color w:val="000000" w:themeColor="text1"/>
          <w:sz w:val="28"/>
          <w:szCs w:val="28"/>
          <w:highlight w:val="none"/>
          <w:lang w:eastAsia="zh-CN"/>
          <w14:textFill>
            <w14:solidFill>
              <w14:schemeClr w14:val="tx1"/>
            </w14:solidFill>
          </w14:textFill>
        </w:rPr>
      </w:pPr>
      <w:r>
        <w:rPr>
          <w:rFonts w:hint="eastAsia" w:ascii="宋体" w:hAnsi="宋体" w:eastAsia="宋体" w:cs="宋体"/>
          <w:b/>
          <w:bCs w:val="0"/>
          <w:color w:val="000000" w:themeColor="text1"/>
          <w:sz w:val="28"/>
          <w:szCs w:val="28"/>
          <w:highlight w:val="none"/>
          <w:lang w:eastAsia="zh-CN"/>
          <w14:textFill>
            <w14:solidFill>
              <w14:schemeClr w14:val="tx1"/>
            </w14:solidFill>
          </w14:textFill>
        </w:rPr>
        <w:t>（五）依法缴纳社会保障资金</w:t>
      </w:r>
    </w:p>
    <w:p w14:paraId="40EE91D4">
      <w:pPr>
        <w:pStyle w:val="69"/>
        <w:widowControl/>
        <w:ind w:firstLine="241" w:firstLineChars="1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附：</w:t>
      </w:r>
      <w:r>
        <w:rPr>
          <w:rFonts w:hint="eastAsia" w:ascii="宋体" w:hAnsi="宋体" w:eastAsia="宋体" w:cs="宋体"/>
          <w:b/>
          <w:color w:val="000000" w:themeColor="text1"/>
          <w:sz w:val="24"/>
          <w:szCs w:val="24"/>
          <w:highlight w:val="none"/>
          <w:lang w:eastAsia="zh-CN"/>
          <w14:textFill>
            <w14:solidFill>
              <w14:schemeClr w14:val="tx1"/>
            </w14:solidFill>
          </w14:textFill>
        </w:rPr>
        <w:t>扫描件：</w:t>
      </w:r>
    </w:p>
    <w:p w14:paraId="364043EE">
      <w:pPr>
        <w:keepNext w:val="0"/>
        <w:keepLines w:val="0"/>
        <w:widowControl/>
        <w:suppressLineNumbers w:val="0"/>
        <w:jc w:val="center"/>
        <w:rPr>
          <w:highlight w:val="none"/>
        </w:rPr>
      </w:pPr>
      <w:r>
        <w:rPr>
          <w:rFonts w:hint="eastAsia" w:ascii="宋体" w:hAnsi="宋体" w:eastAsia="宋体" w:cs="宋体"/>
          <w:b/>
          <w:bCs/>
          <w:color w:val="000000"/>
          <w:kern w:val="0"/>
          <w:sz w:val="30"/>
          <w:szCs w:val="30"/>
          <w:highlight w:val="none"/>
          <w:lang w:val="en-US" w:eastAsia="zh-CN" w:bidi="ar"/>
        </w:rPr>
        <w:t>依法缴纳税收和社会保障资金承诺函</w:t>
      </w:r>
    </w:p>
    <w:p w14:paraId="3B41CEF0">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4E880865">
      <w:pPr>
        <w:keepNext w:val="0"/>
        <w:keepLines w:val="0"/>
        <w:widowControl/>
        <w:suppressLineNumbers w:val="0"/>
        <w:spacing w:line="360" w:lineRule="auto"/>
        <w:jc w:val="left"/>
        <w:rPr>
          <w:highlight w:val="none"/>
        </w:rPr>
      </w:pPr>
      <w:r>
        <w:rPr>
          <w:rFonts w:hint="eastAsia" w:ascii="宋体" w:hAnsi="宋体" w:eastAsia="宋体" w:cs="宋体"/>
          <w:color w:val="000000"/>
          <w:kern w:val="0"/>
          <w:sz w:val="24"/>
          <w:szCs w:val="24"/>
          <w:highlight w:val="none"/>
          <w:lang w:val="en-US" w:eastAsia="zh-CN" w:bidi="ar"/>
        </w:rPr>
        <w:t xml:space="preserve">致  </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w:t>
      </w:r>
      <w:r>
        <w:rPr>
          <w:rFonts w:hint="eastAsia" w:ascii="宋体" w:hAnsi="宋体" w:cs="宋体"/>
          <w:color w:val="000000"/>
          <w:kern w:val="0"/>
          <w:sz w:val="24"/>
          <w:szCs w:val="24"/>
          <w:highlight w:val="none"/>
          <w:lang w:val="en-US" w:eastAsia="zh-CN" w:bidi="ar"/>
        </w:rPr>
        <w:t>招标人</w:t>
      </w:r>
      <w:r>
        <w:rPr>
          <w:rFonts w:hint="eastAsia" w:ascii="宋体" w:hAnsi="宋体" w:eastAsia="宋体" w:cs="宋体"/>
          <w:color w:val="000000"/>
          <w:kern w:val="0"/>
          <w:sz w:val="24"/>
          <w:szCs w:val="24"/>
          <w:highlight w:val="none"/>
          <w:lang w:val="en-US" w:eastAsia="zh-CN" w:bidi="ar"/>
        </w:rPr>
        <w:t xml:space="preserve">或采购代理机构）： </w:t>
      </w:r>
    </w:p>
    <w:p w14:paraId="09154574">
      <w:pPr>
        <w:keepNext w:val="0"/>
        <w:keepLines w:val="0"/>
        <w:widowControl/>
        <w:suppressLineNumbers w:val="0"/>
        <w:spacing w:line="360" w:lineRule="auto"/>
        <w:ind w:firstLine="480" w:firstLineChars="200"/>
        <w:jc w:val="left"/>
        <w:rPr>
          <w:highlight w:val="none"/>
        </w:rPr>
      </w:pPr>
      <w:r>
        <w:rPr>
          <w:rFonts w:hint="eastAsia" w:ascii="宋体" w:hAnsi="宋体" w:eastAsia="宋体" w:cs="宋体"/>
          <w:color w:val="000000"/>
          <w:kern w:val="0"/>
          <w:sz w:val="24"/>
          <w:szCs w:val="24"/>
          <w:highlight w:val="none"/>
          <w:lang w:val="en-US" w:eastAsia="zh-CN" w:bidi="ar"/>
        </w:rPr>
        <w:t>我方在参加</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（项目名称）（项目编号：</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 ）政 </w:t>
      </w:r>
    </w:p>
    <w:p w14:paraId="48F5DA99">
      <w:pPr>
        <w:keepNext w:val="0"/>
        <w:keepLines w:val="0"/>
        <w:widowControl/>
        <w:suppressLineNumbers w:val="0"/>
        <w:spacing w:line="360" w:lineRule="auto"/>
        <w:jc w:val="left"/>
        <w:rPr>
          <w:highlight w:val="none"/>
        </w:rPr>
      </w:pPr>
      <w:r>
        <w:rPr>
          <w:rFonts w:hint="eastAsia" w:ascii="宋体" w:hAnsi="宋体" w:eastAsia="宋体" w:cs="宋体"/>
          <w:color w:val="000000"/>
          <w:kern w:val="0"/>
          <w:sz w:val="24"/>
          <w:szCs w:val="24"/>
          <w:highlight w:val="none"/>
          <w:lang w:val="en-US" w:eastAsia="zh-CN" w:bidi="ar"/>
        </w:rPr>
        <w:t>府采购活动前，已依法缴纳税收和社会保障资金，符合《中华人民共和国政府采购法实施条例》第十七条第一款第二项规定和</w:t>
      </w:r>
      <w:r>
        <w:rPr>
          <w:rFonts w:hint="eastAsia" w:ascii="宋体" w:hAnsi="宋体" w:cs="宋体"/>
          <w:color w:val="000000"/>
          <w:kern w:val="0"/>
          <w:sz w:val="24"/>
          <w:szCs w:val="24"/>
          <w:highlight w:val="none"/>
          <w:lang w:val="en-US" w:eastAsia="zh-CN" w:bidi="ar"/>
        </w:rPr>
        <w:t>招标文件</w:t>
      </w:r>
      <w:r>
        <w:rPr>
          <w:rFonts w:hint="eastAsia" w:ascii="宋体" w:hAnsi="宋体" w:eastAsia="宋体" w:cs="宋体"/>
          <w:color w:val="000000"/>
          <w:kern w:val="0"/>
          <w:sz w:val="24"/>
          <w:szCs w:val="24"/>
          <w:highlight w:val="none"/>
          <w:lang w:val="en-US" w:eastAsia="zh-CN" w:bidi="ar"/>
        </w:rPr>
        <w:t xml:space="preserve">关于缴纳税收和社会保障资金的资格要求。 </w:t>
      </w:r>
    </w:p>
    <w:p w14:paraId="4D8C5ACC">
      <w:pPr>
        <w:keepNext w:val="0"/>
        <w:keepLines w:val="0"/>
        <w:widowControl/>
        <w:suppressLineNumbers w:val="0"/>
        <w:spacing w:line="360" w:lineRule="auto"/>
        <w:ind w:firstLine="480" w:firstLineChars="200"/>
        <w:jc w:val="left"/>
        <w:rPr>
          <w:highlight w:val="none"/>
        </w:rPr>
      </w:pPr>
      <w:r>
        <w:rPr>
          <w:rFonts w:hint="eastAsia" w:ascii="宋体" w:hAnsi="宋体" w:eastAsia="宋体" w:cs="宋体"/>
          <w:color w:val="000000"/>
          <w:kern w:val="0"/>
          <w:sz w:val="24"/>
          <w:szCs w:val="24"/>
          <w:highlight w:val="none"/>
          <w:lang w:val="en-US" w:eastAsia="zh-CN" w:bidi="ar"/>
        </w:rPr>
        <w:t xml:space="preserve">特此承诺。 </w:t>
      </w:r>
    </w:p>
    <w:p w14:paraId="54D310F7">
      <w:pPr>
        <w:keepNext w:val="0"/>
        <w:keepLines w:val="0"/>
        <w:widowControl/>
        <w:suppressLineNumbers w:val="0"/>
        <w:spacing w:line="360" w:lineRule="auto"/>
        <w:ind w:firstLine="480" w:firstLineChars="200"/>
        <w:jc w:val="left"/>
        <w:rPr>
          <w:highlight w:val="none"/>
        </w:rPr>
      </w:pPr>
      <w:r>
        <w:rPr>
          <w:rFonts w:hint="eastAsia" w:ascii="宋体" w:hAnsi="宋体" w:eastAsia="宋体" w:cs="宋体"/>
          <w:color w:val="000000"/>
          <w:kern w:val="0"/>
          <w:sz w:val="24"/>
          <w:szCs w:val="24"/>
          <w:highlight w:val="none"/>
          <w:lang w:val="en-US" w:eastAsia="zh-CN" w:bidi="ar"/>
        </w:rPr>
        <w:t xml:space="preserve">我方对上述承诺真实性、合法性、有效性负责，如有虚假承诺，依法承担相应责任并接受处罚。 </w:t>
      </w:r>
    </w:p>
    <w:p w14:paraId="05578400">
      <w:pPr>
        <w:keepNext w:val="0"/>
        <w:keepLines w:val="0"/>
        <w:widowControl/>
        <w:suppressLineNumbers w:val="0"/>
        <w:spacing w:line="360" w:lineRule="auto"/>
        <w:jc w:val="left"/>
        <w:rPr>
          <w:rFonts w:hint="eastAsia" w:ascii="宋体" w:hAnsi="宋体" w:eastAsia="宋体" w:cs="宋体"/>
          <w:color w:val="000000"/>
          <w:kern w:val="0"/>
          <w:sz w:val="24"/>
          <w:szCs w:val="24"/>
          <w:highlight w:val="none"/>
          <w:lang w:val="en-US" w:eastAsia="zh-CN" w:bidi="ar"/>
        </w:rPr>
      </w:pPr>
    </w:p>
    <w:p w14:paraId="73DFD550">
      <w:pPr>
        <w:keepNext w:val="0"/>
        <w:keepLines w:val="0"/>
        <w:widowControl/>
        <w:suppressLineNumbers w:val="0"/>
        <w:spacing w:line="360" w:lineRule="auto"/>
        <w:jc w:val="left"/>
        <w:rPr>
          <w:rFonts w:hint="eastAsia" w:ascii="宋体" w:hAnsi="宋体" w:eastAsia="宋体" w:cs="宋体"/>
          <w:color w:val="000000"/>
          <w:kern w:val="0"/>
          <w:sz w:val="24"/>
          <w:szCs w:val="24"/>
          <w:highlight w:val="none"/>
          <w:lang w:val="en-US" w:eastAsia="zh-CN" w:bidi="ar"/>
        </w:rPr>
      </w:pPr>
    </w:p>
    <w:p w14:paraId="4A72865D">
      <w:pPr>
        <w:keepNext w:val="0"/>
        <w:keepLines w:val="0"/>
        <w:widowControl/>
        <w:suppressLineNumbers w:val="0"/>
        <w:spacing w:line="360" w:lineRule="auto"/>
        <w:jc w:val="right"/>
        <w:rPr>
          <w:rFonts w:hint="eastAsia"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投标人</w:t>
      </w:r>
      <w:r>
        <w:rPr>
          <w:rFonts w:hint="eastAsia" w:ascii="宋体" w:hAnsi="宋体" w:eastAsia="宋体" w:cs="宋体"/>
          <w:color w:val="000000"/>
          <w:kern w:val="0"/>
          <w:sz w:val="24"/>
          <w:szCs w:val="24"/>
          <w:highlight w:val="none"/>
          <w:lang w:val="en-US" w:eastAsia="zh-CN" w:bidi="ar"/>
        </w:rPr>
        <w:t>全称：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（盖公司公章） </w:t>
      </w:r>
    </w:p>
    <w:p w14:paraId="6B7D6211">
      <w:pPr>
        <w:keepNext w:val="0"/>
        <w:keepLines w:val="0"/>
        <w:widowControl/>
        <w:suppressLineNumbers w:val="0"/>
        <w:spacing w:line="360" w:lineRule="auto"/>
        <w:jc w:val="center"/>
        <w:rPr>
          <w:highlight w:val="none"/>
        </w:rPr>
      </w:pPr>
      <w:r>
        <w:rPr>
          <w:rFonts w:hint="eastAsia" w:ascii="宋体" w:hAnsi="宋体" w:eastAsia="宋体" w:cs="宋体"/>
          <w:color w:val="000000"/>
          <w:kern w:val="0"/>
          <w:sz w:val="24"/>
          <w:szCs w:val="24"/>
          <w:highlight w:val="none"/>
          <w:lang w:val="en-US" w:eastAsia="zh-CN" w:bidi="ar"/>
        </w:rPr>
        <w:t xml:space="preserve">                                   年 月 日 </w:t>
      </w:r>
    </w:p>
    <w:p w14:paraId="2CE5459A">
      <w:pPr>
        <w:keepNext w:val="0"/>
        <w:keepLines w:val="0"/>
        <w:widowControl/>
        <w:suppressLineNumbers w:val="0"/>
        <w:spacing w:line="360" w:lineRule="auto"/>
        <w:jc w:val="left"/>
        <w:rPr>
          <w:rFonts w:hint="eastAsia" w:ascii="宋体" w:hAnsi="宋体" w:eastAsia="宋体" w:cs="宋体"/>
          <w:color w:val="000000"/>
          <w:kern w:val="0"/>
          <w:sz w:val="24"/>
          <w:szCs w:val="24"/>
          <w:highlight w:val="none"/>
          <w:lang w:val="en-US" w:eastAsia="zh-CN" w:bidi="ar"/>
        </w:rPr>
      </w:pPr>
    </w:p>
    <w:p w14:paraId="38CDFDB5">
      <w:pPr>
        <w:keepNext w:val="0"/>
        <w:keepLines w:val="0"/>
        <w:widowControl/>
        <w:suppressLineNumbers w:val="0"/>
        <w:spacing w:line="360" w:lineRule="auto"/>
        <w:jc w:val="left"/>
        <w:rPr>
          <w:rFonts w:hint="eastAsia" w:ascii="宋体" w:hAnsi="宋体" w:eastAsia="宋体" w:cs="宋体"/>
          <w:color w:val="000000"/>
          <w:kern w:val="0"/>
          <w:sz w:val="24"/>
          <w:szCs w:val="24"/>
          <w:highlight w:val="none"/>
          <w:lang w:val="en-US" w:eastAsia="zh-CN" w:bidi="ar"/>
        </w:rPr>
      </w:pPr>
    </w:p>
    <w:p w14:paraId="387A8DF5">
      <w:pPr>
        <w:keepNext w:val="0"/>
        <w:keepLines w:val="0"/>
        <w:widowControl/>
        <w:suppressLineNumbers w:val="0"/>
        <w:spacing w:line="360" w:lineRule="auto"/>
        <w:jc w:val="left"/>
        <w:rPr>
          <w:highlight w:val="none"/>
        </w:rPr>
      </w:pPr>
      <w:r>
        <w:rPr>
          <w:rFonts w:hint="eastAsia" w:ascii="宋体" w:hAnsi="宋体" w:eastAsia="宋体" w:cs="宋体"/>
          <w:color w:val="000000"/>
          <w:kern w:val="0"/>
          <w:sz w:val="24"/>
          <w:szCs w:val="24"/>
          <w:highlight w:val="none"/>
          <w:lang w:val="en-US" w:eastAsia="zh-CN" w:bidi="ar"/>
        </w:rPr>
        <w:t xml:space="preserve">注： </w:t>
      </w:r>
    </w:p>
    <w:p w14:paraId="30B8FC10">
      <w:pPr>
        <w:keepNext w:val="0"/>
        <w:keepLines w:val="0"/>
        <w:widowControl/>
        <w:suppressLineNumbers w:val="0"/>
        <w:spacing w:line="360" w:lineRule="auto"/>
        <w:jc w:val="left"/>
        <w:rPr>
          <w:highlight w:val="none"/>
        </w:rPr>
      </w:pPr>
      <w:r>
        <w:rPr>
          <w:rFonts w:hint="eastAsia" w:ascii="宋体" w:hAnsi="宋体" w:eastAsia="宋体" w:cs="宋体"/>
          <w:color w:val="000000"/>
          <w:kern w:val="0"/>
          <w:sz w:val="24"/>
          <w:szCs w:val="24"/>
          <w:highlight w:val="none"/>
          <w:lang w:val="en-US" w:eastAsia="zh-CN" w:bidi="ar"/>
        </w:rPr>
        <w:t>1. 依法免税或不需要缴纳社会保障资金的</w:t>
      </w:r>
      <w:r>
        <w:rPr>
          <w:rFonts w:hint="eastAsia" w:ascii="宋体" w:hAnsi="宋体" w:cs="宋体"/>
          <w:color w:val="000000"/>
          <w:kern w:val="0"/>
          <w:sz w:val="24"/>
          <w:szCs w:val="24"/>
          <w:highlight w:val="none"/>
          <w:lang w:val="en-US" w:eastAsia="zh-CN" w:bidi="ar"/>
        </w:rPr>
        <w:t>投标人</w:t>
      </w:r>
      <w:r>
        <w:rPr>
          <w:rFonts w:hint="eastAsia" w:ascii="宋体" w:hAnsi="宋体" w:eastAsia="宋体" w:cs="宋体"/>
          <w:color w:val="000000"/>
          <w:kern w:val="0"/>
          <w:sz w:val="24"/>
          <w:szCs w:val="24"/>
          <w:highlight w:val="none"/>
          <w:lang w:val="en-US" w:eastAsia="zh-CN" w:bidi="ar"/>
        </w:rPr>
        <w:t xml:space="preserve">，应提供相关证明材料。 </w:t>
      </w:r>
    </w:p>
    <w:p w14:paraId="51008593">
      <w:pPr>
        <w:keepNext w:val="0"/>
        <w:keepLines w:val="0"/>
        <w:widowControl/>
        <w:suppressLineNumbers w:val="0"/>
        <w:spacing w:line="360" w:lineRule="auto"/>
        <w:jc w:val="left"/>
        <w:rPr>
          <w:highlight w:val="none"/>
        </w:rPr>
      </w:pPr>
      <w:r>
        <w:rPr>
          <w:rFonts w:ascii="Calibri" w:hAnsi="Calibri" w:eastAsia="宋体" w:cs="Calibri"/>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未在山东省内缴纳税收和社会保障资金的</w:t>
      </w:r>
      <w:r>
        <w:rPr>
          <w:rFonts w:hint="eastAsia" w:ascii="宋体" w:hAnsi="宋体" w:cs="宋体"/>
          <w:color w:val="000000"/>
          <w:kern w:val="0"/>
          <w:sz w:val="24"/>
          <w:szCs w:val="24"/>
          <w:highlight w:val="none"/>
          <w:lang w:val="en-US" w:eastAsia="zh-CN" w:bidi="ar"/>
        </w:rPr>
        <w:t>投标人</w:t>
      </w:r>
      <w:r>
        <w:rPr>
          <w:rFonts w:hint="eastAsia" w:ascii="宋体" w:hAnsi="宋体" w:eastAsia="宋体" w:cs="宋体"/>
          <w:color w:val="000000"/>
          <w:kern w:val="0"/>
          <w:sz w:val="24"/>
          <w:szCs w:val="24"/>
          <w:highlight w:val="none"/>
          <w:lang w:val="en-US" w:eastAsia="zh-CN" w:bidi="ar"/>
        </w:rPr>
        <w:t>，需按</w:t>
      </w:r>
      <w:r>
        <w:rPr>
          <w:rFonts w:hint="eastAsia" w:ascii="宋体" w:hAnsi="宋体" w:cs="宋体"/>
          <w:color w:val="000000"/>
          <w:kern w:val="0"/>
          <w:sz w:val="24"/>
          <w:szCs w:val="24"/>
          <w:highlight w:val="none"/>
          <w:lang w:val="en-US" w:eastAsia="zh-CN" w:bidi="ar"/>
        </w:rPr>
        <w:t>招标文件</w:t>
      </w:r>
      <w:r>
        <w:rPr>
          <w:rFonts w:hint="eastAsia" w:ascii="宋体" w:hAnsi="宋体" w:eastAsia="宋体" w:cs="宋体"/>
          <w:color w:val="000000"/>
          <w:kern w:val="0"/>
          <w:sz w:val="24"/>
          <w:szCs w:val="24"/>
          <w:highlight w:val="none"/>
          <w:lang w:val="en-US" w:eastAsia="zh-CN" w:bidi="ar"/>
        </w:rPr>
        <w:t xml:space="preserve">要求提供缴纳税收和 </w:t>
      </w:r>
    </w:p>
    <w:p w14:paraId="7656830B">
      <w:pPr>
        <w:keepNext w:val="0"/>
        <w:keepLines w:val="0"/>
        <w:widowControl/>
        <w:suppressLineNumbers w:val="0"/>
        <w:spacing w:line="360" w:lineRule="auto"/>
        <w:jc w:val="left"/>
        <w:rPr>
          <w:highlight w:val="none"/>
        </w:rPr>
      </w:pPr>
      <w:r>
        <w:rPr>
          <w:rFonts w:hint="eastAsia" w:ascii="宋体" w:hAnsi="宋体" w:eastAsia="宋体" w:cs="宋体"/>
          <w:color w:val="000000"/>
          <w:kern w:val="0"/>
          <w:sz w:val="24"/>
          <w:szCs w:val="24"/>
          <w:highlight w:val="none"/>
          <w:lang w:val="en-US" w:eastAsia="zh-CN" w:bidi="ar"/>
        </w:rPr>
        <w:t>社会保障资金的证明材料</w:t>
      </w:r>
    </w:p>
    <w:p w14:paraId="50FAE40E">
      <w:pPr>
        <w:pStyle w:val="41"/>
        <w:jc w:val="center"/>
        <w:outlineLvl w:val="9"/>
        <w:rPr>
          <w:rFonts w:hint="eastAsia" w:ascii="宋体" w:hAnsi="宋体" w:eastAsia="宋体" w:cs="宋体"/>
          <w:bCs/>
          <w:color w:val="000000" w:themeColor="text1"/>
          <w:sz w:val="28"/>
          <w:szCs w:val="28"/>
          <w:highlight w:val="none"/>
          <w14:textFill>
            <w14:solidFill>
              <w14:schemeClr w14:val="tx1"/>
            </w14:solidFill>
          </w14:textFill>
        </w:rPr>
      </w:pPr>
    </w:p>
    <w:p w14:paraId="076D33FE">
      <w:pP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br w:type="page"/>
      </w:r>
    </w:p>
    <w:p w14:paraId="6705168E">
      <w:pPr>
        <w:spacing w:line="360" w:lineRule="auto"/>
        <w:jc w:val="center"/>
        <w:outlineLvl w:val="1"/>
        <w:rPr>
          <w:rFonts w:hint="eastAsia" w:ascii="宋体" w:hAnsi="宋体" w:eastAsia="宋体" w:cs="宋体"/>
          <w:b/>
          <w:bCs w:val="0"/>
          <w:color w:val="000000" w:themeColor="text1"/>
          <w:kern w:val="2"/>
          <w:sz w:val="28"/>
          <w:szCs w:val="28"/>
          <w:highlight w:val="none"/>
          <w:lang w:val="zh-CN" w:eastAsia="zh-CN" w:bidi="ar-SA"/>
          <w14:textFill>
            <w14:solidFill>
              <w14:schemeClr w14:val="tx1"/>
            </w14:solidFill>
          </w14:textFill>
        </w:rPr>
      </w:pPr>
      <w:r>
        <w:rPr>
          <w:rFonts w:hint="eastAsia" w:ascii="宋体" w:hAnsi="宋体" w:eastAsia="宋体" w:cs="宋体"/>
          <w:b/>
          <w:bCs w:val="0"/>
          <w:color w:val="000000" w:themeColor="text1"/>
          <w:kern w:val="2"/>
          <w:sz w:val="28"/>
          <w:szCs w:val="28"/>
          <w:highlight w:val="none"/>
          <w:lang w:val="zh-CN" w:eastAsia="zh-CN" w:bidi="ar-SA"/>
          <w14:textFill>
            <w14:solidFill>
              <w14:schemeClr w14:val="tx1"/>
            </w14:solidFill>
          </w14:textFill>
        </w:rPr>
        <w:t>（六）履约合同的设备技术能力证明表</w:t>
      </w:r>
    </w:p>
    <w:tbl>
      <w:tblPr>
        <w:tblStyle w:val="76"/>
        <w:tblW w:w="96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7"/>
        <w:gridCol w:w="1468"/>
        <w:gridCol w:w="125"/>
        <w:gridCol w:w="1648"/>
        <w:gridCol w:w="1349"/>
        <w:gridCol w:w="1853"/>
        <w:gridCol w:w="1339"/>
      </w:tblGrid>
      <w:tr w14:paraId="47571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0" w:hRule="atLeast"/>
        </w:trPr>
        <w:tc>
          <w:tcPr>
            <w:tcW w:w="1917" w:type="dxa"/>
            <w:noWrap w:val="0"/>
            <w:vAlign w:val="center"/>
          </w:tcPr>
          <w:p w14:paraId="7A88D167">
            <w:pPr>
              <w:autoSpaceDE w:val="0"/>
              <w:autoSpaceDN w:val="0"/>
              <w:spacing w:before="50" w:after="120"/>
              <w:jc w:val="center"/>
              <w:rPr>
                <w:rFonts w:hint="eastAsia" w:ascii="宋体" w:hAnsi="宋体" w:eastAsia="宋体" w:cs="宋体"/>
                <w:b/>
                <w:bCs/>
                <w:color w:val="000000" w:themeColor="text1"/>
                <w:sz w:val="24"/>
                <w:highlight w:val="none"/>
                <w:lang w:val="zh-CN"/>
                <w14:textFill>
                  <w14:solidFill>
                    <w14:schemeClr w14:val="tx1"/>
                  </w14:solidFill>
                </w14:textFill>
              </w:rPr>
            </w:pPr>
            <w:r>
              <w:rPr>
                <w:rFonts w:hint="eastAsia" w:ascii="宋体" w:hAnsi="宋体" w:eastAsia="宋体" w:cs="宋体"/>
                <w:b/>
                <w:bCs/>
                <w:color w:val="000000" w:themeColor="text1"/>
                <w:sz w:val="24"/>
                <w:highlight w:val="none"/>
                <w:lang w:val="zh-CN"/>
                <w14:textFill>
                  <w14:solidFill>
                    <w14:schemeClr w14:val="tx1"/>
                  </w14:solidFill>
                </w14:textFill>
              </w:rPr>
              <w:t>单位名称</w:t>
            </w:r>
          </w:p>
          <w:p w14:paraId="2C0026C5">
            <w:pPr>
              <w:autoSpaceDE w:val="0"/>
              <w:autoSpaceDN w:val="0"/>
              <w:spacing w:before="50" w:after="120"/>
              <w:jc w:val="center"/>
              <w:rPr>
                <w:rFonts w:hint="eastAsia" w:ascii="宋体" w:hAnsi="宋体" w:eastAsia="宋体" w:cs="宋体"/>
                <w:b/>
                <w:bCs/>
                <w:color w:val="000000" w:themeColor="text1"/>
                <w:sz w:val="24"/>
                <w:highlight w:val="none"/>
                <w:lang w:val="zh-CN"/>
                <w14:textFill>
                  <w14:solidFill>
                    <w14:schemeClr w14:val="tx1"/>
                  </w14:solidFill>
                </w14:textFill>
              </w:rPr>
            </w:pPr>
            <w:r>
              <w:rPr>
                <w:rFonts w:hint="eastAsia" w:ascii="宋体" w:hAnsi="宋体" w:eastAsia="宋体" w:cs="宋体"/>
                <w:b/>
                <w:bCs/>
                <w:color w:val="000000" w:themeColor="text1"/>
                <w:sz w:val="24"/>
                <w:highlight w:val="none"/>
                <w:lang w:val="zh-CN"/>
                <w14:textFill>
                  <w14:solidFill>
                    <w14:schemeClr w14:val="tx1"/>
                  </w14:solidFill>
                </w14:textFill>
              </w:rPr>
              <w:t>（盖公章）</w:t>
            </w:r>
          </w:p>
        </w:tc>
        <w:tc>
          <w:tcPr>
            <w:tcW w:w="7782" w:type="dxa"/>
            <w:gridSpan w:val="6"/>
            <w:noWrap w:val="0"/>
            <w:vAlign w:val="center"/>
          </w:tcPr>
          <w:p w14:paraId="7B8F7A44">
            <w:pPr>
              <w:autoSpaceDE w:val="0"/>
              <w:autoSpaceDN w:val="0"/>
              <w:spacing w:before="50" w:after="120"/>
              <w:jc w:val="left"/>
              <w:rPr>
                <w:rFonts w:hint="eastAsia" w:ascii="宋体" w:hAnsi="宋体" w:eastAsia="宋体" w:cs="宋体"/>
                <w:b/>
                <w:bCs/>
                <w:color w:val="000000" w:themeColor="text1"/>
                <w:sz w:val="24"/>
                <w:highlight w:val="none"/>
                <w:lang w:val="zh-CN"/>
                <w14:textFill>
                  <w14:solidFill>
                    <w14:schemeClr w14:val="tx1"/>
                  </w14:solidFill>
                </w14:textFill>
              </w:rPr>
            </w:pPr>
          </w:p>
        </w:tc>
      </w:tr>
      <w:tr w14:paraId="0ECE0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1917" w:type="dxa"/>
            <w:noWrap w:val="0"/>
            <w:vAlign w:val="top"/>
          </w:tcPr>
          <w:p w14:paraId="1971829A">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技术人员数量</w:t>
            </w:r>
          </w:p>
        </w:tc>
        <w:tc>
          <w:tcPr>
            <w:tcW w:w="1468" w:type="dxa"/>
            <w:noWrap w:val="0"/>
            <w:vAlign w:val="top"/>
          </w:tcPr>
          <w:p w14:paraId="610F45B3">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1773" w:type="dxa"/>
            <w:gridSpan w:val="2"/>
            <w:noWrap w:val="0"/>
            <w:vAlign w:val="top"/>
          </w:tcPr>
          <w:p w14:paraId="04FEA015">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管理人员数量</w:t>
            </w:r>
          </w:p>
        </w:tc>
        <w:tc>
          <w:tcPr>
            <w:tcW w:w="1349" w:type="dxa"/>
            <w:noWrap w:val="0"/>
            <w:vAlign w:val="top"/>
          </w:tcPr>
          <w:p w14:paraId="444542A9">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1853" w:type="dxa"/>
            <w:noWrap w:val="0"/>
            <w:vAlign w:val="top"/>
          </w:tcPr>
          <w:p w14:paraId="6267E778">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生产人员数量</w:t>
            </w:r>
          </w:p>
        </w:tc>
        <w:tc>
          <w:tcPr>
            <w:tcW w:w="1339" w:type="dxa"/>
            <w:noWrap w:val="0"/>
            <w:vAlign w:val="top"/>
          </w:tcPr>
          <w:p w14:paraId="3885E622">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r>
      <w:tr w14:paraId="77785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9699" w:type="dxa"/>
            <w:gridSpan w:val="7"/>
            <w:noWrap w:val="0"/>
            <w:vAlign w:val="top"/>
          </w:tcPr>
          <w:p w14:paraId="4E15A9BC">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生产设备情况</w:t>
            </w:r>
          </w:p>
        </w:tc>
      </w:tr>
      <w:tr w14:paraId="26B4D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1917" w:type="dxa"/>
            <w:noWrap w:val="0"/>
            <w:vAlign w:val="top"/>
          </w:tcPr>
          <w:p w14:paraId="5B2CB0C4">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序号</w:t>
            </w:r>
          </w:p>
        </w:tc>
        <w:tc>
          <w:tcPr>
            <w:tcW w:w="1593" w:type="dxa"/>
            <w:gridSpan w:val="2"/>
            <w:noWrap w:val="0"/>
            <w:vAlign w:val="top"/>
          </w:tcPr>
          <w:p w14:paraId="1E51D18E">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设备名称</w:t>
            </w:r>
          </w:p>
        </w:tc>
        <w:tc>
          <w:tcPr>
            <w:tcW w:w="4850" w:type="dxa"/>
            <w:gridSpan w:val="3"/>
            <w:noWrap w:val="0"/>
            <w:vAlign w:val="top"/>
          </w:tcPr>
          <w:p w14:paraId="300649B4">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设备规格</w:t>
            </w:r>
          </w:p>
        </w:tc>
        <w:tc>
          <w:tcPr>
            <w:tcW w:w="1339" w:type="dxa"/>
            <w:noWrap w:val="0"/>
            <w:vAlign w:val="top"/>
          </w:tcPr>
          <w:p w14:paraId="6CE2A276">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设备数量</w:t>
            </w:r>
          </w:p>
        </w:tc>
      </w:tr>
      <w:tr w14:paraId="38799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1917" w:type="dxa"/>
            <w:noWrap w:val="0"/>
            <w:vAlign w:val="top"/>
          </w:tcPr>
          <w:p w14:paraId="4C83B51F">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p>
        </w:tc>
        <w:tc>
          <w:tcPr>
            <w:tcW w:w="1593" w:type="dxa"/>
            <w:gridSpan w:val="2"/>
            <w:noWrap w:val="0"/>
            <w:vAlign w:val="top"/>
          </w:tcPr>
          <w:p w14:paraId="34D8AF77">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p>
        </w:tc>
        <w:tc>
          <w:tcPr>
            <w:tcW w:w="4850" w:type="dxa"/>
            <w:gridSpan w:val="3"/>
            <w:noWrap w:val="0"/>
            <w:vAlign w:val="top"/>
          </w:tcPr>
          <w:p w14:paraId="43ACA924">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p>
        </w:tc>
        <w:tc>
          <w:tcPr>
            <w:tcW w:w="1339" w:type="dxa"/>
            <w:noWrap w:val="0"/>
            <w:vAlign w:val="top"/>
          </w:tcPr>
          <w:p w14:paraId="37010139">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p>
        </w:tc>
      </w:tr>
      <w:tr w14:paraId="5F885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1917" w:type="dxa"/>
            <w:noWrap w:val="0"/>
            <w:vAlign w:val="top"/>
          </w:tcPr>
          <w:p w14:paraId="7AD6CEFD">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1593" w:type="dxa"/>
            <w:gridSpan w:val="2"/>
            <w:noWrap w:val="0"/>
            <w:vAlign w:val="top"/>
          </w:tcPr>
          <w:p w14:paraId="41615564">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4850" w:type="dxa"/>
            <w:gridSpan w:val="3"/>
            <w:noWrap w:val="0"/>
            <w:vAlign w:val="top"/>
          </w:tcPr>
          <w:p w14:paraId="60AE16C2">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1339" w:type="dxa"/>
            <w:noWrap w:val="0"/>
            <w:vAlign w:val="top"/>
          </w:tcPr>
          <w:p w14:paraId="1F356492">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r>
      <w:tr w14:paraId="712AF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9699" w:type="dxa"/>
            <w:gridSpan w:val="7"/>
            <w:noWrap w:val="0"/>
            <w:vAlign w:val="top"/>
          </w:tcPr>
          <w:p w14:paraId="5E658419">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检验设备情况</w:t>
            </w:r>
          </w:p>
        </w:tc>
      </w:tr>
      <w:tr w14:paraId="48267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1917" w:type="dxa"/>
            <w:noWrap w:val="0"/>
            <w:vAlign w:val="top"/>
          </w:tcPr>
          <w:p w14:paraId="2ADB89D7">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序号</w:t>
            </w:r>
          </w:p>
        </w:tc>
        <w:tc>
          <w:tcPr>
            <w:tcW w:w="1593" w:type="dxa"/>
            <w:gridSpan w:val="2"/>
            <w:noWrap w:val="0"/>
            <w:vAlign w:val="top"/>
          </w:tcPr>
          <w:p w14:paraId="50C55C6C">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设备名称</w:t>
            </w:r>
          </w:p>
        </w:tc>
        <w:tc>
          <w:tcPr>
            <w:tcW w:w="4850" w:type="dxa"/>
            <w:gridSpan w:val="3"/>
            <w:noWrap w:val="0"/>
            <w:vAlign w:val="top"/>
          </w:tcPr>
          <w:p w14:paraId="0088068B">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设备规格</w:t>
            </w:r>
          </w:p>
        </w:tc>
        <w:tc>
          <w:tcPr>
            <w:tcW w:w="1339" w:type="dxa"/>
            <w:noWrap w:val="0"/>
            <w:vAlign w:val="top"/>
          </w:tcPr>
          <w:p w14:paraId="047DB9FE">
            <w:pPr>
              <w:autoSpaceDE w:val="0"/>
              <w:autoSpaceDN w:val="0"/>
              <w:spacing w:before="50" w:after="120"/>
              <w:jc w:val="center"/>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设备数量</w:t>
            </w:r>
          </w:p>
        </w:tc>
      </w:tr>
      <w:tr w14:paraId="45AAB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1917" w:type="dxa"/>
            <w:noWrap w:val="0"/>
            <w:vAlign w:val="top"/>
          </w:tcPr>
          <w:p w14:paraId="55D59CA3">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1593" w:type="dxa"/>
            <w:gridSpan w:val="2"/>
            <w:noWrap w:val="0"/>
            <w:vAlign w:val="top"/>
          </w:tcPr>
          <w:p w14:paraId="01C7DC9A">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4850" w:type="dxa"/>
            <w:gridSpan w:val="3"/>
            <w:noWrap w:val="0"/>
            <w:vAlign w:val="top"/>
          </w:tcPr>
          <w:p w14:paraId="0C099103">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1339" w:type="dxa"/>
            <w:noWrap w:val="0"/>
            <w:vAlign w:val="top"/>
          </w:tcPr>
          <w:p w14:paraId="63296E35">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r>
      <w:tr w14:paraId="0DA75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1917" w:type="dxa"/>
            <w:noWrap w:val="0"/>
            <w:vAlign w:val="top"/>
          </w:tcPr>
          <w:p w14:paraId="26A1A3DD">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1593" w:type="dxa"/>
            <w:gridSpan w:val="2"/>
            <w:noWrap w:val="0"/>
            <w:vAlign w:val="top"/>
          </w:tcPr>
          <w:p w14:paraId="72162576">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4850" w:type="dxa"/>
            <w:gridSpan w:val="3"/>
            <w:noWrap w:val="0"/>
            <w:vAlign w:val="top"/>
          </w:tcPr>
          <w:p w14:paraId="7DE0AEC1">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1339" w:type="dxa"/>
            <w:noWrap w:val="0"/>
            <w:vAlign w:val="top"/>
          </w:tcPr>
          <w:p w14:paraId="0313EFE9">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r>
      <w:tr w14:paraId="2BD14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1917" w:type="dxa"/>
            <w:noWrap w:val="0"/>
            <w:vAlign w:val="top"/>
          </w:tcPr>
          <w:p w14:paraId="2C57A1B6">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1593" w:type="dxa"/>
            <w:gridSpan w:val="2"/>
            <w:noWrap w:val="0"/>
            <w:vAlign w:val="top"/>
          </w:tcPr>
          <w:p w14:paraId="3DCD3F24">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4850" w:type="dxa"/>
            <w:gridSpan w:val="3"/>
            <w:noWrap w:val="0"/>
            <w:vAlign w:val="top"/>
          </w:tcPr>
          <w:p w14:paraId="3A273943">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c>
          <w:tcPr>
            <w:tcW w:w="1339" w:type="dxa"/>
            <w:noWrap w:val="0"/>
            <w:vAlign w:val="top"/>
          </w:tcPr>
          <w:p w14:paraId="2B81476A">
            <w:pPr>
              <w:autoSpaceDE w:val="0"/>
              <w:autoSpaceDN w:val="0"/>
              <w:spacing w:before="50" w:after="120"/>
              <w:jc w:val="left"/>
              <w:rPr>
                <w:rFonts w:hint="eastAsia" w:ascii="宋体" w:hAnsi="宋体" w:eastAsia="宋体" w:cs="宋体"/>
                <w:color w:val="000000" w:themeColor="text1"/>
                <w:sz w:val="24"/>
                <w:highlight w:val="none"/>
                <w:lang w:val="zh-CN"/>
                <w14:textFill>
                  <w14:solidFill>
                    <w14:schemeClr w14:val="tx1"/>
                  </w14:solidFill>
                </w14:textFill>
              </w:rPr>
            </w:pPr>
          </w:p>
        </w:tc>
      </w:tr>
    </w:tbl>
    <w:p w14:paraId="29DB0776">
      <w:pPr>
        <w:autoSpaceDE w:val="0"/>
        <w:autoSpaceDN w:val="0"/>
        <w:spacing w:before="50" w:after="12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b/>
          <w:bCs/>
          <w:color w:val="000000" w:themeColor="text1"/>
          <w:sz w:val="24"/>
          <w:highlight w:val="none"/>
          <w:lang w:val="zh-CN"/>
          <w14:textFill>
            <w14:solidFill>
              <w14:schemeClr w14:val="tx1"/>
            </w14:solidFill>
          </w14:textFill>
        </w:rPr>
        <w:t>1、本表由投标人填写，不填写本表投标无效</w:t>
      </w:r>
      <w:r>
        <w:rPr>
          <w:rFonts w:hint="eastAsia" w:ascii="宋体" w:hAnsi="宋体" w:eastAsia="宋体" w:cs="宋体"/>
          <w:color w:val="000000" w:themeColor="text1"/>
          <w:sz w:val="24"/>
          <w:highlight w:val="none"/>
          <w:lang w:val="zh-CN"/>
          <w14:textFill>
            <w14:solidFill>
              <w14:schemeClr w14:val="tx1"/>
            </w14:solidFill>
          </w14:textFill>
        </w:rPr>
        <w:t>；</w:t>
      </w:r>
    </w:p>
    <w:p w14:paraId="61980992">
      <w:pPr>
        <w:autoSpaceDE w:val="0"/>
        <w:autoSpaceDN w:val="0"/>
        <w:spacing w:before="50" w:after="12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2、本表为投标人具有履行合同所必需的设备和专业技术能力说明，对代理商根据实际情况填写（无需设备的可只填写人员情况）。</w:t>
      </w:r>
    </w:p>
    <w:p w14:paraId="04F85631">
      <w:pPr>
        <w:autoSpaceDE w:val="0"/>
        <w:autoSpaceDN w:val="0"/>
        <w:adjustRightInd w:val="0"/>
        <w:spacing w:line="360" w:lineRule="auto"/>
        <w:rPr>
          <w:rFonts w:hint="eastAsia" w:ascii="宋体" w:hAnsi="宋体" w:eastAsia="宋体" w:cs="宋体"/>
          <w:color w:val="000000" w:themeColor="text1"/>
          <w:kern w:val="0"/>
          <w:szCs w:val="21"/>
          <w:highlight w:val="none"/>
          <w:lang w:val="zh-CN"/>
          <w14:textFill>
            <w14:solidFill>
              <w14:schemeClr w14:val="tx1"/>
            </w14:solidFill>
          </w14:textFill>
        </w:rPr>
      </w:pPr>
    </w:p>
    <w:p w14:paraId="2AF5B373">
      <w:pPr>
        <w:rPr>
          <w:rFonts w:hint="eastAsia" w:ascii="宋体" w:hAnsi="宋体" w:eastAsia="宋体" w:cs="宋体"/>
          <w:b/>
          <w:color w:val="000000" w:themeColor="text1"/>
          <w:sz w:val="24"/>
          <w:highlight w:val="none"/>
          <w14:textFill>
            <w14:solidFill>
              <w14:schemeClr w14:val="tx1"/>
            </w14:solidFill>
          </w14:textFill>
        </w:rPr>
      </w:pPr>
    </w:p>
    <w:p w14:paraId="4B117001">
      <w:pPr>
        <w:spacing w:line="540" w:lineRule="exact"/>
        <w:ind w:firstLine="3373" w:firstLineChars="1050"/>
        <w:rPr>
          <w:rFonts w:hint="eastAsia" w:ascii="宋体" w:hAnsi="宋体" w:eastAsia="宋体" w:cs="宋体"/>
          <w:b/>
          <w:color w:val="000000" w:themeColor="text1"/>
          <w:sz w:val="32"/>
          <w:highlight w:val="none"/>
          <w14:textFill>
            <w14:solidFill>
              <w14:schemeClr w14:val="tx1"/>
            </w14:solidFill>
          </w14:textFill>
        </w:rPr>
      </w:pPr>
    </w:p>
    <w:p w14:paraId="0D9E06CD">
      <w:pPr>
        <w:spacing w:line="540" w:lineRule="exact"/>
        <w:ind w:firstLine="3373" w:firstLineChars="1050"/>
        <w:rPr>
          <w:rFonts w:hint="eastAsia" w:ascii="宋体" w:hAnsi="宋体" w:eastAsia="宋体" w:cs="宋体"/>
          <w:b/>
          <w:color w:val="000000" w:themeColor="text1"/>
          <w:sz w:val="32"/>
          <w:highlight w:val="none"/>
          <w14:textFill>
            <w14:solidFill>
              <w14:schemeClr w14:val="tx1"/>
            </w14:solidFill>
          </w14:textFill>
        </w:rPr>
      </w:pPr>
    </w:p>
    <w:p w14:paraId="484B19E0">
      <w:pP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pPr>
    </w:p>
    <w:p w14:paraId="3699119B">
      <w:pPr>
        <w:jc w:val="center"/>
        <w:rPr>
          <w:rFonts w:hint="eastAsia" w:ascii="宋体" w:hAnsi="宋体" w:eastAsia="宋体" w:cs="宋体"/>
          <w:b/>
          <w:bCs w:val="0"/>
          <w:color w:val="000000" w:themeColor="text1"/>
          <w:kern w:val="2"/>
          <w:sz w:val="28"/>
          <w:szCs w:val="28"/>
          <w:highlight w:val="none"/>
          <w:lang w:val="zh-CN" w:eastAsia="zh-CN" w:bidi="ar-SA"/>
          <w14:textFill>
            <w14:solidFill>
              <w14:schemeClr w14:val="tx1"/>
            </w14:solidFill>
          </w14:textFill>
        </w:rPr>
      </w:pPr>
    </w:p>
    <w:p w14:paraId="21801EF7">
      <w:pPr>
        <w:jc w:val="center"/>
        <w:rPr>
          <w:rFonts w:hint="eastAsia" w:ascii="宋体" w:hAnsi="宋体" w:eastAsia="宋体" w:cs="宋体"/>
          <w:b/>
          <w:bCs w:val="0"/>
          <w:color w:val="000000" w:themeColor="text1"/>
          <w:kern w:val="2"/>
          <w:sz w:val="28"/>
          <w:szCs w:val="28"/>
          <w:highlight w:val="none"/>
          <w:lang w:val="zh-CN" w:eastAsia="zh-CN" w:bidi="ar-SA"/>
          <w14:textFill>
            <w14:solidFill>
              <w14:schemeClr w14:val="tx1"/>
            </w14:solidFill>
          </w14:textFill>
        </w:rPr>
      </w:pPr>
      <w:r>
        <w:rPr>
          <w:rFonts w:hint="eastAsia" w:ascii="宋体" w:hAnsi="宋体" w:eastAsia="宋体" w:cs="宋体"/>
          <w:b/>
          <w:bCs w:val="0"/>
          <w:color w:val="000000" w:themeColor="text1"/>
          <w:kern w:val="2"/>
          <w:sz w:val="28"/>
          <w:szCs w:val="28"/>
          <w:highlight w:val="none"/>
          <w:lang w:val="zh-CN" w:eastAsia="zh-CN" w:bidi="ar-SA"/>
          <w14:textFill>
            <w14:solidFill>
              <w14:schemeClr w14:val="tx1"/>
            </w14:solidFill>
          </w14:textFill>
        </w:rPr>
        <w:t>（七）无重大违法记录声明</w:t>
      </w:r>
    </w:p>
    <w:p w14:paraId="346EB21A">
      <w:pPr>
        <w:spacing w:line="540" w:lineRule="exact"/>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致</w:t>
      </w:r>
      <w:r>
        <w:rPr>
          <w:rFonts w:hint="eastAsia" w:ascii="宋体" w:hAnsi="宋体" w:cs="宋体"/>
          <w:color w:val="000000" w:themeColor="text1"/>
          <w:kern w:val="0"/>
          <w:sz w:val="24"/>
          <w:szCs w:val="24"/>
          <w:highlight w:val="none"/>
          <w:lang w:val="zh-CN"/>
          <w14:textFill>
            <w14:solidFill>
              <w14:schemeClr w14:val="tx1"/>
            </w14:solidFill>
          </w14:textFill>
        </w:rPr>
        <w:t>中凡建设项目管理（山东）有限公司</w:t>
      </w:r>
      <w:r>
        <w:rPr>
          <w:rFonts w:hint="eastAsia" w:ascii="宋体" w:hAnsi="宋体" w:eastAsia="宋体" w:cs="宋体"/>
          <w:color w:val="000000" w:themeColor="text1"/>
          <w:kern w:val="0"/>
          <w:sz w:val="24"/>
          <w:szCs w:val="24"/>
          <w:highlight w:val="none"/>
          <w:lang w:val="zh-CN"/>
          <w14:textFill>
            <w14:solidFill>
              <w14:schemeClr w14:val="tx1"/>
            </w14:solidFill>
          </w14:textFill>
        </w:rPr>
        <w:t>：</w:t>
      </w:r>
    </w:p>
    <w:p w14:paraId="3446B2E2">
      <w:pPr>
        <w:spacing w:line="540" w:lineRule="exact"/>
        <w:ind w:firstLine="360" w:firstLineChars="15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我方在参加政府采购活动前3年内，在经营活动中没有重大违法记录。</w:t>
      </w:r>
    </w:p>
    <w:p w14:paraId="30D7A565">
      <w:pPr>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特此声明。</w:t>
      </w:r>
    </w:p>
    <w:p w14:paraId="4EDFCA45">
      <w:pPr>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如果以上声明不真实，我方全部承担虚假响应（投标）的责任，并接受依法施行的处罚。</w:t>
      </w:r>
    </w:p>
    <w:p w14:paraId="756CB1FC">
      <w:pPr>
        <w:spacing w:line="540" w:lineRule="exact"/>
        <w:rPr>
          <w:rFonts w:hint="eastAsia" w:ascii="宋体" w:hAnsi="宋体" w:eastAsia="宋体" w:cs="宋体"/>
          <w:color w:val="000000" w:themeColor="text1"/>
          <w:sz w:val="24"/>
          <w:szCs w:val="24"/>
          <w:highlight w:val="none"/>
          <w14:textFill>
            <w14:solidFill>
              <w14:schemeClr w14:val="tx1"/>
            </w14:solidFill>
          </w14:textFill>
        </w:rPr>
      </w:pPr>
    </w:p>
    <w:p w14:paraId="2F659E43">
      <w:pPr>
        <w:spacing w:line="540" w:lineRule="exact"/>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投标人全称：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（盖单位公章）</w:t>
      </w:r>
    </w:p>
    <w:p w14:paraId="04E4BA31">
      <w:pPr>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年  月  日</w:t>
      </w:r>
    </w:p>
    <w:p w14:paraId="1B6F1369">
      <w:pPr>
        <w:spacing w:line="540" w:lineRule="exact"/>
        <w:rPr>
          <w:rFonts w:hint="eastAsia" w:ascii="宋体" w:hAnsi="宋体" w:eastAsia="宋体" w:cs="宋体"/>
          <w:color w:val="000000" w:themeColor="text1"/>
          <w:sz w:val="24"/>
          <w:szCs w:val="24"/>
          <w:highlight w:val="none"/>
          <w14:textFill>
            <w14:solidFill>
              <w14:schemeClr w14:val="tx1"/>
            </w14:solidFill>
          </w14:textFill>
        </w:rPr>
      </w:pPr>
    </w:p>
    <w:p w14:paraId="13D87129">
      <w:pPr>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注：重大违法记录，是指投标人因违法经营受到刑事处罚或者责令停产停业、吊销许可证或者执照、较大数额罚款等行政处罚。</w:t>
      </w:r>
    </w:p>
    <w:p w14:paraId="620A16D4">
      <w:pPr>
        <w:spacing w:line="5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投标人在参加政府采购活动前3年内因违法经营被禁止在一定期限内参加政府采购活动，期限届满的，可以参加政府采购活动。</w:t>
      </w:r>
    </w:p>
    <w:p w14:paraId="4B170730">
      <w:pPr>
        <w:autoSpaceDE w:val="0"/>
        <w:autoSpaceDN w:val="0"/>
        <w:adjustRightInd w:val="0"/>
        <w:spacing w:line="360" w:lineRule="auto"/>
        <w:ind w:firstLine="283" w:firstLineChars="118"/>
        <w:rPr>
          <w:rFonts w:hint="eastAsia" w:ascii="宋体" w:hAnsi="宋体" w:eastAsia="宋体" w:cs="宋体"/>
          <w:color w:val="000000" w:themeColor="text1"/>
          <w:kern w:val="0"/>
          <w:sz w:val="24"/>
          <w:szCs w:val="24"/>
          <w:highlight w:val="none"/>
          <w14:textFill>
            <w14:solidFill>
              <w14:schemeClr w14:val="tx1"/>
            </w14:solidFill>
          </w14:textFill>
        </w:rPr>
      </w:pPr>
    </w:p>
    <w:p w14:paraId="3789E09D">
      <w:pPr>
        <w:autoSpaceDE w:val="0"/>
        <w:autoSpaceDN w:val="0"/>
        <w:adjustRightInd w:val="0"/>
        <w:spacing w:line="360" w:lineRule="auto"/>
        <w:ind w:firstLine="283" w:firstLineChars="118"/>
        <w:rPr>
          <w:rFonts w:hint="eastAsia" w:ascii="宋体" w:hAnsi="宋体" w:eastAsia="宋体" w:cs="宋体"/>
          <w:color w:val="000000" w:themeColor="text1"/>
          <w:kern w:val="0"/>
          <w:sz w:val="24"/>
          <w:highlight w:val="none"/>
          <w14:textFill>
            <w14:solidFill>
              <w14:schemeClr w14:val="tx1"/>
            </w14:solidFill>
          </w14:textFill>
        </w:rPr>
      </w:pPr>
    </w:p>
    <w:p w14:paraId="2B696936">
      <w:pPr>
        <w:autoSpaceDE w:val="0"/>
        <w:autoSpaceDN w:val="0"/>
        <w:adjustRightInd w:val="0"/>
        <w:spacing w:line="360" w:lineRule="auto"/>
        <w:ind w:firstLine="283" w:firstLineChars="118"/>
        <w:rPr>
          <w:rFonts w:hint="eastAsia" w:ascii="宋体" w:hAnsi="宋体" w:eastAsia="宋体" w:cs="宋体"/>
          <w:color w:val="000000" w:themeColor="text1"/>
          <w:kern w:val="0"/>
          <w:sz w:val="24"/>
          <w:highlight w:val="none"/>
          <w14:textFill>
            <w14:solidFill>
              <w14:schemeClr w14:val="tx1"/>
            </w14:solidFill>
          </w14:textFill>
        </w:rPr>
      </w:pPr>
    </w:p>
    <w:p w14:paraId="55A970F2">
      <w:pPr>
        <w:autoSpaceDE w:val="0"/>
        <w:autoSpaceDN w:val="0"/>
        <w:adjustRightInd w:val="0"/>
        <w:spacing w:line="360" w:lineRule="auto"/>
        <w:ind w:firstLine="283" w:firstLineChars="118"/>
        <w:rPr>
          <w:rFonts w:hint="eastAsia" w:ascii="宋体" w:hAnsi="宋体" w:eastAsia="宋体" w:cs="宋体"/>
          <w:color w:val="000000" w:themeColor="text1"/>
          <w:kern w:val="0"/>
          <w:sz w:val="24"/>
          <w:highlight w:val="none"/>
          <w14:textFill>
            <w14:solidFill>
              <w14:schemeClr w14:val="tx1"/>
            </w14:solidFill>
          </w14:textFill>
        </w:rPr>
      </w:pPr>
    </w:p>
    <w:p w14:paraId="7B8ACCF0">
      <w:pPr>
        <w:autoSpaceDE w:val="0"/>
        <w:autoSpaceDN w:val="0"/>
        <w:adjustRightInd w:val="0"/>
        <w:spacing w:line="360" w:lineRule="auto"/>
        <w:ind w:firstLine="283" w:firstLineChars="118"/>
        <w:rPr>
          <w:rFonts w:hint="eastAsia" w:ascii="宋体" w:hAnsi="宋体" w:eastAsia="宋体" w:cs="宋体"/>
          <w:color w:val="000000" w:themeColor="text1"/>
          <w:kern w:val="0"/>
          <w:sz w:val="24"/>
          <w:highlight w:val="none"/>
          <w14:textFill>
            <w14:solidFill>
              <w14:schemeClr w14:val="tx1"/>
            </w14:solidFill>
          </w14:textFill>
        </w:rPr>
      </w:pPr>
    </w:p>
    <w:p w14:paraId="3E9456D4">
      <w:pPr>
        <w:autoSpaceDE w:val="0"/>
        <w:autoSpaceDN w:val="0"/>
        <w:adjustRightInd w:val="0"/>
        <w:spacing w:line="360" w:lineRule="auto"/>
        <w:ind w:firstLine="283" w:firstLineChars="118"/>
        <w:rPr>
          <w:rFonts w:hint="eastAsia" w:ascii="宋体" w:hAnsi="宋体" w:eastAsia="宋体" w:cs="宋体"/>
          <w:color w:val="000000" w:themeColor="text1"/>
          <w:kern w:val="0"/>
          <w:sz w:val="24"/>
          <w:highlight w:val="none"/>
          <w14:textFill>
            <w14:solidFill>
              <w14:schemeClr w14:val="tx1"/>
            </w14:solidFill>
          </w14:textFill>
        </w:rPr>
      </w:pPr>
    </w:p>
    <w:p w14:paraId="69F33349">
      <w:pPr>
        <w:autoSpaceDE w:val="0"/>
        <w:autoSpaceDN w:val="0"/>
        <w:adjustRightInd w:val="0"/>
        <w:spacing w:line="360" w:lineRule="auto"/>
        <w:ind w:firstLine="283" w:firstLineChars="118"/>
        <w:rPr>
          <w:rFonts w:hint="eastAsia" w:ascii="宋体" w:hAnsi="宋体" w:eastAsia="宋体" w:cs="宋体"/>
          <w:color w:val="000000" w:themeColor="text1"/>
          <w:kern w:val="0"/>
          <w:sz w:val="24"/>
          <w:highlight w:val="none"/>
          <w14:textFill>
            <w14:solidFill>
              <w14:schemeClr w14:val="tx1"/>
            </w14:solidFill>
          </w14:textFill>
        </w:rPr>
      </w:pPr>
    </w:p>
    <w:p w14:paraId="16D668A9">
      <w:pPr>
        <w:autoSpaceDE w:val="0"/>
        <w:autoSpaceDN w:val="0"/>
        <w:adjustRightInd w:val="0"/>
        <w:spacing w:line="360" w:lineRule="auto"/>
        <w:ind w:firstLine="283" w:firstLineChars="118"/>
        <w:rPr>
          <w:rFonts w:hint="eastAsia" w:ascii="宋体" w:hAnsi="宋体" w:eastAsia="宋体" w:cs="宋体"/>
          <w:color w:val="000000" w:themeColor="text1"/>
          <w:kern w:val="0"/>
          <w:sz w:val="24"/>
          <w:highlight w:val="none"/>
          <w14:textFill>
            <w14:solidFill>
              <w14:schemeClr w14:val="tx1"/>
            </w14:solidFill>
          </w14:textFill>
        </w:rPr>
      </w:pPr>
    </w:p>
    <w:p w14:paraId="3F1B068B">
      <w:pPr>
        <w:autoSpaceDE w:val="0"/>
        <w:autoSpaceDN w:val="0"/>
        <w:adjustRightInd w:val="0"/>
        <w:spacing w:line="360" w:lineRule="auto"/>
        <w:ind w:firstLine="283" w:firstLineChars="118"/>
        <w:rPr>
          <w:rFonts w:hint="eastAsia" w:ascii="宋体" w:hAnsi="宋体" w:eastAsia="宋体" w:cs="宋体"/>
          <w:color w:val="000000" w:themeColor="text1"/>
          <w:kern w:val="0"/>
          <w:sz w:val="24"/>
          <w:highlight w:val="none"/>
          <w14:textFill>
            <w14:solidFill>
              <w14:schemeClr w14:val="tx1"/>
            </w14:solidFill>
          </w14:textFill>
        </w:rPr>
      </w:pPr>
    </w:p>
    <w:p w14:paraId="7EF0C840">
      <w:pPr>
        <w:autoSpaceDE w:val="0"/>
        <w:autoSpaceDN w:val="0"/>
        <w:adjustRightInd w:val="0"/>
        <w:spacing w:line="360" w:lineRule="auto"/>
        <w:ind w:firstLine="283" w:firstLineChars="118"/>
        <w:rPr>
          <w:rFonts w:hint="eastAsia" w:ascii="宋体" w:hAnsi="宋体" w:eastAsia="宋体" w:cs="宋体"/>
          <w:color w:val="000000" w:themeColor="text1"/>
          <w:kern w:val="0"/>
          <w:sz w:val="24"/>
          <w:highlight w:val="none"/>
          <w14:textFill>
            <w14:solidFill>
              <w14:schemeClr w14:val="tx1"/>
            </w14:solidFill>
          </w14:textFill>
        </w:rPr>
      </w:pPr>
    </w:p>
    <w:p w14:paraId="1F4C4DB1">
      <w:pPr>
        <w:autoSpaceDE w:val="0"/>
        <w:autoSpaceDN w:val="0"/>
        <w:adjustRightInd w:val="0"/>
        <w:spacing w:line="360" w:lineRule="auto"/>
        <w:ind w:firstLine="283" w:firstLineChars="118"/>
        <w:rPr>
          <w:rFonts w:hint="eastAsia" w:ascii="宋体" w:hAnsi="宋体" w:eastAsia="宋体" w:cs="宋体"/>
          <w:color w:val="000000" w:themeColor="text1"/>
          <w:kern w:val="0"/>
          <w:sz w:val="24"/>
          <w:highlight w:val="none"/>
          <w14:textFill>
            <w14:solidFill>
              <w14:schemeClr w14:val="tx1"/>
            </w14:solidFill>
          </w14:textFill>
        </w:rPr>
      </w:pPr>
    </w:p>
    <w:p w14:paraId="1EBE7B21">
      <w:pPr>
        <w:autoSpaceDE w:val="0"/>
        <w:autoSpaceDN w:val="0"/>
        <w:adjustRightInd w:val="0"/>
        <w:spacing w:line="360" w:lineRule="auto"/>
        <w:ind w:firstLine="283" w:firstLineChars="118"/>
        <w:rPr>
          <w:rFonts w:hint="eastAsia" w:ascii="宋体" w:hAnsi="宋体" w:eastAsia="宋体" w:cs="宋体"/>
          <w:color w:val="000000" w:themeColor="text1"/>
          <w:kern w:val="0"/>
          <w:sz w:val="24"/>
          <w:highlight w:val="none"/>
          <w14:textFill>
            <w14:solidFill>
              <w14:schemeClr w14:val="tx1"/>
            </w14:solidFill>
          </w14:textFill>
        </w:rPr>
      </w:pPr>
    </w:p>
    <w:p w14:paraId="52DAA9A5">
      <w:pPr>
        <w:spacing w:line="360" w:lineRule="auto"/>
        <w:jc w:val="center"/>
        <w:rPr>
          <w:rFonts w:hint="eastAsia" w:ascii="宋体" w:hAnsi="宋体" w:eastAsia="宋体" w:cs="宋体"/>
          <w:b/>
          <w:color w:val="000000" w:themeColor="text1"/>
          <w:sz w:val="28"/>
          <w:szCs w:val="28"/>
          <w:highlight w:val="none"/>
          <w:lang w:val="zh-CN"/>
          <w14:textFill>
            <w14:solidFill>
              <w14:schemeClr w14:val="tx1"/>
            </w14:solidFill>
          </w14:textFill>
        </w:rPr>
      </w:pPr>
    </w:p>
    <w:p w14:paraId="23E18C53">
      <w:pPr>
        <w:spacing w:line="360" w:lineRule="auto"/>
        <w:jc w:val="center"/>
        <w:rPr>
          <w:rFonts w:hint="eastAsia" w:ascii="宋体" w:hAnsi="宋体" w:eastAsia="宋体" w:cs="宋体"/>
          <w:b/>
          <w:color w:val="000000" w:themeColor="text1"/>
          <w:sz w:val="28"/>
          <w:szCs w:val="28"/>
          <w:highlight w:val="none"/>
          <w:lang w:val="zh-CN"/>
          <w14:textFill>
            <w14:solidFill>
              <w14:schemeClr w14:val="tx1"/>
            </w14:solidFill>
          </w14:textFill>
        </w:rPr>
      </w:pPr>
    </w:p>
    <w:p w14:paraId="63AA0A15">
      <w:pP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br w:type="page"/>
      </w:r>
    </w:p>
    <w:p w14:paraId="015DC064">
      <w:pPr>
        <w:spacing w:line="360" w:lineRule="auto"/>
        <w:jc w:val="center"/>
        <w:outlineLvl w:val="9"/>
        <w:rPr>
          <w:rFonts w:hint="eastAsia" w:ascii="宋体" w:hAnsi="宋体" w:eastAsia="宋体" w:cs="宋体"/>
          <w:b/>
          <w:bCs w:val="0"/>
          <w:color w:val="000000" w:themeColor="text1"/>
          <w:kern w:val="2"/>
          <w:sz w:val="28"/>
          <w:szCs w:val="28"/>
          <w:highlight w:val="none"/>
          <w:lang w:val="zh-CN" w:eastAsia="zh-CN" w:bidi="ar-SA"/>
          <w14:textFill>
            <w14:solidFill>
              <w14:schemeClr w14:val="tx1"/>
            </w14:solidFill>
          </w14:textFill>
        </w:rPr>
      </w:pPr>
    </w:p>
    <w:p w14:paraId="70C57836">
      <w:pPr>
        <w:spacing w:line="360" w:lineRule="auto"/>
        <w:jc w:val="center"/>
        <w:outlineLvl w:val="1"/>
        <w:rPr>
          <w:rFonts w:hint="eastAsia" w:ascii="宋体" w:hAnsi="宋体" w:eastAsia="宋体" w:cs="宋体"/>
          <w:b/>
          <w:bCs w:val="0"/>
          <w:color w:val="000000" w:themeColor="text1"/>
          <w:kern w:val="2"/>
          <w:sz w:val="28"/>
          <w:szCs w:val="28"/>
          <w:highlight w:val="none"/>
          <w:lang w:val="zh-CN" w:eastAsia="zh-CN" w:bidi="ar-SA"/>
          <w14:textFill>
            <w14:solidFill>
              <w14:schemeClr w14:val="tx1"/>
            </w14:solidFill>
          </w14:textFill>
        </w:rPr>
      </w:pPr>
      <w:r>
        <w:rPr>
          <w:rFonts w:hint="eastAsia" w:ascii="宋体" w:hAnsi="宋体" w:eastAsia="宋体" w:cs="宋体"/>
          <w:b/>
          <w:bCs w:val="0"/>
          <w:color w:val="000000" w:themeColor="text1"/>
          <w:kern w:val="2"/>
          <w:sz w:val="28"/>
          <w:szCs w:val="28"/>
          <w:highlight w:val="none"/>
          <w:lang w:val="zh-CN" w:eastAsia="zh-CN" w:bidi="ar-SA"/>
          <w14:textFill>
            <w14:solidFill>
              <w14:schemeClr w14:val="tx1"/>
            </w14:solidFill>
          </w14:textFill>
        </w:rPr>
        <w:t>（八）信用记录承诺</w:t>
      </w:r>
    </w:p>
    <w:p w14:paraId="40060CA8">
      <w:pPr>
        <w:shd w:val="clear" w:color="auto" w:fill="FFFFFF"/>
        <w:autoSpaceDE w:val="0"/>
        <w:spacing w:line="360" w:lineRule="auto"/>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致</w:t>
      </w:r>
      <w:r>
        <w:rPr>
          <w:rFonts w:hint="eastAsia" w:ascii="宋体" w:hAnsi="宋体" w:cs="宋体"/>
          <w:color w:val="000000" w:themeColor="text1"/>
          <w:kern w:val="0"/>
          <w:sz w:val="24"/>
          <w:szCs w:val="24"/>
          <w:highlight w:val="none"/>
          <w:lang w:val="zh-CN"/>
          <w14:textFill>
            <w14:solidFill>
              <w14:schemeClr w14:val="tx1"/>
            </w14:solidFill>
          </w14:textFill>
        </w:rPr>
        <w:t>中凡建设项目管理（山东）有限公司</w:t>
      </w:r>
      <w:r>
        <w:rPr>
          <w:rFonts w:hint="eastAsia" w:ascii="宋体" w:hAnsi="宋体" w:eastAsia="宋体" w:cs="宋体"/>
          <w:color w:val="000000" w:themeColor="text1"/>
          <w:kern w:val="0"/>
          <w:sz w:val="24"/>
          <w:szCs w:val="24"/>
          <w:highlight w:val="none"/>
          <w:lang w:val="zh-CN"/>
          <w14:textFill>
            <w14:solidFill>
              <w14:schemeClr w14:val="tx1"/>
            </w14:solidFill>
          </w14:textFill>
        </w:rPr>
        <w:t>：</w:t>
      </w:r>
    </w:p>
    <w:p w14:paraId="3B5E925C">
      <w:pPr>
        <w:spacing w:line="360" w:lineRule="auto"/>
        <w:ind w:left="0" w:leftChars="0" w:firstLine="480" w:firstLineChars="200"/>
        <w:jc w:val="left"/>
        <w:textAlignment w:val="baseline"/>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我方郑重承诺，在参与</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项目（编号：</w:t>
      </w:r>
      <w:r>
        <w:rPr>
          <w:rFonts w:hint="eastAsia" w:ascii="宋体" w:hAnsi="宋体" w:eastAsia="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）采购期间，未被列入“信用中国”网站（www.creditchina.gov.cn）失信被执行人、重大税收违法案件当事人名单及中国政府采购网（www.ccgp.gov.cn）“政府采购严重违法失信行为信息记录”。</w:t>
      </w:r>
    </w:p>
    <w:p w14:paraId="4003526D">
      <w:pPr>
        <w:spacing w:line="360" w:lineRule="auto"/>
        <w:ind w:firstLine="480" w:firstLineChars="200"/>
        <w:jc w:val="left"/>
        <w:textAlignment w:val="baseline"/>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（后附我方在上述网站查询结果截图）</w:t>
      </w:r>
    </w:p>
    <w:p w14:paraId="62070CEB">
      <w:pPr>
        <w:spacing w:line="360" w:lineRule="auto"/>
        <w:ind w:firstLine="6240" w:firstLineChars="2600"/>
        <w:jc w:val="left"/>
        <w:textAlignment w:val="baseline"/>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投标人</w:t>
      </w:r>
      <w:r>
        <w:rPr>
          <w:rFonts w:hint="eastAsia" w:ascii="宋体" w:hAnsi="宋体" w:eastAsia="宋体" w:cs="宋体"/>
          <w:color w:val="000000" w:themeColor="text1"/>
          <w:kern w:val="0"/>
          <w:sz w:val="24"/>
          <w:szCs w:val="24"/>
          <w:highlight w:val="none"/>
          <w14:textFill>
            <w14:solidFill>
              <w14:schemeClr w14:val="tx1"/>
            </w14:solidFill>
          </w14:textFill>
        </w:rPr>
        <w:t xml:space="preserve">全称：（盖单位公章） </w:t>
      </w:r>
    </w:p>
    <w:p w14:paraId="3A3E88AD">
      <w:pPr>
        <w:spacing w:line="360" w:lineRule="auto"/>
        <w:ind w:firstLine="6960" w:firstLineChars="2900"/>
        <w:jc w:val="left"/>
        <w:textAlignment w:val="baseline"/>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年</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 月</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 xml:space="preserve"> 日</w:t>
      </w:r>
    </w:p>
    <w:tbl>
      <w:tblPr>
        <w:tblStyle w:val="76"/>
        <w:tblW w:w="9421" w:type="dxa"/>
        <w:jc w:val="center"/>
        <w:tblLayout w:type="fixed"/>
        <w:tblCellMar>
          <w:top w:w="0" w:type="dxa"/>
          <w:left w:w="0" w:type="dxa"/>
          <w:bottom w:w="0" w:type="dxa"/>
          <w:right w:w="0" w:type="dxa"/>
        </w:tblCellMar>
      </w:tblPr>
      <w:tblGrid>
        <w:gridCol w:w="9421"/>
      </w:tblGrid>
      <w:tr w14:paraId="2F62EBB6">
        <w:tblPrEx>
          <w:tblCellMar>
            <w:top w:w="0" w:type="dxa"/>
            <w:left w:w="0" w:type="dxa"/>
            <w:bottom w:w="0" w:type="dxa"/>
            <w:right w:w="0" w:type="dxa"/>
          </w:tblCellMar>
        </w:tblPrEx>
        <w:trPr>
          <w:trHeight w:val="1468" w:hRule="atLeast"/>
          <w:jc w:val="center"/>
        </w:trPr>
        <w:tc>
          <w:tcPr>
            <w:tcW w:w="9421"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5FCF608">
            <w:pPr>
              <w:widowControl/>
              <w:spacing w:line="240" w:lineRule="auto"/>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“信用中国”网站（www.creditchina.gov.cn）截图（共</w:t>
            </w:r>
            <w:r>
              <w:rPr>
                <w:rFonts w:hint="eastAsia" w:ascii="宋体" w:hAnsi="宋体" w:cs="宋体"/>
                <w:b/>
                <w:bCs/>
                <w:color w:val="000000" w:themeColor="text1"/>
                <w:highlight w:val="none"/>
                <w:lang w:val="en-US" w:eastAsia="zh-CN"/>
                <w14:textFill>
                  <w14:solidFill>
                    <w14:schemeClr w14:val="tx1"/>
                  </w14:solidFill>
                </w14:textFill>
              </w:rPr>
              <w:t>2</w:t>
            </w:r>
            <w:r>
              <w:rPr>
                <w:rFonts w:hint="eastAsia" w:ascii="宋体" w:hAnsi="宋体" w:eastAsia="宋体" w:cs="宋体"/>
                <w:b/>
                <w:bCs/>
                <w:color w:val="000000" w:themeColor="text1"/>
                <w:highlight w:val="none"/>
                <w14:textFill>
                  <w14:solidFill>
                    <w14:schemeClr w14:val="tx1"/>
                  </w14:solidFill>
                </w14:textFill>
              </w:rPr>
              <w:t>个）</w:t>
            </w:r>
          </w:p>
          <w:p w14:paraId="28893B38">
            <w:pPr>
              <w:spacing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具体步骤如下：</w:t>
            </w:r>
          </w:p>
          <w:p w14:paraId="5C5903E9">
            <w:pPr>
              <w:numPr>
                <w:ilvl w:val="0"/>
                <w:numId w:val="0"/>
              </w:numPr>
              <w:spacing w:line="240" w:lineRule="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在</w:t>
            </w:r>
            <w:r>
              <w:rPr>
                <w:rFonts w:hint="eastAsia" w:ascii="宋体" w:hAnsi="宋体" w:eastAsia="宋体" w:cs="宋体"/>
                <w:color w:val="000000" w:themeColor="text1"/>
                <w:highlight w:val="none"/>
                <w14:textFill>
                  <w14:solidFill>
                    <w14:schemeClr w14:val="tx1"/>
                  </w14:solidFill>
                </w14:textFill>
              </w:rPr>
              <w:t>“信用中国”网站（www.creditchina.gov.cn）首页信用信息搜索栏输入</w:t>
            </w:r>
            <w:r>
              <w:rPr>
                <w:rFonts w:hint="eastAsia" w:ascii="宋体" w:hAnsi="宋体" w:eastAsia="宋体" w:cs="宋体"/>
                <w:color w:val="000000" w:themeColor="text1"/>
                <w:highlight w:val="none"/>
                <w:lang w:eastAsia="zh-CN"/>
                <w14:textFill>
                  <w14:solidFill>
                    <w14:schemeClr w14:val="tx1"/>
                  </w14:solidFill>
                </w14:textFill>
              </w:rPr>
              <w:t>投标人</w:t>
            </w:r>
            <w:r>
              <w:rPr>
                <w:rFonts w:hint="eastAsia" w:ascii="宋体" w:hAnsi="宋体" w:eastAsia="宋体" w:cs="宋体"/>
                <w:color w:val="000000" w:themeColor="text1"/>
                <w:highlight w:val="none"/>
                <w14:textFill>
                  <w14:solidFill>
                    <w14:schemeClr w14:val="tx1"/>
                  </w14:solidFill>
                </w14:textFill>
              </w:rPr>
              <w:t>名称</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分别点击“失信被执行人”、“ 重大税收违法案件当事人名单”，将</w:t>
            </w:r>
            <w:r>
              <w:rPr>
                <w:rFonts w:hint="eastAsia" w:ascii="宋体" w:hAnsi="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个页面</w:t>
            </w:r>
            <w:r>
              <w:rPr>
                <w:rFonts w:hint="eastAsia" w:ascii="宋体" w:hAnsi="宋体" w:eastAsia="宋体" w:cs="宋体"/>
                <w:color w:val="000000" w:themeColor="text1"/>
                <w:highlight w:val="none"/>
                <w:lang w:eastAsia="zh-CN"/>
                <w14:textFill>
                  <w14:solidFill>
                    <w14:schemeClr w14:val="tx1"/>
                  </w14:solidFill>
                </w14:textFill>
              </w:rPr>
              <w:t>分别</w:t>
            </w:r>
            <w:r>
              <w:rPr>
                <w:rFonts w:hint="eastAsia" w:ascii="宋体" w:hAnsi="宋体" w:eastAsia="宋体" w:cs="宋体"/>
                <w:color w:val="000000" w:themeColor="text1"/>
                <w:highlight w:val="none"/>
                <w14:textFill>
                  <w14:solidFill>
                    <w14:schemeClr w14:val="tx1"/>
                  </w14:solidFill>
                </w14:textFill>
              </w:rPr>
              <w:t>进行截图（每个搜索栏均需显示</w:t>
            </w:r>
            <w:r>
              <w:rPr>
                <w:rFonts w:hint="eastAsia" w:ascii="宋体" w:hAnsi="宋体" w:eastAsia="宋体" w:cs="宋体"/>
                <w:color w:val="000000" w:themeColor="text1"/>
                <w:highlight w:val="none"/>
                <w:lang w:val="en-US" w:eastAsia="zh-CN"/>
                <w14:textFill>
                  <w14:solidFill>
                    <w14:schemeClr w14:val="tx1"/>
                  </w14:solidFill>
                </w14:textFill>
              </w:rPr>
              <w:t>投标人</w:t>
            </w:r>
            <w:r>
              <w:rPr>
                <w:rFonts w:hint="eastAsia" w:ascii="宋体" w:hAnsi="宋体" w:eastAsia="宋体" w:cs="宋体"/>
                <w:color w:val="000000" w:themeColor="text1"/>
                <w:highlight w:val="none"/>
                <w14:textFill>
                  <w14:solidFill>
                    <w14:schemeClr w14:val="tx1"/>
                  </w14:solidFill>
                </w14:textFill>
              </w:rPr>
              <w:t>名称）</w:t>
            </w:r>
            <w:r>
              <w:rPr>
                <w:rFonts w:hint="eastAsia" w:ascii="宋体" w:hAnsi="宋体" w:eastAsia="宋体" w:cs="宋体"/>
                <w:color w:val="000000" w:themeColor="text1"/>
                <w:highlight w:val="none"/>
                <w:lang w:eastAsia="zh-CN"/>
                <w14:textFill>
                  <w14:solidFill>
                    <w14:schemeClr w14:val="tx1"/>
                  </w14:solidFill>
                </w14:textFill>
              </w:rPr>
              <w:t>；</w:t>
            </w:r>
          </w:p>
        </w:tc>
      </w:tr>
      <w:tr w14:paraId="7EAFE688">
        <w:tblPrEx>
          <w:tblCellMar>
            <w:top w:w="0" w:type="dxa"/>
            <w:left w:w="0" w:type="dxa"/>
            <w:bottom w:w="0" w:type="dxa"/>
            <w:right w:w="0" w:type="dxa"/>
          </w:tblCellMar>
        </w:tblPrEx>
        <w:trPr>
          <w:trHeight w:val="1468" w:hRule="atLeast"/>
          <w:jc w:val="center"/>
        </w:trPr>
        <w:tc>
          <w:tcPr>
            <w:tcW w:w="9421"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AC16D35">
            <w:pPr>
              <w:widowControl/>
              <w:spacing w:line="240" w:lineRule="auto"/>
              <w:jc w:val="center"/>
              <w:rPr>
                <w:rFonts w:hint="eastAsia" w:ascii="宋体" w:hAnsi="宋体" w:eastAsia="宋体" w:cs="宋体"/>
                <w:b/>
                <w:color w:val="000000" w:themeColor="text1"/>
                <w:kern w:val="0"/>
                <w:sz w:val="21"/>
                <w:szCs w:val="21"/>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w:t>中国政府采购网（www.ccgp.gov.cn）截图</w:t>
            </w:r>
            <w:r>
              <w:rPr>
                <w:rFonts w:hint="eastAsia" w:ascii="宋体" w:hAnsi="宋体" w:eastAsia="宋体" w:cs="宋体"/>
                <w:b/>
                <w:bCs/>
                <w:color w:val="000000" w:themeColor="text1"/>
                <w:sz w:val="21"/>
                <w:szCs w:val="21"/>
                <w:highlight w:val="none"/>
                <w14:textFill>
                  <w14:solidFill>
                    <w14:schemeClr w14:val="tx1"/>
                  </w14:solidFill>
                </w14:textFill>
              </w:rPr>
              <w:t>（共</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1</w:t>
            </w:r>
            <w:r>
              <w:rPr>
                <w:rFonts w:hint="eastAsia" w:ascii="宋体" w:hAnsi="宋体" w:eastAsia="宋体" w:cs="宋体"/>
                <w:b/>
                <w:bCs/>
                <w:color w:val="000000" w:themeColor="text1"/>
                <w:sz w:val="21"/>
                <w:szCs w:val="21"/>
                <w:highlight w:val="none"/>
                <w14:textFill>
                  <w14:solidFill>
                    <w14:schemeClr w14:val="tx1"/>
                  </w14:solidFill>
                </w14:textFill>
              </w:rPr>
              <w:t>个）</w:t>
            </w:r>
          </w:p>
          <w:p w14:paraId="50B2C467">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具体步骤如下：</w:t>
            </w:r>
          </w:p>
          <w:p w14:paraId="27F57D0E">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中国政府采购网首页→政府采购严重违法失信行为信息记录→输入</w:t>
            </w:r>
            <w:r>
              <w:rPr>
                <w:rFonts w:hint="eastAsia" w:ascii="宋体" w:hAnsi="宋体" w:eastAsia="宋体" w:cs="宋体"/>
                <w:color w:val="000000" w:themeColor="text1"/>
                <w:sz w:val="21"/>
                <w:szCs w:val="21"/>
                <w:highlight w:val="none"/>
                <w:lang w:eastAsia="zh-CN"/>
                <w14:textFill>
                  <w14:solidFill>
                    <w14:schemeClr w14:val="tx1"/>
                  </w14:solidFill>
                </w14:textFill>
              </w:rPr>
              <w:t>投标人</w:t>
            </w:r>
            <w:r>
              <w:rPr>
                <w:rFonts w:hint="eastAsia" w:ascii="宋体" w:hAnsi="宋体" w:eastAsia="宋体" w:cs="宋体"/>
                <w:color w:val="000000" w:themeColor="text1"/>
                <w:sz w:val="21"/>
                <w:szCs w:val="21"/>
                <w:highlight w:val="none"/>
                <w14:textFill>
                  <w14:solidFill>
                    <w14:schemeClr w14:val="tx1"/>
                  </w14:solidFill>
                </w14:textFill>
              </w:rPr>
              <w:t>名称所得截图</w:t>
            </w:r>
          </w:p>
        </w:tc>
      </w:tr>
    </w:tbl>
    <w:p w14:paraId="43BF08EB">
      <w:pPr>
        <w:spacing w:line="360" w:lineRule="auto"/>
        <w:ind w:left="0" w:leftChars="0" w:firstLine="480" w:firstLineChars="200"/>
        <w:jc w:val="left"/>
        <w:textAlignment w:val="baseline"/>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注：</w:t>
      </w:r>
    </w:p>
    <w:p w14:paraId="4DBDB741">
      <w:pPr>
        <w:spacing w:line="360" w:lineRule="auto"/>
        <w:ind w:left="0" w:leftChars="0" w:firstLine="480" w:firstLineChars="200"/>
        <w:jc w:val="left"/>
        <w:textAlignment w:val="baseline"/>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①需提供开标截止时间前截图，截图中应显示网站域名，页面信息必须明确显示参与本项目企业全称。</w:t>
      </w:r>
    </w:p>
    <w:p w14:paraId="753F9BD0">
      <w:pPr>
        <w:spacing w:line="360" w:lineRule="auto"/>
        <w:ind w:left="0" w:leftChars="0" w:firstLine="480" w:firstLineChars="200"/>
        <w:jc w:val="left"/>
        <w:textAlignment w:val="baseline"/>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②</w:t>
      </w:r>
      <w:r>
        <w:rPr>
          <w:rFonts w:hint="eastAsia" w:ascii="宋体" w:hAnsi="宋体" w:cs="宋体"/>
          <w:color w:val="000000" w:themeColor="text1"/>
          <w:kern w:val="0"/>
          <w:sz w:val="24"/>
          <w:szCs w:val="24"/>
          <w:highlight w:val="none"/>
          <w:lang w:eastAsia="zh-CN"/>
          <w14:textFill>
            <w14:solidFill>
              <w14:schemeClr w14:val="tx1"/>
            </w14:solidFill>
          </w14:textFill>
        </w:rPr>
        <w:t>招标人</w:t>
      </w:r>
      <w:r>
        <w:rPr>
          <w:rFonts w:hint="eastAsia" w:ascii="宋体" w:hAnsi="宋体" w:eastAsia="宋体" w:cs="宋体"/>
          <w:color w:val="000000" w:themeColor="text1"/>
          <w:kern w:val="0"/>
          <w:sz w:val="24"/>
          <w:szCs w:val="24"/>
          <w:highlight w:val="none"/>
          <w14:textFill>
            <w14:solidFill>
              <w14:schemeClr w14:val="tx1"/>
            </w14:solidFill>
          </w14:textFill>
        </w:rPr>
        <w:t>或者</w:t>
      </w:r>
      <w:r>
        <w:rPr>
          <w:rFonts w:hint="eastAsia" w:ascii="宋体" w:hAnsi="宋体" w:cs="宋体"/>
          <w:color w:val="000000" w:themeColor="text1"/>
          <w:kern w:val="0"/>
          <w:sz w:val="24"/>
          <w:szCs w:val="24"/>
          <w:highlight w:val="none"/>
          <w:lang w:eastAsia="zh-CN"/>
          <w14:textFill>
            <w14:solidFill>
              <w14:schemeClr w14:val="tx1"/>
            </w14:solidFill>
          </w14:textFill>
        </w:rPr>
        <w:t>招标代理机构</w:t>
      </w:r>
      <w:r>
        <w:rPr>
          <w:rFonts w:hint="eastAsia" w:ascii="宋体" w:hAnsi="宋体" w:eastAsia="宋体" w:cs="宋体"/>
          <w:color w:val="000000" w:themeColor="text1"/>
          <w:kern w:val="0"/>
          <w:sz w:val="24"/>
          <w:szCs w:val="24"/>
          <w:highlight w:val="none"/>
          <w14:textFill>
            <w14:solidFill>
              <w14:schemeClr w14:val="tx1"/>
            </w14:solidFill>
          </w14:textFill>
        </w:rPr>
        <w:t>将对</w:t>
      </w:r>
      <w:r>
        <w:rPr>
          <w:rFonts w:hint="eastAsia" w:ascii="宋体" w:hAnsi="宋体" w:eastAsia="宋体" w:cs="宋体"/>
          <w:color w:val="000000" w:themeColor="text1"/>
          <w:kern w:val="0"/>
          <w:sz w:val="24"/>
          <w:szCs w:val="24"/>
          <w:highlight w:val="none"/>
          <w:lang w:eastAsia="zh-CN"/>
          <w14:textFill>
            <w14:solidFill>
              <w14:schemeClr w14:val="tx1"/>
            </w14:solidFill>
          </w14:textFill>
        </w:rPr>
        <w:t>投标人</w:t>
      </w:r>
      <w:r>
        <w:rPr>
          <w:rFonts w:hint="eastAsia" w:ascii="宋体" w:hAnsi="宋体" w:eastAsia="宋体" w:cs="宋体"/>
          <w:color w:val="000000" w:themeColor="text1"/>
          <w:kern w:val="0"/>
          <w:sz w:val="24"/>
          <w:szCs w:val="24"/>
          <w:highlight w:val="none"/>
          <w14:textFill>
            <w14:solidFill>
              <w14:schemeClr w14:val="tx1"/>
            </w14:solidFill>
          </w14:textFill>
        </w:rPr>
        <w:t>信用记录进行甄别，对列入失信被执行人、重大税收违法案件当事人名单、政府采购严重违法失信行为记录名单</w:t>
      </w:r>
      <w:r>
        <w:rPr>
          <w:rFonts w:hint="eastAsia" w:ascii="宋体" w:hAnsi="宋体" w:eastAsia="宋体" w:cs="宋体"/>
          <w:color w:val="000000" w:themeColor="text1"/>
          <w:kern w:val="0"/>
          <w:sz w:val="24"/>
          <w:szCs w:val="24"/>
          <w:highlight w:val="none"/>
          <w:lang w:eastAsia="zh-CN"/>
          <w14:textFill>
            <w14:solidFill>
              <w14:schemeClr w14:val="tx1"/>
            </w14:solidFill>
          </w14:textFill>
        </w:rPr>
        <w:t>等严重失信行为</w:t>
      </w:r>
      <w:r>
        <w:rPr>
          <w:rFonts w:hint="eastAsia" w:ascii="宋体" w:hAnsi="宋体" w:eastAsia="宋体" w:cs="宋体"/>
          <w:color w:val="000000" w:themeColor="text1"/>
          <w:kern w:val="0"/>
          <w:sz w:val="24"/>
          <w:szCs w:val="24"/>
          <w:highlight w:val="none"/>
          <w14:textFill>
            <w14:solidFill>
              <w14:schemeClr w14:val="tx1"/>
            </w14:solidFill>
          </w14:textFill>
        </w:rPr>
        <w:t>的</w:t>
      </w:r>
      <w:r>
        <w:rPr>
          <w:rFonts w:hint="eastAsia" w:ascii="宋体" w:hAnsi="宋体" w:eastAsia="宋体" w:cs="宋体"/>
          <w:color w:val="000000" w:themeColor="text1"/>
          <w:kern w:val="0"/>
          <w:sz w:val="24"/>
          <w:szCs w:val="24"/>
          <w:highlight w:val="none"/>
          <w:lang w:eastAsia="zh-CN"/>
          <w14:textFill>
            <w14:solidFill>
              <w14:schemeClr w14:val="tx1"/>
            </w14:solidFill>
          </w14:textFill>
        </w:rPr>
        <w:t>投标人</w:t>
      </w:r>
      <w:r>
        <w:rPr>
          <w:rFonts w:hint="eastAsia" w:ascii="宋体" w:hAnsi="宋体" w:eastAsia="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lang w:eastAsia="zh-CN"/>
          <w14:textFill>
            <w14:solidFill>
              <w14:schemeClr w14:val="tx1"/>
            </w14:solidFill>
          </w14:textFill>
        </w:rPr>
        <w:t>其投标</w:t>
      </w:r>
      <w:r>
        <w:rPr>
          <w:rFonts w:hint="eastAsia" w:ascii="宋体" w:hAnsi="宋体" w:eastAsia="宋体" w:cs="宋体"/>
          <w:color w:val="000000" w:themeColor="text1"/>
          <w:kern w:val="0"/>
          <w:sz w:val="24"/>
          <w:szCs w:val="24"/>
          <w:highlight w:val="none"/>
          <w14:textFill>
            <w14:solidFill>
              <w14:schemeClr w14:val="tx1"/>
            </w14:solidFill>
          </w14:textFill>
        </w:rPr>
        <w:t>将</w:t>
      </w:r>
      <w:r>
        <w:rPr>
          <w:rFonts w:hint="eastAsia" w:ascii="宋体" w:hAnsi="宋体" w:eastAsia="宋体" w:cs="宋体"/>
          <w:color w:val="000000" w:themeColor="text1"/>
          <w:kern w:val="0"/>
          <w:sz w:val="24"/>
          <w:szCs w:val="24"/>
          <w:highlight w:val="none"/>
          <w:lang w:eastAsia="zh-CN"/>
          <w14:textFill>
            <w14:solidFill>
              <w14:schemeClr w14:val="tx1"/>
            </w14:solidFill>
          </w14:textFill>
        </w:rPr>
        <w:t>作为无效投标</w:t>
      </w:r>
      <w:r>
        <w:rPr>
          <w:rFonts w:hint="eastAsia" w:ascii="宋体" w:hAnsi="宋体" w:eastAsia="宋体" w:cs="宋体"/>
          <w:color w:val="000000" w:themeColor="text1"/>
          <w:kern w:val="0"/>
          <w:sz w:val="24"/>
          <w:szCs w:val="24"/>
          <w:highlight w:val="none"/>
          <w14:textFill>
            <w14:solidFill>
              <w14:schemeClr w14:val="tx1"/>
            </w14:solidFill>
          </w14:textFill>
        </w:rPr>
        <w:t>。满足《中华人民共和国政府采购法》第二十二条有关规定，但存在一般失信行为的投标人，可以在缴纳投标保证金后参与投标评审。</w:t>
      </w:r>
    </w:p>
    <w:p w14:paraId="25BF7E61">
      <w:pPr>
        <w:spacing w:line="360" w:lineRule="auto"/>
        <w:ind w:left="0" w:leftChars="0" w:firstLine="482" w:firstLineChars="200"/>
        <w:jc w:val="left"/>
        <w:textAlignment w:val="baseline"/>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b/>
          <w:bCs/>
          <w:color w:val="000000" w:themeColor="text1"/>
          <w:kern w:val="0"/>
          <w:sz w:val="24"/>
          <w:szCs w:val="24"/>
          <w:highlight w:val="none"/>
          <w14:textFill>
            <w14:solidFill>
              <w14:schemeClr w14:val="tx1"/>
            </w14:solidFill>
          </w14:textFill>
        </w:rPr>
        <w:t>③提供截图不全或不符合要求的按无效</w:t>
      </w:r>
      <w:r>
        <w:rPr>
          <w:rFonts w:hint="eastAsia" w:ascii="宋体" w:hAnsi="宋体" w:eastAsia="宋体" w:cs="宋体"/>
          <w:b/>
          <w:bCs/>
          <w:color w:val="000000" w:themeColor="text1"/>
          <w:kern w:val="0"/>
          <w:sz w:val="24"/>
          <w:szCs w:val="24"/>
          <w:highlight w:val="none"/>
          <w:lang w:eastAsia="zh-CN"/>
          <w14:textFill>
            <w14:solidFill>
              <w14:schemeClr w14:val="tx1"/>
            </w14:solidFill>
          </w14:textFill>
        </w:rPr>
        <w:t>投标</w:t>
      </w:r>
      <w:r>
        <w:rPr>
          <w:rFonts w:hint="eastAsia" w:ascii="宋体" w:hAnsi="宋体" w:eastAsia="宋体" w:cs="宋体"/>
          <w:b/>
          <w:bCs/>
          <w:color w:val="000000" w:themeColor="text1"/>
          <w:kern w:val="0"/>
          <w:sz w:val="24"/>
          <w:szCs w:val="24"/>
          <w:highlight w:val="none"/>
          <w14:textFill>
            <w14:solidFill>
              <w14:schemeClr w14:val="tx1"/>
            </w14:solidFill>
          </w14:textFill>
        </w:rPr>
        <w:t>处理。</w:t>
      </w:r>
    </w:p>
    <w:p w14:paraId="60650684">
      <w:pPr>
        <w:spacing w:line="360" w:lineRule="auto"/>
        <w:ind w:left="0" w:leftChars="0" w:firstLine="480" w:firstLineChars="200"/>
        <w:jc w:val="left"/>
        <w:textAlignment w:val="baseline"/>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b w:val="0"/>
          <w:bCs w:val="0"/>
          <w:color w:val="000000" w:themeColor="text1"/>
          <w:kern w:val="0"/>
          <w:sz w:val="24"/>
          <w:szCs w:val="24"/>
          <w:highlight w:val="none"/>
          <w14:textFill>
            <w14:solidFill>
              <w14:schemeClr w14:val="tx1"/>
            </w14:solidFill>
          </w14:textFill>
        </w:rPr>
        <w:t>④</w:t>
      </w:r>
      <w:r>
        <w:rPr>
          <w:rFonts w:hint="eastAsia" w:ascii="宋体" w:hAnsi="宋体" w:eastAsia="宋体" w:cs="宋体"/>
          <w:color w:val="000000" w:themeColor="text1"/>
          <w:kern w:val="0"/>
          <w:sz w:val="24"/>
          <w:szCs w:val="24"/>
          <w:highlight w:val="none"/>
          <w14:textFill>
            <w14:solidFill>
              <w14:schemeClr w14:val="tx1"/>
            </w14:solidFill>
          </w14:textFill>
        </w:rPr>
        <w:t>两个以上的自然人、法人或者其他组织组成一个联合体，以一个</w:t>
      </w:r>
      <w:r>
        <w:rPr>
          <w:rFonts w:hint="eastAsia" w:ascii="宋体" w:hAnsi="宋体" w:eastAsia="宋体" w:cs="宋体"/>
          <w:color w:val="000000" w:themeColor="text1"/>
          <w:kern w:val="0"/>
          <w:sz w:val="24"/>
          <w:szCs w:val="24"/>
          <w:highlight w:val="none"/>
          <w:lang w:eastAsia="zh-CN"/>
          <w14:textFill>
            <w14:solidFill>
              <w14:schemeClr w14:val="tx1"/>
            </w14:solidFill>
          </w14:textFill>
        </w:rPr>
        <w:t>投标人</w:t>
      </w:r>
      <w:r>
        <w:rPr>
          <w:rFonts w:hint="eastAsia" w:ascii="宋体" w:hAnsi="宋体" w:eastAsia="宋体" w:cs="宋体"/>
          <w:color w:val="000000" w:themeColor="text1"/>
          <w:kern w:val="0"/>
          <w:sz w:val="24"/>
          <w:szCs w:val="24"/>
          <w:highlight w:val="none"/>
          <w14:textFill>
            <w14:solidFill>
              <w14:schemeClr w14:val="tx1"/>
            </w14:solidFill>
          </w14:textFill>
        </w:rPr>
        <w:t>的身份共同参加政府采购活动的，应当对所有联合体成员进行信用记录查询并附证明截图，联合体成员存在不良信用记录的，视同联合体存在不良信用记录。</w:t>
      </w:r>
    </w:p>
    <w:p w14:paraId="1521EE05">
      <w:pPr>
        <w:rPr>
          <w:rFonts w:hint="eastAsia" w:ascii="宋体" w:hAnsi="宋体" w:eastAsia="宋体" w:cs="宋体"/>
          <w:b/>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br w:type="page"/>
      </w:r>
    </w:p>
    <w:p w14:paraId="40F7E027">
      <w:pPr>
        <w:pStyle w:val="41"/>
        <w:ind w:left="0" w:leftChars="0" w:firstLine="0" w:firstLineChars="0"/>
        <w:jc w:val="center"/>
        <w:outlineLvl w:val="1"/>
        <w:rPr>
          <w:rFonts w:hint="eastAsia" w:ascii="宋体" w:hAnsi="宋体" w:eastAsia="宋体" w:cs="宋体"/>
          <w:b/>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bCs w:val="0"/>
          <w:color w:val="000000" w:themeColor="text1"/>
          <w:sz w:val="28"/>
          <w:szCs w:val="28"/>
          <w:highlight w:val="none"/>
          <w:lang w:eastAsia="zh-CN"/>
          <w14:textFill>
            <w14:solidFill>
              <w14:schemeClr w14:val="tx1"/>
            </w14:solidFill>
          </w14:textFill>
        </w:rPr>
        <w:t>（九）投标需要说明的其它材料</w:t>
      </w:r>
    </w:p>
    <w:p w14:paraId="3E0DA5C9">
      <w:pPr>
        <w:spacing w:line="360" w:lineRule="auto"/>
        <w:jc w:val="left"/>
        <w:rPr>
          <w:rFonts w:ascii="宋体" w:hAnsi="宋体" w:cs="宋体"/>
          <w:b/>
          <w:sz w:val="24"/>
          <w:highlight w:val="none"/>
        </w:rPr>
      </w:pPr>
      <w:r>
        <w:rPr>
          <w:rFonts w:hint="eastAsia" w:ascii="宋体" w:hAnsi="宋体" w:cs="宋体"/>
          <w:b/>
          <w:sz w:val="24"/>
          <w:highlight w:val="none"/>
        </w:rPr>
        <w:t>附：</w:t>
      </w:r>
    </w:p>
    <w:p w14:paraId="10925EB8">
      <w:pPr>
        <w:spacing w:line="360" w:lineRule="auto"/>
        <w:jc w:val="left"/>
        <w:rPr>
          <w:rFonts w:ascii="宋体" w:hAnsi="宋体" w:cs="宋体"/>
          <w:bCs/>
          <w:sz w:val="24"/>
          <w:highlight w:val="none"/>
        </w:rPr>
      </w:pPr>
      <w:r>
        <w:rPr>
          <w:rFonts w:hint="eastAsia" w:ascii="宋体" w:hAnsi="宋体" w:cs="宋体"/>
          <w:bCs/>
          <w:sz w:val="24"/>
          <w:highlight w:val="none"/>
        </w:rPr>
        <w:t>扫描件：</w:t>
      </w:r>
    </w:p>
    <w:p w14:paraId="1C49DF64">
      <w:pPr>
        <w:spacing w:before="60" w:after="60" w:line="460" w:lineRule="exact"/>
        <w:jc w:val="center"/>
        <w:rPr>
          <w:rFonts w:hint="eastAsia" w:ascii="宋体" w:hAnsi="宋体" w:eastAsia="宋体" w:cs="宋体"/>
          <w:b w:val="0"/>
          <w:bCs w:val="0"/>
          <w:color w:val="000000" w:themeColor="text1"/>
          <w:sz w:val="32"/>
          <w:szCs w:val="22"/>
          <w:highlight w:val="none"/>
          <w:lang w:eastAsia="zh-CN"/>
          <w14:textFill>
            <w14:solidFill>
              <w14:schemeClr w14:val="tx1"/>
            </w14:solidFill>
          </w14:textFill>
        </w:rPr>
      </w:pPr>
    </w:p>
    <w:p w14:paraId="41BCFFFD">
      <w:pPr>
        <w:spacing w:line="360" w:lineRule="auto"/>
        <w:jc w:val="cente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bCs w:val="0"/>
          <w:color w:val="000000" w:themeColor="text1"/>
          <w:kern w:val="2"/>
          <w:sz w:val="28"/>
          <w:szCs w:val="28"/>
          <w:highlight w:val="none"/>
          <w:lang w:val="zh-CN" w:eastAsia="zh-CN" w:bidi="ar-SA"/>
          <w14:textFill>
            <w14:solidFill>
              <w14:schemeClr w14:val="tx1"/>
            </w14:solidFill>
          </w14:textFill>
        </w:rPr>
        <w:t>近年完成的类似项目情况表</w:t>
      </w:r>
      <w: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t xml:space="preserve"> </w:t>
      </w:r>
    </w:p>
    <w:p w14:paraId="367743FB">
      <w:pPr>
        <w:pStyle w:val="41"/>
        <w:outlineLvl w:val="9"/>
        <w:rPr>
          <w:rFonts w:hint="eastAsia" w:ascii="宋体" w:hAnsi="宋体" w:eastAsia="宋体" w:cs="宋体"/>
          <w:b/>
          <w:color w:val="000000" w:themeColor="text1"/>
          <w:sz w:val="28"/>
          <w:szCs w:val="28"/>
          <w:highlight w:val="none"/>
          <w14:textFill>
            <w14:solidFill>
              <w14:schemeClr w14:val="tx1"/>
            </w14:solidFill>
          </w14:textFill>
        </w:rPr>
      </w:pPr>
    </w:p>
    <w:tbl>
      <w:tblPr>
        <w:tblStyle w:val="76"/>
        <w:tblW w:w="9920" w:type="dxa"/>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Layout w:type="fixed"/>
        <w:tblCellMar>
          <w:top w:w="0" w:type="dxa"/>
          <w:left w:w="0" w:type="dxa"/>
          <w:bottom w:w="0" w:type="dxa"/>
          <w:right w:w="0" w:type="dxa"/>
        </w:tblCellMar>
      </w:tblPr>
      <w:tblGrid>
        <w:gridCol w:w="1958"/>
        <w:gridCol w:w="7962"/>
      </w:tblGrid>
      <w:tr w14:paraId="1C034BD2">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8"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14:paraId="1FF8A55C">
            <w:pPr>
              <w:widowControl/>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项目名称</w:t>
            </w:r>
          </w:p>
        </w:tc>
        <w:tc>
          <w:tcPr>
            <w:tcW w:w="7962" w:type="dxa"/>
            <w:tcBorders>
              <w:top w:val="outset" w:color="auto" w:sz="6" w:space="0"/>
              <w:left w:val="outset" w:color="auto" w:sz="6" w:space="0"/>
              <w:bottom w:val="outset" w:color="auto" w:sz="6" w:space="0"/>
              <w:right w:val="outset" w:color="auto" w:sz="6" w:space="0"/>
            </w:tcBorders>
            <w:noWrap w:val="0"/>
            <w:vAlign w:val="center"/>
          </w:tcPr>
          <w:p w14:paraId="167554DC">
            <w:pPr>
              <w:widowControl/>
              <w:jc w:val="center"/>
              <w:rPr>
                <w:rFonts w:hint="eastAsia" w:ascii="宋体" w:hAnsi="宋体" w:eastAsia="宋体" w:cs="宋体"/>
                <w:color w:val="000000" w:themeColor="text1"/>
                <w:szCs w:val="21"/>
                <w:highlight w:val="none"/>
                <w14:textFill>
                  <w14:solidFill>
                    <w14:schemeClr w14:val="tx1"/>
                  </w14:solidFill>
                </w14:textFill>
              </w:rPr>
            </w:pPr>
          </w:p>
        </w:tc>
      </w:tr>
      <w:tr w14:paraId="22C6FAC7">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8"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14:paraId="56C271B9">
            <w:pPr>
              <w:widowControl/>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项目所在地</w:t>
            </w:r>
          </w:p>
        </w:tc>
        <w:tc>
          <w:tcPr>
            <w:tcW w:w="7962" w:type="dxa"/>
            <w:tcBorders>
              <w:top w:val="outset" w:color="auto" w:sz="6" w:space="0"/>
              <w:left w:val="outset" w:color="auto" w:sz="6" w:space="0"/>
              <w:bottom w:val="outset" w:color="auto" w:sz="6" w:space="0"/>
              <w:right w:val="outset" w:color="auto" w:sz="6" w:space="0"/>
            </w:tcBorders>
            <w:noWrap w:val="0"/>
            <w:vAlign w:val="center"/>
          </w:tcPr>
          <w:p w14:paraId="1F8C0D71">
            <w:pPr>
              <w:widowControl/>
              <w:jc w:val="center"/>
              <w:rPr>
                <w:rFonts w:hint="eastAsia" w:ascii="宋体" w:hAnsi="宋体" w:eastAsia="宋体" w:cs="宋体"/>
                <w:color w:val="000000" w:themeColor="text1"/>
                <w:szCs w:val="21"/>
                <w:highlight w:val="none"/>
                <w14:textFill>
                  <w14:solidFill>
                    <w14:schemeClr w14:val="tx1"/>
                  </w14:solidFill>
                </w14:textFill>
              </w:rPr>
            </w:pPr>
          </w:p>
        </w:tc>
      </w:tr>
      <w:tr w14:paraId="651F9C6B">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8"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14:paraId="640E0661">
            <w:pPr>
              <w:widowControl/>
              <w:jc w:val="center"/>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eastAsia="zh-CN" w:bidi="ar"/>
                <w14:textFill>
                  <w14:solidFill>
                    <w14:schemeClr w14:val="tx1"/>
                  </w14:solidFill>
                </w14:textFill>
              </w:rPr>
              <w:t>招标人</w:t>
            </w:r>
            <w:r>
              <w:rPr>
                <w:rFonts w:hint="eastAsia" w:ascii="宋体" w:hAnsi="宋体" w:eastAsia="宋体" w:cs="宋体"/>
                <w:color w:val="000000" w:themeColor="text1"/>
                <w:kern w:val="0"/>
                <w:szCs w:val="21"/>
                <w:highlight w:val="none"/>
                <w:lang w:bidi="ar"/>
                <w14:textFill>
                  <w14:solidFill>
                    <w14:schemeClr w14:val="tx1"/>
                  </w14:solidFill>
                </w14:textFill>
              </w:rPr>
              <w:t>名称</w:t>
            </w:r>
          </w:p>
        </w:tc>
        <w:tc>
          <w:tcPr>
            <w:tcW w:w="7962" w:type="dxa"/>
            <w:tcBorders>
              <w:top w:val="outset" w:color="auto" w:sz="6" w:space="0"/>
              <w:left w:val="outset" w:color="auto" w:sz="6" w:space="0"/>
              <w:bottom w:val="outset" w:color="auto" w:sz="6" w:space="0"/>
              <w:right w:val="outset" w:color="auto" w:sz="6" w:space="0"/>
            </w:tcBorders>
            <w:noWrap w:val="0"/>
            <w:vAlign w:val="center"/>
          </w:tcPr>
          <w:p w14:paraId="7551B1BF">
            <w:pPr>
              <w:widowControl/>
              <w:jc w:val="center"/>
              <w:rPr>
                <w:rFonts w:hint="eastAsia" w:ascii="宋体" w:hAnsi="宋体" w:eastAsia="宋体" w:cs="宋体"/>
                <w:color w:val="000000" w:themeColor="text1"/>
                <w:szCs w:val="21"/>
                <w:highlight w:val="none"/>
                <w14:textFill>
                  <w14:solidFill>
                    <w14:schemeClr w14:val="tx1"/>
                  </w14:solidFill>
                </w14:textFill>
              </w:rPr>
            </w:pPr>
          </w:p>
        </w:tc>
      </w:tr>
      <w:tr w14:paraId="076E7EB4">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8"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14:paraId="4B1015BC">
            <w:pPr>
              <w:widowControl/>
              <w:jc w:val="center"/>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eastAsia="zh-CN" w:bidi="ar"/>
                <w14:textFill>
                  <w14:solidFill>
                    <w14:schemeClr w14:val="tx1"/>
                  </w14:solidFill>
                </w14:textFill>
              </w:rPr>
              <w:t>招标人</w:t>
            </w:r>
            <w:r>
              <w:rPr>
                <w:rFonts w:hint="eastAsia" w:ascii="宋体" w:hAnsi="宋体" w:eastAsia="宋体" w:cs="宋体"/>
                <w:color w:val="000000" w:themeColor="text1"/>
                <w:kern w:val="0"/>
                <w:szCs w:val="21"/>
                <w:highlight w:val="none"/>
                <w:lang w:bidi="ar"/>
                <w14:textFill>
                  <w14:solidFill>
                    <w14:schemeClr w14:val="tx1"/>
                  </w14:solidFill>
                </w14:textFill>
              </w:rPr>
              <w:t>地址</w:t>
            </w:r>
          </w:p>
        </w:tc>
        <w:tc>
          <w:tcPr>
            <w:tcW w:w="7962" w:type="dxa"/>
            <w:tcBorders>
              <w:top w:val="outset" w:color="auto" w:sz="6" w:space="0"/>
              <w:left w:val="outset" w:color="auto" w:sz="6" w:space="0"/>
              <w:bottom w:val="outset" w:color="auto" w:sz="6" w:space="0"/>
              <w:right w:val="outset" w:color="auto" w:sz="6" w:space="0"/>
            </w:tcBorders>
            <w:noWrap w:val="0"/>
            <w:vAlign w:val="center"/>
          </w:tcPr>
          <w:p w14:paraId="2D75711A">
            <w:pPr>
              <w:widowControl/>
              <w:jc w:val="center"/>
              <w:rPr>
                <w:rFonts w:hint="eastAsia" w:ascii="宋体" w:hAnsi="宋体" w:eastAsia="宋体" w:cs="宋体"/>
                <w:color w:val="000000" w:themeColor="text1"/>
                <w:szCs w:val="21"/>
                <w:highlight w:val="none"/>
                <w14:textFill>
                  <w14:solidFill>
                    <w14:schemeClr w14:val="tx1"/>
                  </w14:solidFill>
                </w14:textFill>
              </w:rPr>
            </w:pPr>
          </w:p>
        </w:tc>
      </w:tr>
      <w:tr w14:paraId="6A0B03A0">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8"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14:paraId="2ADE8024">
            <w:pPr>
              <w:widowControl/>
              <w:jc w:val="center"/>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eastAsia="zh-CN" w:bidi="ar"/>
                <w14:textFill>
                  <w14:solidFill>
                    <w14:schemeClr w14:val="tx1"/>
                  </w14:solidFill>
                </w14:textFill>
              </w:rPr>
              <w:t>招标人</w:t>
            </w:r>
            <w:r>
              <w:rPr>
                <w:rFonts w:hint="eastAsia" w:ascii="宋体" w:hAnsi="宋体" w:eastAsia="宋体" w:cs="宋体"/>
                <w:color w:val="000000" w:themeColor="text1"/>
                <w:szCs w:val="21"/>
                <w:highlight w:val="none"/>
                <w:lang w:bidi="ar"/>
                <w14:textFill>
                  <w14:solidFill>
                    <w14:schemeClr w14:val="tx1"/>
                  </w14:solidFill>
                </w14:textFill>
              </w:rPr>
              <w:t>联系人及电话</w:t>
            </w:r>
          </w:p>
        </w:tc>
        <w:tc>
          <w:tcPr>
            <w:tcW w:w="7962" w:type="dxa"/>
            <w:tcBorders>
              <w:top w:val="outset" w:color="auto" w:sz="6" w:space="0"/>
              <w:left w:val="outset" w:color="auto" w:sz="6" w:space="0"/>
              <w:bottom w:val="outset" w:color="auto" w:sz="6" w:space="0"/>
              <w:right w:val="outset" w:color="auto" w:sz="6" w:space="0"/>
            </w:tcBorders>
            <w:noWrap w:val="0"/>
            <w:vAlign w:val="center"/>
          </w:tcPr>
          <w:p w14:paraId="0830BCE1">
            <w:pPr>
              <w:widowControl/>
              <w:jc w:val="center"/>
              <w:rPr>
                <w:rFonts w:hint="eastAsia" w:ascii="宋体" w:hAnsi="宋体" w:eastAsia="宋体" w:cs="宋体"/>
                <w:color w:val="000000" w:themeColor="text1"/>
                <w:szCs w:val="21"/>
                <w:highlight w:val="none"/>
                <w14:textFill>
                  <w14:solidFill>
                    <w14:schemeClr w14:val="tx1"/>
                  </w14:solidFill>
                </w14:textFill>
              </w:rPr>
            </w:pPr>
          </w:p>
        </w:tc>
      </w:tr>
      <w:tr w14:paraId="3F0E5EF9">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8"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14:paraId="121A5C7C">
            <w:pPr>
              <w:widowControl/>
              <w:jc w:val="center"/>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 xml:space="preserve">合同价格 </w:t>
            </w:r>
          </w:p>
        </w:tc>
        <w:tc>
          <w:tcPr>
            <w:tcW w:w="7962" w:type="dxa"/>
            <w:tcBorders>
              <w:top w:val="outset" w:color="auto" w:sz="6" w:space="0"/>
              <w:left w:val="outset" w:color="auto" w:sz="6" w:space="0"/>
              <w:bottom w:val="outset" w:color="auto" w:sz="6" w:space="0"/>
              <w:right w:val="outset" w:color="auto" w:sz="6" w:space="0"/>
            </w:tcBorders>
            <w:noWrap w:val="0"/>
            <w:vAlign w:val="center"/>
          </w:tcPr>
          <w:p w14:paraId="6E49366D">
            <w:pPr>
              <w:widowControl/>
              <w:jc w:val="center"/>
              <w:rPr>
                <w:rFonts w:hint="eastAsia" w:ascii="宋体" w:hAnsi="宋体" w:eastAsia="宋体" w:cs="宋体"/>
                <w:color w:val="000000" w:themeColor="text1"/>
                <w:szCs w:val="21"/>
                <w:highlight w:val="none"/>
                <w14:textFill>
                  <w14:solidFill>
                    <w14:schemeClr w14:val="tx1"/>
                  </w14:solidFill>
                </w14:textFill>
              </w:rPr>
            </w:pPr>
          </w:p>
        </w:tc>
      </w:tr>
      <w:tr w14:paraId="7813CC6C">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8"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14:paraId="174DFED5">
            <w:pPr>
              <w:widowControl/>
              <w:jc w:val="center"/>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开工日期</w:t>
            </w:r>
          </w:p>
        </w:tc>
        <w:tc>
          <w:tcPr>
            <w:tcW w:w="7962" w:type="dxa"/>
            <w:tcBorders>
              <w:top w:val="outset" w:color="auto" w:sz="6" w:space="0"/>
              <w:left w:val="outset" w:color="auto" w:sz="6" w:space="0"/>
              <w:bottom w:val="outset" w:color="auto" w:sz="6" w:space="0"/>
              <w:right w:val="outset" w:color="auto" w:sz="6" w:space="0"/>
            </w:tcBorders>
            <w:noWrap w:val="0"/>
            <w:vAlign w:val="center"/>
          </w:tcPr>
          <w:p w14:paraId="06F1BAB7">
            <w:pPr>
              <w:widowControl/>
              <w:jc w:val="center"/>
              <w:rPr>
                <w:rFonts w:hint="eastAsia" w:ascii="宋体" w:hAnsi="宋体" w:eastAsia="宋体" w:cs="宋体"/>
                <w:color w:val="000000" w:themeColor="text1"/>
                <w:szCs w:val="21"/>
                <w:highlight w:val="none"/>
                <w14:textFill>
                  <w14:solidFill>
                    <w14:schemeClr w14:val="tx1"/>
                  </w14:solidFill>
                </w14:textFill>
              </w:rPr>
            </w:pPr>
          </w:p>
        </w:tc>
      </w:tr>
      <w:tr w14:paraId="6C9B617A">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8"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14:paraId="12A003B1">
            <w:pPr>
              <w:widowControl/>
              <w:jc w:val="center"/>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完成日期</w:t>
            </w:r>
          </w:p>
        </w:tc>
        <w:tc>
          <w:tcPr>
            <w:tcW w:w="7962" w:type="dxa"/>
            <w:tcBorders>
              <w:top w:val="outset" w:color="auto" w:sz="6" w:space="0"/>
              <w:left w:val="outset" w:color="auto" w:sz="6" w:space="0"/>
              <w:bottom w:val="outset" w:color="auto" w:sz="6" w:space="0"/>
              <w:right w:val="outset" w:color="auto" w:sz="6" w:space="0"/>
            </w:tcBorders>
            <w:noWrap w:val="0"/>
            <w:vAlign w:val="center"/>
          </w:tcPr>
          <w:p w14:paraId="516144C6">
            <w:pPr>
              <w:widowControl/>
              <w:jc w:val="center"/>
              <w:rPr>
                <w:rFonts w:hint="eastAsia" w:ascii="宋体" w:hAnsi="宋体" w:eastAsia="宋体" w:cs="宋体"/>
                <w:color w:val="000000" w:themeColor="text1"/>
                <w:szCs w:val="21"/>
                <w:highlight w:val="none"/>
                <w14:textFill>
                  <w14:solidFill>
                    <w14:schemeClr w14:val="tx1"/>
                  </w14:solidFill>
                </w14:textFill>
              </w:rPr>
            </w:pPr>
          </w:p>
        </w:tc>
      </w:tr>
      <w:tr w14:paraId="7AA24EFE">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8"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14:paraId="26BFB050">
            <w:pPr>
              <w:widowControl/>
              <w:jc w:val="center"/>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承担的工作</w:t>
            </w:r>
          </w:p>
        </w:tc>
        <w:tc>
          <w:tcPr>
            <w:tcW w:w="7962" w:type="dxa"/>
            <w:tcBorders>
              <w:top w:val="outset" w:color="auto" w:sz="6" w:space="0"/>
              <w:left w:val="outset" w:color="auto" w:sz="6" w:space="0"/>
              <w:bottom w:val="outset" w:color="auto" w:sz="6" w:space="0"/>
              <w:right w:val="outset" w:color="auto" w:sz="6" w:space="0"/>
            </w:tcBorders>
            <w:noWrap w:val="0"/>
            <w:vAlign w:val="center"/>
          </w:tcPr>
          <w:p w14:paraId="55D54FAE">
            <w:pPr>
              <w:widowControl/>
              <w:jc w:val="center"/>
              <w:rPr>
                <w:rFonts w:hint="eastAsia" w:ascii="宋体" w:hAnsi="宋体" w:eastAsia="宋体" w:cs="宋体"/>
                <w:color w:val="000000" w:themeColor="text1"/>
                <w:szCs w:val="21"/>
                <w:highlight w:val="none"/>
                <w14:textFill>
                  <w14:solidFill>
                    <w14:schemeClr w14:val="tx1"/>
                  </w14:solidFill>
                </w14:textFill>
              </w:rPr>
            </w:pPr>
          </w:p>
        </w:tc>
      </w:tr>
      <w:tr w14:paraId="3FFC2BE6">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8"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14:paraId="654F980B">
            <w:pPr>
              <w:widowControl/>
              <w:jc w:val="center"/>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完成情况</w:t>
            </w:r>
          </w:p>
        </w:tc>
        <w:tc>
          <w:tcPr>
            <w:tcW w:w="7962" w:type="dxa"/>
            <w:tcBorders>
              <w:top w:val="outset" w:color="auto" w:sz="6" w:space="0"/>
              <w:left w:val="outset" w:color="auto" w:sz="6" w:space="0"/>
              <w:bottom w:val="outset" w:color="auto" w:sz="6" w:space="0"/>
              <w:right w:val="outset" w:color="auto" w:sz="6" w:space="0"/>
            </w:tcBorders>
            <w:noWrap w:val="0"/>
            <w:vAlign w:val="center"/>
          </w:tcPr>
          <w:p w14:paraId="79013630">
            <w:pPr>
              <w:widowControl/>
              <w:jc w:val="center"/>
              <w:rPr>
                <w:rFonts w:hint="eastAsia" w:ascii="宋体" w:hAnsi="宋体" w:eastAsia="宋体" w:cs="宋体"/>
                <w:color w:val="000000" w:themeColor="text1"/>
                <w:szCs w:val="21"/>
                <w:highlight w:val="none"/>
                <w14:textFill>
                  <w14:solidFill>
                    <w14:schemeClr w14:val="tx1"/>
                  </w14:solidFill>
                </w14:textFill>
              </w:rPr>
            </w:pPr>
          </w:p>
        </w:tc>
      </w:tr>
      <w:tr w14:paraId="3688F7B2">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8"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14:paraId="72507522">
            <w:pPr>
              <w:widowControl/>
              <w:jc w:val="center"/>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技术负责人</w:t>
            </w:r>
          </w:p>
        </w:tc>
        <w:tc>
          <w:tcPr>
            <w:tcW w:w="7962" w:type="dxa"/>
            <w:tcBorders>
              <w:top w:val="outset" w:color="auto" w:sz="6" w:space="0"/>
              <w:left w:val="outset" w:color="auto" w:sz="6" w:space="0"/>
              <w:bottom w:val="outset" w:color="auto" w:sz="6" w:space="0"/>
              <w:right w:val="outset" w:color="auto" w:sz="6" w:space="0"/>
            </w:tcBorders>
            <w:noWrap w:val="0"/>
            <w:vAlign w:val="center"/>
          </w:tcPr>
          <w:p w14:paraId="1D54EB5E">
            <w:pPr>
              <w:widowControl/>
              <w:jc w:val="center"/>
              <w:rPr>
                <w:rFonts w:hint="eastAsia" w:ascii="宋体" w:hAnsi="宋体" w:eastAsia="宋体" w:cs="宋体"/>
                <w:color w:val="000000" w:themeColor="text1"/>
                <w:szCs w:val="21"/>
                <w:highlight w:val="none"/>
                <w14:textFill>
                  <w14:solidFill>
                    <w14:schemeClr w14:val="tx1"/>
                  </w14:solidFill>
                </w14:textFill>
              </w:rPr>
            </w:pPr>
          </w:p>
        </w:tc>
      </w:tr>
      <w:tr w14:paraId="2C54419D">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488"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14:paraId="3A2C8890">
            <w:pPr>
              <w:widowControl/>
              <w:jc w:val="center"/>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项目描述</w:t>
            </w:r>
          </w:p>
        </w:tc>
        <w:tc>
          <w:tcPr>
            <w:tcW w:w="7962" w:type="dxa"/>
            <w:tcBorders>
              <w:top w:val="outset" w:color="auto" w:sz="6" w:space="0"/>
              <w:left w:val="outset" w:color="auto" w:sz="6" w:space="0"/>
              <w:bottom w:val="outset" w:color="auto" w:sz="6" w:space="0"/>
              <w:right w:val="outset" w:color="auto" w:sz="6" w:space="0"/>
            </w:tcBorders>
            <w:noWrap w:val="0"/>
            <w:vAlign w:val="center"/>
          </w:tcPr>
          <w:p w14:paraId="02FA66B0">
            <w:pPr>
              <w:widowControl/>
              <w:jc w:val="center"/>
              <w:rPr>
                <w:rFonts w:hint="eastAsia" w:ascii="宋体" w:hAnsi="宋体" w:eastAsia="宋体" w:cs="宋体"/>
                <w:color w:val="000000" w:themeColor="text1"/>
                <w:szCs w:val="21"/>
                <w:highlight w:val="none"/>
                <w14:textFill>
                  <w14:solidFill>
                    <w14:schemeClr w14:val="tx1"/>
                  </w14:solidFill>
                </w14:textFill>
              </w:rPr>
            </w:pPr>
          </w:p>
        </w:tc>
      </w:tr>
      <w:tr w14:paraId="5B340FF8">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trHeight w:val="500" w:hRule="atLeast"/>
          <w:jc w:val="center"/>
        </w:trPr>
        <w:tc>
          <w:tcPr>
            <w:tcW w:w="1958" w:type="dxa"/>
            <w:tcBorders>
              <w:top w:val="outset" w:color="auto" w:sz="6" w:space="0"/>
              <w:left w:val="outset" w:color="auto" w:sz="6" w:space="0"/>
              <w:bottom w:val="outset" w:color="auto" w:sz="6" w:space="0"/>
              <w:right w:val="outset" w:color="auto" w:sz="6" w:space="0"/>
            </w:tcBorders>
            <w:noWrap w:val="0"/>
            <w:vAlign w:val="center"/>
          </w:tcPr>
          <w:p w14:paraId="47EFFB64">
            <w:pPr>
              <w:widowControl/>
              <w:jc w:val="center"/>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备注</w:t>
            </w:r>
          </w:p>
        </w:tc>
        <w:tc>
          <w:tcPr>
            <w:tcW w:w="7962" w:type="dxa"/>
            <w:tcBorders>
              <w:top w:val="outset" w:color="auto" w:sz="6" w:space="0"/>
              <w:left w:val="outset" w:color="auto" w:sz="6" w:space="0"/>
              <w:bottom w:val="outset" w:color="auto" w:sz="6" w:space="0"/>
              <w:right w:val="outset" w:color="auto" w:sz="6" w:space="0"/>
            </w:tcBorders>
            <w:noWrap w:val="0"/>
            <w:vAlign w:val="center"/>
          </w:tcPr>
          <w:p w14:paraId="69D7EC69">
            <w:pPr>
              <w:widowControl/>
              <w:jc w:val="center"/>
              <w:rPr>
                <w:rFonts w:hint="eastAsia" w:ascii="宋体" w:hAnsi="宋体" w:eastAsia="宋体" w:cs="宋体"/>
                <w:color w:val="000000" w:themeColor="text1"/>
                <w:szCs w:val="21"/>
                <w:highlight w:val="none"/>
                <w14:textFill>
                  <w14:solidFill>
                    <w14:schemeClr w14:val="tx1"/>
                  </w14:solidFill>
                </w14:textFill>
              </w:rPr>
            </w:pPr>
          </w:p>
        </w:tc>
      </w:tr>
    </w:tbl>
    <w:p w14:paraId="546BDE37">
      <w:pPr>
        <w:pStyle w:val="69"/>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备注：</w:t>
      </w:r>
    </w:p>
    <w:p w14:paraId="37C694F0">
      <w:pPr>
        <w:pStyle w:val="69"/>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leftChars="0"/>
        <w:textAlignment w:val="auto"/>
        <w:rPr>
          <w:rFonts w:hint="eastAsia" w:ascii="宋体" w:hAnsi="宋体" w:eastAsia="宋体" w:cs="宋体"/>
          <w:color w:val="000000" w:themeColor="text1"/>
          <w:highlight w:val="none"/>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本表应链接合同</w:t>
      </w:r>
      <w:r>
        <w:rPr>
          <w:rFonts w:hint="eastAsia" w:cs="宋体"/>
          <w:color w:val="000000" w:themeColor="text1"/>
          <w:highlight w:val="none"/>
          <w:lang w:eastAsia="zh-CN"/>
          <w14:textFill>
            <w14:solidFill>
              <w14:schemeClr w14:val="tx1"/>
            </w14:solidFill>
          </w14:textFill>
        </w:rPr>
        <w:t>原件彩色扫描件</w:t>
      </w:r>
      <w:r>
        <w:rPr>
          <w:rFonts w:hint="eastAsia" w:ascii="宋体" w:hAnsi="宋体" w:eastAsia="宋体" w:cs="宋体"/>
          <w:color w:val="000000" w:themeColor="text1"/>
          <w:highlight w:val="none"/>
          <w14:textFill>
            <w14:solidFill>
              <w14:schemeClr w14:val="tx1"/>
            </w14:solidFill>
          </w14:textFill>
        </w:rPr>
        <w:t>。</w:t>
      </w:r>
    </w:p>
    <w:p w14:paraId="2F93CD0D">
      <w:pPr>
        <w:spacing w:line="360" w:lineRule="auto"/>
        <w:jc w:val="left"/>
        <w:rPr>
          <w:rFonts w:ascii="宋体" w:hAnsi="宋体" w:cs="宋体"/>
          <w:b/>
          <w:sz w:val="24"/>
          <w:highlight w:val="none"/>
        </w:rPr>
      </w:pPr>
      <w:r>
        <w:rPr>
          <w:rFonts w:hint="eastAsia" w:ascii="宋体" w:hAnsi="宋体" w:cs="宋体"/>
          <w:b/>
          <w:sz w:val="24"/>
          <w:highlight w:val="none"/>
        </w:rPr>
        <w:t>附：</w:t>
      </w:r>
    </w:p>
    <w:p w14:paraId="62F790B9">
      <w:pPr>
        <w:spacing w:line="360" w:lineRule="auto"/>
        <w:jc w:val="left"/>
        <w:rPr>
          <w:rFonts w:ascii="宋体" w:hAnsi="宋体" w:cs="宋体"/>
          <w:bCs/>
          <w:sz w:val="24"/>
          <w:highlight w:val="none"/>
        </w:rPr>
      </w:pPr>
      <w:r>
        <w:rPr>
          <w:rFonts w:hint="eastAsia" w:ascii="宋体" w:hAnsi="宋体" w:cs="宋体"/>
          <w:bCs/>
          <w:sz w:val="24"/>
          <w:highlight w:val="none"/>
        </w:rPr>
        <w:t>扫描件：</w:t>
      </w:r>
    </w:p>
    <w:p w14:paraId="01AC5131">
      <w:pPr>
        <w:spacing w:before="60" w:after="60" w:line="460" w:lineRule="exact"/>
        <w:jc w:val="center"/>
        <w:rPr>
          <w:rFonts w:hint="eastAsia" w:ascii="宋体" w:hAnsi="宋体" w:eastAsia="宋体" w:cs="宋体"/>
          <w:b/>
          <w:bCs/>
          <w:color w:val="000000" w:themeColor="text1"/>
          <w:sz w:val="32"/>
          <w:szCs w:val="22"/>
          <w:highlight w:val="none"/>
          <w:lang w:eastAsia="zh-CN"/>
          <w14:textFill>
            <w14:solidFill>
              <w14:schemeClr w14:val="tx1"/>
            </w14:solidFill>
          </w14:textFill>
        </w:rPr>
      </w:pPr>
    </w:p>
    <w:p w14:paraId="686588E4">
      <w:pPr>
        <w:pStyle w:val="4"/>
        <w:outlineLvl w:val="9"/>
        <w:rPr>
          <w:rFonts w:hint="eastAsia" w:ascii="宋体" w:hAnsi="宋体" w:eastAsia="宋体" w:cs="宋体"/>
          <w:b/>
          <w:bCs/>
          <w:color w:val="000000" w:themeColor="text1"/>
          <w:sz w:val="32"/>
          <w:szCs w:val="22"/>
          <w:highlight w:val="none"/>
          <w:lang w:eastAsia="zh-CN"/>
          <w14:textFill>
            <w14:solidFill>
              <w14:schemeClr w14:val="tx1"/>
            </w14:solidFill>
          </w14:textFill>
        </w:rPr>
      </w:pPr>
    </w:p>
    <w:p w14:paraId="26CB9C14">
      <w:pPr>
        <w:rPr>
          <w:rFonts w:hint="eastAsia" w:ascii="宋体" w:hAnsi="宋体" w:eastAsia="宋体" w:cs="宋体"/>
          <w:b/>
          <w:bCs/>
          <w:color w:val="000000" w:themeColor="text1"/>
          <w:sz w:val="32"/>
          <w:szCs w:val="22"/>
          <w:highlight w:val="none"/>
          <w:lang w:eastAsia="zh-CN"/>
          <w14:textFill>
            <w14:solidFill>
              <w14:schemeClr w14:val="tx1"/>
            </w14:solidFill>
          </w14:textFill>
        </w:rPr>
      </w:pPr>
    </w:p>
    <w:p w14:paraId="2BB4975E">
      <w:pPr>
        <w:spacing w:before="60" w:after="60" w:line="460" w:lineRule="exact"/>
        <w:jc w:val="both"/>
        <w:rPr>
          <w:rFonts w:hint="eastAsia" w:ascii="宋体" w:hAnsi="宋体" w:eastAsia="宋体" w:cs="宋体"/>
          <w:b/>
          <w:bCs/>
          <w:color w:val="000000" w:themeColor="text1"/>
          <w:sz w:val="32"/>
          <w:szCs w:val="22"/>
          <w:highlight w:val="none"/>
          <w:lang w:eastAsia="zh-CN"/>
          <w14:textFill>
            <w14:solidFill>
              <w14:schemeClr w14:val="tx1"/>
            </w14:solidFill>
          </w14:textFill>
        </w:rPr>
      </w:pPr>
    </w:p>
    <w:p w14:paraId="7A87B33B">
      <w:pPr>
        <w:jc w:val="center"/>
        <w:outlineLvl w:val="1"/>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bCs w:val="0"/>
          <w:color w:val="000000" w:themeColor="text1"/>
          <w:kern w:val="2"/>
          <w:sz w:val="28"/>
          <w:szCs w:val="28"/>
          <w:highlight w:val="none"/>
          <w:lang w:val="zh-CN" w:eastAsia="zh-CN" w:bidi="ar-SA"/>
          <w14:textFill>
            <w14:solidFill>
              <w14:schemeClr w14:val="tx1"/>
            </w14:solidFill>
          </w14:textFill>
        </w:rPr>
        <w:t>拟投入本项目从业人员</w:t>
      </w:r>
    </w:p>
    <w:p w14:paraId="440DD86E">
      <w:pPr>
        <w:pStyle w:val="30"/>
        <w:rPr>
          <w:rFonts w:hint="eastAsia"/>
          <w:highlight w:val="none"/>
          <w:lang w:val="zh-CN" w:eastAsia="zh-CN"/>
        </w:rPr>
      </w:pPr>
    </w:p>
    <w:tbl>
      <w:tblPr>
        <w:tblStyle w:val="76"/>
        <w:tblW w:w="9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309"/>
        <w:gridCol w:w="718"/>
        <w:gridCol w:w="661"/>
        <w:gridCol w:w="760"/>
        <w:gridCol w:w="971"/>
        <w:gridCol w:w="773"/>
        <w:gridCol w:w="999"/>
        <w:gridCol w:w="873"/>
        <w:gridCol w:w="983"/>
        <w:gridCol w:w="745"/>
      </w:tblGrid>
      <w:tr w14:paraId="1BC21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959" w:type="dxa"/>
            <w:noWrap w:val="0"/>
            <w:vAlign w:val="center"/>
          </w:tcPr>
          <w:p w14:paraId="1D5F1190">
            <w:pPr>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14:textFill>
                  <w14:solidFill>
                    <w14:schemeClr w14:val="tx1"/>
                  </w14:solidFill>
                </w14:textFill>
              </w:rPr>
              <w:t>姓名</w:t>
            </w:r>
          </w:p>
          <w:p w14:paraId="0B998E3E">
            <w:pPr>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14:textFill>
                  <w14:solidFill>
                    <w14:schemeClr w14:val="tx1"/>
                  </w14:solidFill>
                </w14:textFill>
              </w:rPr>
              <w:t>（必填）</w:t>
            </w:r>
          </w:p>
        </w:tc>
        <w:tc>
          <w:tcPr>
            <w:tcW w:w="1309" w:type="dxa"/>
            <w:noWrap w:val="0"/>
            <w:vAlign w:val="center"/>
          </w:tcPr>
          <w:p w14:paraId="1FA07BD4">
            <w:pPr>
              <w:spacing w:line="240" w:lineRule="auto"/>
              <w:jc w:val="center"/>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身份证号</w:t>
            </w:r>
          </w:p>
          <w:p w14:paraId="41650340">
            <w:pPr>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（必填）</w:t>
            </w:r>
          </w:p>
        </w:tc>
        <w:tc>
          <w:tcPr>
            <w:tcW w:w="718" w:type="dxa"/>
            <w:noWrap w:val="0"/>
            <w:vAlign w:val="center"/>
          </w:tcPr>
          <w:p w14:paraId="7EF83954">
            <w:pPr>
              <w:keepNext w:val="0"/>
              <w:keepLines w:val="0"/>
              <w:widowControl/>
              <w:suppressLineNumbers w:val="0"/>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t xml:space="preserve">性别 </w:t>
            </w:r>
          </w:p>
        </w:tc>
        <w:tc>
          <w:tcPr>
            <w:tcW w:w="661" w:type="dxa"/>
            <w:noWrap w:val="0"/>
            <w:vAlign w:val="center"/>
          </w:tcPr>
          <w:p w14:paraId="6DFCBBBC">
            <w:pPr>
              <w:keepNext w:val="0"/>
              <w:keepLines w:val="0"/>
              <w:widowControl/>
              <w:suppressLineNumbers w:val="0"/>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t xml:space="preserve">学历 </w:t>
            </w:r>
          </w:p>
        </w:tc>
        <w:tc>
          <w:tcPr>
            <w:tcW w:w="760" w:type="dxa"/>
            <w:noWrap w:val="0"/>
            <w:vAlign w:val="center"/>
          </w:tcPr>
          <w:p w14:paraId="41D1B14F">
            <w:pPr>
              <w:keepNext w:val="0"/>
              <w:keepLines w:val="0"/>
              <w:widowControl/>
              <w:suppressLineNumbers w:val="0"/>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t xml:space="preserve">职称 </w:t>
            </w:r>
          </w:p>
        </w:tc>
        <w:tc>
          <w:tcPr>
            <w:tcW w:w="971" w:type="dxa"/>
            <w:noWrap w:val="0"/>
            <w:vAlign w:val="center"/>
          </w:tcPr>
          <w:p w14:paraId="624A9300">
            <w:pPr>
              <w:keepNext w:val="0"/>
              <w:keepLines w:val="0"/>
              <w:widowControl/>
              <w:suppressLineNumbers w:val="0"/>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t>职务</w:t>
            </w:r>
          </w:p>
        </w:tc>
        <w:tc>
          <w:tcPr>
            <w:tcW w:w="773" w:type="dxa"/>
            <w:noWrap w:val="0"/>
            <w:vAlign w:val="center"/>
          </w:tcPr>
          <w:p w14:paraId="76248994">
            <w:pPr>
              <w:keepNext w:val="0"/>
              <w:keepLines w:val="0"/>
              <w:widowControl/>
              <w:suppressLineNumbers w:val="0"/>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t xml:space="preserve">性别 </w:t>
            </w:r>
          </w:p>
        </w:tc>
        <w:tc>
          <w:tcPr>
            <w:tcW w:w="999" w:type="dxa"/>
            <w:noWrap w:val="0"/>
            <w:vAlign w:val="center"/>
          </w:tcPr>
          <w:p w14:paraId="13ADB5F7">
            <w:pPr>
              <w:spacing w:line="240" w:lineRule="auto"/>
              <w:jc w:val="center"/>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从业</w:t>
            </w:r>
          </w:p>
          <w:p w14:paraId="5265EF9F">
            <w:pPr>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年限</w:t>
            </w:r>
          </w:p>
        </w:tc>
        <w:tc>
          <w:tcPr>
            <w:tcW w:w="873" w:type="dxa"/>
            <w:noWrap w:val="0"/>
            <w:vAlign w:val="center"/>
          </w:tcPr>
          <w:p w14:paraId="25E54DD5">
            <w:pPr>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14:textFill>
                  <w14:solidFill>
                    <w14:schemeClr w14:val="tx1"/>
                  </w14:solidFill>
                </w14:textFill>
              </w:rPr>
              <w:t>资质</w:t>
            </w:r>
          </w:p>
          <w:p w14:paraId="5449F259">
            <w:pPr>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14:textFill>
                  <w14:solidFill>
                    <w14:schemeClr w14:val="tx1"/>
                  </w14:solidFill>
                </w14:textFill>
              </w:rPr>
              <w:t>证书</w:t>
            </w:r>
          </w:p>
        </w:tc>
        <w:tc>
          <w:tcPr>
            <w:tcW w:w="983" w:type="dxa"/>
            <w:noWrap w:val="0"/>
            <w:vAlign w:val="center"/>
          </w:tcPr>
          <w:p w14:paraId="1BFFC711">
            <w:pPr>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14:textFill>
                  <w14:solidFill>
                    <w14:schemeClr w14:val="tx1"/>
                  </w14:solidFill>
                </w14:textFill>
              </w:rPr>
              <w:t>获奖</w:t>
            </w:r>
          </w:p>
          <w:p w14:paraId="1FFD2066">
            <w:pPr>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14:textFill>
                  <w14:solidFill>
                    <w14:schemeClr w14:val="tx1"/>
                  </w14:solidFill>
                </w14:textFill>
              </w:rPr>
              <w:t>情况</w:t>
            </w:r>
          </w:p>
        </w:tc>
        <w:tc>
          <w:tcPr>
            <w:tcW w:w="745" w:type="dxa"/>
            <w:noWrap w:val="0"/>
            <w:vAlign w:val="center"/>
          </w:tcPr>
          <w:p w14:paraId="442A0A07">
            <w:pPr>
              <w:spacing w:line="240" w:lineRule="auto"/>
              <w:jc w:val="center"/>
              <w:rPr>
                <w:rFonts w:hint="eastAsia" w:ascii="宋体" w:hAnsi="宋体" w:eastAsia="宋体" w:cs="宋体"/>
                <w:b w:val="0"/>
                <w:bCs w:val="0"/>
                <w:color w:val="000000" w:themeColor="text1"/>
                <w:kern w:val="0"/>
                <w:sz w:val="21"/>
                <w:szCs w:val="21"/>
                <w:highlight w:val="none"/>
                <w14:textFill>
                  <w14:solidFill>
                    <w14:schemeClr w14:val="tx1"/>
                  </w14:solidFill>
                </w14:textFill>
              </w:rPr>
            </w:pPr>
            <w:r>
              <w:rPr>
                <w:rFonts w:hint="eastAsia" w:ascii="宋体" w:hAnsi="宋体" w:eastAsia="宋体" w:cs="宋体"/>
                <w:b w:val="0"/>
                <w:bCs w:val="0"/>
                <w:color w:val="000000" w:themeColor="text1"/>
                <w:kern w:val="0"/>
                <w:sz w:val="21"/>
                <w:szCs w:val="21"/>
                <w:highlight w:val="none"/>
                <w14:textFill>
                  <w14:solidFill>
                    <w14:schemeClr w14:val="tx1"/>
                  </w14:solidFill>
                </w14:textFill>
              </w:rPr>
              <w:t>备注</w:t>
            </w:r>
          </w:p>
        </w:tc>
      </w:tr>
      <w:tr w14:paraId="62230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959" w:type="dxa"/>
            <w:noWrap w:val="0"/>
            <w:vAlign w:val="top"/>
          </w:tcPr>
          <w:p w14:paraId="797EE063">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1309" w:type="dxa"/>
            <w:noWrap w:val="0"/>
            <w:vAlign w:val="top"/>
          </w:tcPr>
          <w:p w14:paraId="3B46CAE8">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18" w:type="dxa"/>
            <w:noWrap w:val="0"/>
            <w:vAlign w:val="top"/>
          </w:tcPr>
          <w:p w14:paraId="799E7F6F">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661" w:type="dxa"/>
            <w:noWrap w:val="0"/>
            <w:vAlign w:val="top"/>
          </w:tcPr>
          <w:p w14:paraId="112D5ECA">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60" w:type="dxa"/>
            <w:noWrap w:val="0"/>
            <w:vAlign w:val="top"/>
          </w:tcPr>
          <w:p w14:paraId="78A384EF">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71" w:type="dxa"/>
            <w:noWrap w:val="0"/>
            <w:vAlign w:val="top"/>
          </w:tcPr>
          <w:p w14:paraId="746F987E">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73" w:type="dxa"/>
            <w:noWrap w:val="0"/>
            <w:vAlign w:val="top"/>
          </w:tcPr>
          <w:p w14:paraId="28479FA4">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99" w:type="dxa"/>
            <w:noWrap w:val="0"/>
            <w:vAlign w:val="top"/>
          </w:tcPr>
          <w:p w14:paraId="6F4579DC">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873" w:type="dxa"/>
            <w:noWrap w:val="0"/>
            <w:vAlign w:val="top"/>
          </w:tcPr>
          <w:p w14:paraId="21E8F6BE">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83" w:type="dxa"/>
            <w:noWrap w:val="0"/>
            <w:vAlign w:val="top"/>
          </w:tcPr>
          <w:p w14:paraId="5237F13F">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45" w:type="dxa"/>
            <w:noWrap w:val="0"/>
            <w:vAlign w:val="top"/>
          </w:tcPr>
          <w:p w14:paraId="443B201B">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r>
      <w:tr w14:paraId="7FC3E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959" w:type="dxa"/>
            <w:noWrap w:val="0"/>
            <w:vAlign w:val="top"/>
          </w:tcPr>
          <w:p w14:paraId="33565804">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1309" w:type="dxa"/>
            <w:noWrap w:val="0"/>
            <w:vAlign w:val="top"/>
          </w:tcPr>
          <w:p w14:paraId="43AD9099">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18" w:type="dxa"/>
            <w:noWrap w:val="0"/>
            <w:vAlign w:val="top"/>
          </w:tcPr>
          <w:p w14:paraId="156D579B">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661" w:type="dxa"/>
            <w:noWrap w:val="0"/>
            <w:vAlign w:val="top"/>
          </w:tcPr>
          <w:p w14:paraId="1CC49777">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60" w:type="dxa"/>
            <w:noWrap w:val="0"/>
            <w:vAlign w:val="top"/>
          </w:tcPr>
          <w:p w14:paraId="47168134">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71" w:type="dxa"/>
            <w:noWrap w:val="0"/>
            <w:vAlign w:val="top"/>
          </w:tcPr>
          <w:p w14:paraId="69C7EAE2">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73" w:type="dxa"/>
            <w:noWrap w:val="0"/>
            <w:vAlign w:val="top"/>
          </w:tcPr>
          <w:p w14:paraId="134A3BDE">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99" w:type="dxa"/>
            <w:noWrap w:val="0"/>
            <w:vAlign w:val="top"/>
          </w:tcPr>
          <w:p w14:paraId="5B362A8E">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873" w:type="dxa"/>
            <w:noWrap w:val="0"/>
            <w:vAlign w:val="top"/>
          </w:tcPr>
          <w:p w14:paraId="7108487F">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83" w:type="dxa"/>
            <w:noWrap w:val="0"/>
            <w:vAlign w:val="top"/>
          </w:tcPr>
          <w:p w14:paraId="24A15584">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45" w:type="dxa"/>
            <w:noWrap w:val="0"/>
            <w:vAlign w:val="top"/>
          </w:tcPr>
          <w:p w14:paraId="6128CC7E">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r>
      <w:tr w14:paraId="26FD2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959" w:type="dxa"/>
            <w:noWrap w:val="0"/>
            <w:vAlign w:val="top"/>
          </w:tcPr>
          <w:p w14:paraId="2668D4A3">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1309" w:type="dxa"/>
            <w:noWrap w:val="0"/>
            <w:vAlign w:val="top"/>
          </w:tcPr>
          <w:p w14:paraId="11222542">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18" w:type="dxa"/>
            <w:noWrap w:val="0"/>
            <w:vAlign w:val="top"/>
          </w:tcPr>
          <w:p w14:paraId="1E4FDBCE">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661" w:type="dxa"/>
            <w:noWrap w:val="0"/>
            <w:vAlign w:val="top"/>
          </w:tcPr>
          <w:p w14:paraId="0D3B9147">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60" w:type="dxa"/>
            <w:noWrap w:val="0"/>
            <w:vAlign w:val="top"/>
          </w:tcPr>
          <w:p w14:paraId="0E325714">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71" w:type="dxa"/>
            <w:noWrap w:val="0"/>
            <w:vAlign w:val="top"/>
          </w:tcPr>
          <w:p w14:paraId="089D8568">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73" w:type="dxa"/>
            <w:noWrap w:val="0"/>
            <w:vAlign w:val="top"/>
          </w:tcPr>
          <w:p w14:paraId="7097029C">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99" w:type="dxa"/>
            <w:noWrap w:val="0"/>
            <w:vAlign w:val="top"/>
          </w:tcPr>
          <w:p w14:paraId="464213B2">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873" w:type="dxa"/>
            <w:noWrap w:val="0"/>
            <w:vAlign w:val="top"/>
          </w:tcPr>
          <w:p w14:paraId="7D8D6C64">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83" w:type="dxa"/>
            <w:noWrap w:val="0"/>
            <w:vAlign w:val="top"/>
          </w:tcPr>
          <w:p w14:paraId="4FAFEA81">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45" w:type="dxa"/>
            <w:noWrap w:val="0"/>
            <w:vAlign w:val="top"/>
          </w:tcPr>
          <w:p w14:paraId="0376FD13">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r>
      <w:tr w14:paraId="0CD23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959" w:type="dxa"/>
            <w:noWrap w:val="0"/>
            <w:vAlign w:val="top"/>
          </w:tcPr>
          <w:p w14:paraId="0E95E71C">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1309" w:type="dxa"/>
            <w:noWrap w:val="0"/>
            <w:vAlign w:val="top"/>
          </w:tcPr>
          <w:p w14:paraId="29F1B8A3">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18" w:type="dxa"/>
            <w:noWrap w:val="0"/>
            <w:vAlign w:val="top"/>
          </w:tcPr>
          <w:p w14:paraId="5078CF45">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661" w:type="dxa"/>
            <w:noWrap w:val="0"/>
            <w:vAlign w:val="top"/>
          </w:tcPr>
          <w:p w14:paraId="33C27D07">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60" w:type="dxa"/>
            <w:noWrap w:val="0"/>
            <w:vAlign w:val="top"/>
          </w:tcPr>
          <w:p w14:paraId="57839948">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71" w:type="dxa"/>
            <w:noWrap w:val="0"/>
            <w:vAlign w:val="top"/>
          </w:tcPr>
          <w:p w14:paraId="7C03081C">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73" w:type="dxa"/>
            <w:noWrap w:val="0"/>
            <w:vAlign w:val="top"/>
          </w:tcPr>
          <w:p w14:paraId="536EC58E">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99" w:type="dxa"/>
            <w:noWrap w:val="0"/>
            <w:vAlign w:val="top"/>
          </w:tcPr>
          <w:p w14:paraId="1F7EE67D">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873" w:type="dxa"/>
            <w:noWrap w:val="0"/>
            <w:vAlign w:val="top"/>
          </w:tcPr>
          <w:p w14:paraId="58E0A27C">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83" w:type="dxa"/>
            <w:noWrap w:val="0"/>
            <w:vAlign w:val="top"/>
          </w:tcPr>
          <w:p w14:paraId="7C0B1C45">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45" w:type="dxa"/>
            <w:noWrap w:val="0"/>
            <w:vAlign w:val="top"/>
          </w:tcPr>
          <w:p w14:paraId="1134114A">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r>
      <w:tr w14:paraId="68B7E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959" w:type="dxa"/>
            <w:noWrap w:val="0"/>
            <w:vAlign w:val="top"/>
          </w:tcPr>
          <w:p w14:paraId="5FC5CBD5">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1309" w:type="dxa"/>
            <w:noWrap w:val="0"/>
            <w:vAlign w:val="top"/>
          </w:tcPr>
          <w:p w14:paraId="69C17A55">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18" w:type="dxa"/>
            <w:noWrap w:val="0"/>
            <w:vAlign w:val="top"/>
          </w:tcPr>
          <w:p w14:paraId="7B96B806">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661" w:type="dxa"/>
            <w:noWrap w:val="0"/>
            <w:vAlign w:val="top"/>
          </w:tcPr>
          <w:p w14:paraId="45491BA3">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60" w:type="dxa"/>
            <w:noWrap w:val="0"/>
            <w:vAlign w:val="top"/>
          </w:tcPr>
          <w:p w14:paraId="37D182B5">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71" w:type="dxa"/>
            <w:noWrap w:val="0"/>
            <w:vAlign w:val="top"/>
          </w:tcPr>
          <w:p w14:paraId="5BCC0163">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73" w:type="dxa"/>
            <w:noWrap w:val="0"/>
            <w:vAlign w:val="top"/>
          </w:tcPr>
          <w:p w14:paraId="7872361E">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99" w:type="dxa"/>
            <w:noWrap w:val="0"/>
            <w:vAlign w:val="top"/>
          </w:tcPr>
          <w:p w14:paraId="09F26DEE">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873" w:type="dxa"/>
            <w:noWrap w:val="0"/>
            <w:vAlign w:val="top"/>
          </w:tcPr>
          <w:p w14:paraId="383F0DCC">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83" w:type="dxa"/>
            <w:noWrap w:val="0"/>
            <w:vAlign w:val="top"/>
          </w:tcPr>
          <w:p w14:paraId="5AA74282">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45" w:type="dxa"/>
            <w:noWrap w:val="0"/>
            <w:vAlign w:val="top"/>
          </w:tcPr>
          <w:p w14:paraId="3214306C">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r>
      <w:tr w14:paraId="79DDA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959" w:type="dxa"/>
            <w:noWrap w:val="0"/>
            <w:vAlign w:val="top"/>
          </w:tcPr>
          <w:p w14:paraId="7962A39D">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1309" w:type="dxa"/>
            <w:noWrap w:val="0"/>
            <w:vAlign w:val="top"/>
          </w:tcPr>
          <w:p w14:paraId="593A6F4D">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18" w:type="dxa"/>
            <w:noWrap w:val="0"/>
            <w:vAlign w:val="top"/>
          </w:tcPr>
          <w:p w14:paraId="03C29CBE">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661" w:type="dxa"/>
            <w:noWrap w:val="0"/>
            <w:vAlign w:val="top"/>
          </w:tcPr>
          <w:p w14:paraId="6E989BED">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60" w:type="dxa"/>
            <w:noWrap w:val="0"/>
            <w:vAlign w:val="top"/>
          </w:tcPr>
          <w:p w14:paraId="007BA860">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71" w:type="dxa"/>
            <w:noWrap w:val="0"/>
            <w:vAlign w:val="top"/>
          </w:tcPr>
          <w:p w14:paraId="483220D3">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73" w:type="dxa"/>
            <w:noWrap w:val="0"/>
            <w:vAlign w:val="top"/>
          </w:tcPr>
          <w:p w14:paraId="3564CD0A">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99" w:type="dxa"/>
            <w:noWrap w:val="0"/>
            <w:vAlign w:val="top"/>
          </w:tcPr>
          <w:p w14:paraId="291D5DED">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873" w:type="dxa"/>
            <w:noWrap w:val="0"/>
            <w:vAlign w:val="top"/>
          </w:tcPr>
          <w:p w14:paraId="0F5B1258">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983" w:type="dxa"/>
            <w:noWrap w:val="0"/>
            <w:vAlign w:val="top"/>
          </w:tcPr>
          <w:p w14:paraId="7071B1AF">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c>
          <w:tcPr>
            <w:tcW w:w="745" w:type="dxa"/>
            <w:noWrap w:val="0"/>
            <w:vAlign w:val="top"/>
          </w:tcPr>
          <w:p w14:paraId="1F1036A5">
            <w:pPr>
              <w:spacing w:line="240" w:lineRule="auto"/>
              <w:rPr>
                <w:rFonts w:hint="eastAsia" w:ascii="宋体" w:hAnsi="宋体" w:eastAsia="宋体" w:cs="宋体"/>
                <w:b w:val="0"/>
                <w:bCs w:val="0"/>
                <w:color w:val="000000" w:themeColor="text1"/>
                <w:sz w:val="21"/>
                <w:szCs w:val="21"/>
                <w:highlight w:val="none"/>
                <w14:textFill>
                  <w14:solidFill>
                    <w14:schemeClr w14:val="tx1"/>
                  </w14:solidFill>
                </w14:textFill>
              </w:rPr>
            </w:pPr>
          </w:p>
        </w:tc>
      </w:tr>
    </w:tbl>
    <w:p w14:paraId="5707D74A">
      <w:pPr>
        <w:spacing w:line="360" w:lineRule="auto"/>
        <w:jc w:val="left"/>
        <w:rPr>
          <w:rFonts w:ascii="宋体" w:hAnsi="宋体" w:cs="宋体"/>
          <w:b/>
          <w:sz w:val="24"/>
          <w:highlight w:val="none"/>
        </w:rPr>
      </w:pPr>
      <w:r>
        <w:rPr>
          <w:rFonts w:hint="eastAsia" w:ascii="宋体" w:hAnsi="宋体" w:cs="宋体"/>
          <w:b/>
          <w:sz w:val="24"/>
          <w:highlight w:val="none"/>
        </w:rPr>
        <w:t>附：</w:t>
      </w:r>
    </w:p>
    <w:p w14:paraId="20FDD973">
      <w:pPr>
        <w:spacing w:line="360" w:lineRule="auto"/>
        <w:jc w:val="left"/>
        <w:rPr>
          <w:rFonts w:ascii="宋体" w:hAnsi="宋体" w:cs="宋体"/>
          <w:bCs/>
          <w:sz w:val="24"/>
          <w:highlight w:val="none"/>
        </w:rPr>
      </w:pPr>
      <w:r>
        <w:rPr>
          <w:rFonts w:hint="eastAsia" w:ascii="宋体" w:hAnsi="宋体" w:cs="宋体"/>
          <w:bCs/>
          <w:sz w:val="24"/>
          <w:highlight w:val="none"/>
        </w:rPr>
        <w:t>扫描件：</w:t>
      </w:r>
    </w:p>
    <w:p w14:paraId="6466C67B">
      <w:pPr>
        <w:pStyle w:val="41"/>
        <w:jc w:val="center"/>
        <w:outlineLvl w:val="9"/>
        <w:rPr>
          <w:rFonts w:hint="eastAsia" w:ascii="宋体" w:hAnsi="宋体" w:eastAsia="宋体" w:cs="宋体"/>
          <w:b/>
          <w:color w:val="000000" w:themeColor="text1"/>
          <w:sz w:val="28"/>
          <w:szCs w:val="28"/>
          <w:highlight w:val="none"/>
          <w:lang w:eastAsia="zh-CN"/>
          <w14:textFill>
            <w14:solidFill>
              <w14:schemeClr w14:val="tx1"/>
            </w14:solidFill>
          </w14:textFill>
        </w:rPr>
      </w:pPr>
    </w:p>
    <w:p w14:paraId="68FC6243">
      <w:pPr>
        <w:pStyle w:val="41"/>
        <w:jc w:val="center"/>
        <w:outlineLvl w:val="9"/>
        <w:rPr>
          <w:rFonts w:hint="eastAsia" w:ascii="宋体" w:hAnsi="宋体" w:eastAsia="宋体" w:cs="宋体"/>
          <w:b/>
          <w:color w:val="000000" w:themeColor="text1"/>
          <w:sz w:val="28"/>
          <w:szCs w:val="28"/>
          <w:highlight w:val="none"/>
          <w:lang w:eastAsia="zh-CN"/>
          <w14:textFill>
            <w14:solidFill>
              <w14:schemeClr w14:val="tx1"/>
            </w14:solidFill>
          </w14:textFill>
        </w:rPr>
      </w:pPr>
    </w:p>
    <w:p w14:paraId="739D27F9">
      <w:pPr>
        <w:spacing w:line="360" w:lineRule="auto"/>
        <w:jc w:val="cente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bCs w:val="0"/>
          <w:color w:val="000000" w:themeColor="text1"/>
          <w:kern w:val="2"/>
          <w:sz w:val="28"/>
          <w:szCs w:val="28"/>
          <w:highlight w:val="none"/>
          <w:lang w:val="zh-CN" w:eastAsia="zh-CN" w:bidi="ar-SA"/>
          <w14:textFill>
            <w14:solidFill>
              <w14:schemeClr w14:val="tx1"/>
            </w14:solidFill>
          </w14:textFill>
        </w:rPr>
        <w:t>企业获奖</w:t>
      </w:r>
    </w:p>
    <w:p w14:paraId="6D5003E1">
      <w:pPr>
        <w:pStyle w:val="41"/>
        <w:jc w:val="center"/>
        <w:outlineLvl w:val="9"/>
        <w:rPr>
          <w:rFonts w:hint="eastAsia" w:ascii="宋体" w:hAnsi="宋体" w:eastAsia="宋体" w:cs="宋体"/>
          <w:b/>
          <w:color w:val="000000" w:themeColor="text1"/>
          <w:sz w:val="28"/>
          <w:szCs w:val="28"/>
          <w:highlight w:val="none"/>
          <w:lang w:eastAsia="zh-CN"/>
          <w14:textFill>
            <w14:solidFill>
              <w14:schemeClr w14:val="tx1"/>
            </w14:solidFill>
          </w14:textFill>
        </w:rPr>
      </w:pPr>
    </w:p>
    <w:p w14:paraId="1846938E">
      <w:pPr>
        <w:spacing w:line="360" w:lineRule="auto"/>
        <w:jc w:val="left"/>
        <w:rPr>
          <w:rFonts w:ascii="宋体" w:hAnsi="宋体" w:cs="宋体"/>
          <w:b/>
          <w:sz w:val="24"/>
          <w:highlight w:val="none"/>
        </w:rPr>
      </w:pPr>
      <w:r>
        <w:rPr>
          <w:rFonts w:hint="eastAsia" w:ascii="宋体" w:hAnsi="宋体" w:cs="宋体"/>
          <w:b/>
          <w:sz w:val="24"/>
          <w:highlight w:val="none"/>
        </w:rPr>
        <w:t>附：</w:t>
      </w:r>
    </w:p>
    <w:p w14:paraId="0B9B0A97">
      <w:pPr>
        <w:spacing w:line="360" w:lineRule="auto"/>
        <w:jc w:val="left"/>
        <w:rPr>
          <w:rFonts w:ascii="宋体" w:hAnsi="宋体" w:cs="宋体"/>
          <w:bCs/>
          <w:sz w:val="24"/>
          <w:highlight w:val="none"/>
        </w:rPr>
      </w:pPr>
      <w:r>
        <w:rPr>
          <w:rFonts w:hint="eastAsia" w:ascii="宋体" w:hAnsi="宋体" w:cs="宋体"/>
          <w:bCs/>
          <w:sz w:val="24"/>
          <w:highlight w:val="none"/>
        </w:rPr>
        <w:t>扫描件：</w:t>
      </w:r>
    </w:p>
    <w:p w14:paraId="1342DD25">
      <w:pPr>
        <w:pStyle w:val="41"/>
        <w:jc w:val="both"/>
        <w:outlineLvl w:val="9"/>
        <w:rPr>
          <w:rFonts w:hint="eastAsia" w:ascii="宋体" w:hAnsi="宋体" w:eastAsia="宋体" w:cs="宋体"/>
          <w:b/>
          <w:color w:val="000000" w:themeColor="text1"/>
          <w:sz w:val="28"/>
          <w:szCs w:val="28"/>
          <w:highlight w:val="none"/>
          <w:lang w:eastAsia="zh-CN"/>
          <w14:textFill>
            <w14:solidFill>
              <w14:schemeClr w14:val="tx1"/>
            </w14:solidFill>
          </w14:textFill>
        </w:rPr>
      </w:pPr>
    </w:p>
    <w:p w14:paraId="3AF99C2C">
      <w:pPr>
        <w:spacing w:before="60" w:after="60" w:line="460" w:lineRule="exact"/>
        <w:jc w:val="center"/>
        <w:rPr>
          <w:rFonts w:hint="eastAsia" w:ascii="宋体" w:hAnsi="宋体" w:eastAsia="宋体" w:cs="宋体"/>
          <w:b/>
          <w:bCs/>
          <w:color w:val="000000" w:themeColor="text1"/>
          <w:sz w:val="32"/>
          <w:szCs w:val="22"/>
          <w:highlight w:val="none"/>
          <w:lang w:eastAsia="zh-CN"/>
          <w14:textFill>
            <w14:solidFill>
              <w14:schemeClr w14:val="tx1"/>
            </w14:solidFill>
          </w14:textFill>
        </w:rPr>
      </w:pPr>
      <w:r>
        <w:rPr>
          <w:rFonts w:hint="eastAsia" w:ascii="宋体" w:hAnsi="宋体" w:eastAsia="宋体" w:cs="宋体"/>
          <w:b/>
          <w:bCs w:val="0"/>
          <w:color w:val="000000" w:themeColor="text1"/>
          <w:kern w:val="2"/>
          <w:sz w:val="28"/>
          <w:szCs w:val="28"/>
          <w:highlight w:val="none"/>
          <w:lang w:val="zh-CN" w:eastAsia="zh-CN" w:bidi="ar-SA"/>
          <w14:textFill>
            <w14:solidFill>
              <w14:schemeClr w14:val="tx1"/>
            </w14:solidFill>
          </w14:textFill>
        </w:rPr>
        <w:t>企业各类证书</w:t>
      </w:r>
    </w:p>
    <w:p w14:paraId="0F094964">
      <w:pPr>
        <w:spacing w:line="360" w:lineRule="auto"/>
        <w:jc w:val="left"/>
        <w:rPr>
          <w:rFonts w:ascii="宋体" w:hAnsi="宋体" w:cs="宋体"/>
          <w:b/>
          <w:sz w:val="24"/>
          <w:highlight w:val="none"/>
        </w:rPr>
      </w:pPr>
      <w:r>
        <w:rPr>
          <w:rFonts w:hint="eastAsia" w:ascii="宋体" w:hAnsi="宋体" w:cs="宋体"/>
          <w:b/>
          <w:sz w:val="24"/>
          <w:highlight w:val="none"/>
        </w:rPr>
        <w:t>附：</w:t>
      </w:r>
    </w:p>
    <w:p w14:paraId="42692AC6">
      <w:pPr>
        <w:spacing w:line="360" w:lineRule="auto"/>
        <w:jc w:val="left"/>
        <w:rPr>
          <w:rFonts w:ascii="宋体" w:hAnsi="宋体" w:cs="宋体"/>
          <w:bCs/>
          <w:sz w:val="24"/>
          <w:highlight w:val="none"/>
        </w:rPr>
      </w:pPr>
      <w:r>
        <w:rPr>
          <w:rFonts w:hint="eastAsia" w:ascii="宋体" w:hAnsi="宋体" w:cs="宋体"/>
          <w:bCs/>
          <w:sz w:val="24"/>
          <w:highlight w:val="none"/>
        </w:rPr>
        <w:t>扫描件：</w:t>
      </w:r>
    </w:p>
    <w:p w14:paraId="4C943824">
      <w:pPr>
        <w:spacing w:line="36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11019D49">
      <w:pPr>
        <w:pStyle w:val="41"/>
        <w:jc w:val="center"/>
        <w:outlineLvl w:val="9"/>
        <w:rPr>
          <w:rFonts w:hint="eastAsia" w:ascii="宋体" w:hAnsi="宋体" w:eastAsia="宋体" w:cs="宋体"/>
          <w:b/>
          <w:color w:val="000000" w:themeColor="text1"/>
          <w:sz w:val="28"/>
          <w:szCs w:val="28"/>
          <w:highlight w:val="none"/>
          <w:lang w:eastAsia="zh-CN"/>
          <w14:textFill>
            <w14:solidFill>
              <w14:schemeClr w14:val="tx1"/>
            </w14:solidFill>
          </w14:textFill>
        </w:rPr>
      </w:pPr>
    </w:p>
    <w:p w14:paraId="05456007">
      <w:pPr>
        <w:spacing w:before="60" w:after="60" w:line="460" w:lineRule="exact"/>
        <w:jc w:val="center"/>
        <w:rPr>
          <w:rFonts w:hint="eastAsia" w:ascii="宋体" w:hAnsi="宋体" w:eastAsia="宋体" w:cs="宋体"/>
          <w:b/>
          <w:bCs/>
          <w:color w:val="000000" w:themeColor="text1"/>
          <w:sz w:val="32"/>
          <w:szCs w:val="22"/>
          <w:highlight w:val="none"/>
          <w:lang w:eastAsia="zh-CN"/>
          <w14:textFill>
            <w14:solidFill>
              <w14:schemeClr w14:val="tx1"/>
            </w14:solidFill>
          </w14:textFill>
        </w:rPr>
      </w:pPr>
    </w:p>
    <w:p w14:paraId="4FCB3FA5">
      <w:pP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br w:type="page"/>
      </w:r>
    </w:p>
    <w:p w14:paraId="48E171D5">
      <w:pPr>
        <w:spacing w:before="60" w:after="60" w:line="460" w:lineRule="exact"/>
        <w:jc w:val="center"/>
        <w:outlineLvl w:val="1"/>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bCs w:val="0"/>
          <w:color w:val="000000" w:themeColor="text1"/>
          <w:kern w:val="2"/>
          <w:sz w:val="28"/>
          <w:szCs w:val="28"/>
          <w:highlight w:val="none"/>
          <w:lang w:val="zh-CN" w:eastAsia="zh-CN" w:bidi="ar-SA"/>
          <w14:textFill>
            <w14:solidFill>
              <w14:schemeClr w14:val="tx1"/>
            </w14:solidFill>
          </w14:textFill>
        </w:rPr>
        <w:t>商务响应表</w:t>
      </w:r>
    </w:p>
    <w:p w14:paraId="78261CA9">
      <w:pPr>
        <w:pageBreakBefore w:val="0"/>
        <w:kinsoku/>
        <w:wordWrap/>
        <w:overflowPunct/>
        <w:bidi w:val="0"/>
        <w:spacing w:line="360" w:lineRule="auto"/>
        <w:ind w:right="0" w:rightChars="0" w:firstLine="420" w:firstLineChars="200"/>
        <w:jc w:val="left"/>
        <w:rPr>
          <w:rFonts w:hint="eastAsia" w:ascii="宋体" w:hAnsi="宋体" w:eastAsia="宋体" w:cs="宋体"/>
          <w:color w:val="000000" w:themeColor="text1"/>
          <w:highlight w:val="none"/>
          <w14:textFill>
            <w14:solidFill>
              <w14:schemeClr w14:val="tx1"/>
            </w14:solidFill>
          </w14:textFill>
        </w:rPr>
      </w:pPr>
    </w:p>
    <w:p w14:paraId="2D462D6F">
      <w:pPr>
        <w:pageBreakBefore w:val="0"/>
        <w:kinsoku/>
        <w:wordWrap/>
        <w:overflowPunct/>
        <w:bidi w:val="0"/>
        <w:spacing w:line="360" w:lineRule="auto"/>
        <w:ind w:right="0" w:rightChars="0"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招标编号：</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p>
    <w:tbl>
      <w:tblPr>
        <w:tblStyle w:val="76"/>
        <w:tblW w:w="9380" w:type="dxa"/>
        <w:jc w:val="center"/>
        <w:tblLayout w:type="fixed"/>
        <w:tblCellMar>
          <w:top w:w="0" w:type="dxa"/>
          <w:left w:w="108" w:type="dxa"/>
          <w:bottom w:w="0" w:type="dxa"/>
          <w:right w:w="108" w:type="dxa"/>
        </w:tblCellMar>
      </w:tblPr>
      <w:tblGrid>
        <w:gridCol w:w="945"/>
        <w:gridCol w:w="2108"/>
        <w:gridCol w:w="2108"/>
        <w:gridCol w:w="2333"/>
        <w:gridCol w:w="1886"/>
      </w:tblGrid>
      <w:tr w14:paraId="58C411D5">
        <w:tblPrEx>
          <w:tblCellMar>
            <w:top w:w="0" w:type="dxa"/>
            <w:left w:w="108" w:type="dxa"/>
            <w:bottom w:w="0" w:type="dxa"/>
            <w:right w:w="108" w:type="dxa"/>
          </w:tblCellMar>
        </w:tblPrEx>
        <w:trPr>
          <w:trHeight w:val="599" w:hRule="atLeast"/>
          <w:jc w:val="center"/>
        </w:trPr>
        <w:tc>
          <w:tcPr>
            <w:tcW w:w="945" w:type="dxa"/>
            <w:tcBorders>
              <w:top w:val="single" w:color="auto" w:sz="6" w:space="0"/>
              <w:left w:val="single" w:color="auto" w:sz="6" w:space="0"/>
              <w:bottom w:val="single" w:color="auto" w:sz="6" w:space="0"/>
              <w:right w:val="single" w:color="auto" w:sz="6" w:space="0"/>
            </w:tcBorders>
            <w:noWrap w:val="0"/>
            <w:vAlign w:val="center"/>
          </w:tcPr>
          <w:p w14:paraId="59C38689">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序号</w:t>
            </w:r>
          </w:p>
        </w:tc>
        <w:tc>
          <w:tcPr>
            <w:tcW w:w="2108" w:type="dxa"/>
            <w:tcBorders>
              <w:top w:val="single" w:color="auto" w:sz="6" w:space="0"/>
              <w:left w:val="single" w:color="auto" w:sz="6" w:space="0"/>
              <w:bottom w:val="single" w:color="auto" w:sz="6" w:space="0"/>
              <w:right w:val="single" w:color="auto" w:sz="4" w:space="0"/>
            </w:tcBorders>
            <w:noWrap w:val="0"/>
            <w:vAlign w:val="center"/>
          </w:tcPr>
          <w:p w14:paraId="1CD0BAB3">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招标文件要求</w:t>
            </w:r>
          </w:p>
        </w:tc>
        <w:tc>
          <w:tcPr>
            <w:tcW w:w="2108" w:type="dxa"/>
            <w:tcBorders>
              <w:top w:val="single" w:color="auto" w:sz="6" w:space="0"/>
              <w:left w:val="single" w:color="auto" w:sz="4" w:space="0"/>
              <w:bottom w:val="single" w:color="auto" w:sz="6" w:space="0"/>
              <w:right w:val="single" w:color="auto" w:sz="6" w:space="0"/>
            </w:tcBorders>
            <w:noWrap w:val="0"/>
            <w:vAlign w:val="center"/>
          </w:tcPr>
          <w:p w14:paraId="30606F14">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投标文件实际情况</w:t>
            </w:r>
          </w:p>
        </w:tc>
        <w:tc>
          <w:tcPr>
            <w:tcW w:w="2333" w:type="dxa"/>
            <w:tcBorders>
              <w:top w:val="single" w:color="auto" w:sz="6" w:space="0"/>
              <w:left w:val="single" w:color="auto" w:sz="6" w:space="0"/>
              <w:bottom w:val="single" w:color="auto" w:sz="6" w:space="0"/>
              <w:right w:val="single" w:color="auto" w:sz="6" w:space="0"/>
            </w:tcBorders>
            <w:noWrap w:val="0"/>
            <w:vAlign w:val="center"/>
          </w:tcPr>
          <w:p w14:paraId="53CC8967">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偏差内容</w:t>
            </w:r>
          </w:p>
        </w:tc>
        <w:tc>
          <w:tcPr>
            <w:tcW w:w="1886" w:type="dxa"/>
            <w:tcBorders>
              <w:top w:val="single" w:color="auto" w:sz="6" w:space="0"/>
              <w:left w:val="single" w:color="auto" w:sz="6" w:space="0"/>
              <w:bottom w:val="single" w:color="auto" w:sz="6" w:space="0"/>
              <w:right w:val="single" w:color="auto" w:sz="6" w:space="0"/>
            </w:tcBorders>
            <w:noWrap w:val="0"/>
            <w:vAlign w:val="center"/>
          </w:tcPr>
          <w:p w14:paraId="34A9A561">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说明（正偏离/负偏离/无偏离）</w:t>
            </w:r>
          </w:p>
        </w:tc>
      </w:tr>
      <w:tr w14:paraId="0B6A25B8">
        <w:tblPrEx>
          <w:tblCellMar>
            <w:top w:w="0" w:type="dxa"/>
            <w:left w:w="108" w:type="dxa"/>
            <w:bottom w:w="0" w:type="dxa"/>
            <w:right w:w="108" w:type="dxa"/>
          </w:tblCellMar>
        </w:tblPrEx>
        <w:trPr>
          <w:trHeight w:val="599" w:hRule="atLeast"/>
          <w:jc w:val="center"/>
        </w:trPr>
        <w:tc>
          <w:tcPr>
            <w:tcW w:w="945" w:type="dxa"/>
            <w:tcBorders>
              <w:top w:val="single" w:color="auto" w:sz="6" w:space="0"/>
              <w:left w:val="single" w:color="auto" w:sz="6" w:space="0"/>
              <w:bottom w:val="single" w:color="auto" w:sz="6" w:space="0"/>
              <w:right w:val="single" w:color="auto" w:sz="6" w:space="0"/>
            </w:tcBorders>
            <w:noWrap w:val="0"/>
            <w:vAlign w:val="center"/>
          </w:tcPr>
          <w:p w14:paraId="6305AA97">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1</w:t>
            </w:r>
          </w:p>
        </w:tc>
        <w:tc>
          <w:tcPr>
            <w:tcW w:w="2108" w:type="dxa"/>
            <w:tcBorders>
              <w:top w:val="single" w:color="auto" w:sz="6" w:space="0"/>
              <w:left w:val="single" w:color="auto" w:sz="6" w:space="0"/>
              <w:bottom w:val="single" w:color="auto" w:sz="6" w:space="0"/>
              <w:right w:val="single" w:color="auto" w:sz="4" w:space="0"/>
            </w:tcBorders>
            <w:noWrap w:val="0"/>
            <w:vAlign w:val="center"/>
          </w:tcPr>
          <w:p w14:paraId="7D913E55">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108" w:type="dxa"/>
            <w:tcBorders>
              <w:top w:val="single" w:color="auto" w:sz="6" w:space="0"/>
              <w:left w:val="single" w:color="auto" w:sz="4" w:space="0"/>
              <w:bottom w:val="single" w:color="auto" w:sz="6" w:space="0"/>
              <w:right w:val="single" w:color="auto" w:sz="6" w:space="0"/>
            </w:tcBorders>
            <w:noWrap w:val="0"/>
            <w:vAlign w:val="center"/>
          </w:tcPr>
          <w:p w14:paraId="42D93C91">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333" w:type="dxa"/>
            <w:tcBorders>
              <w:top w:val="single" w:color="auto" w:sz="6" w:space="0"/>
              <w:left w:val="single" w:color="auto" w:sz="6" w:space="0"/>
              <w:bottom w:val="single" w:color="auto" w:sz="6" w:space="0"/>
              <w:right w:val="single" w:color="auto" w:sz="6" w:space="0"/>
            </w:tcBorders>
            <w:noWrap w:val="0"/>
            <w:vAlign w:val="center"/>
          </w:tcPr>
          <w:p w14:paraId="29D4539A">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1886" w:type="dxa"/>
            <w:tcBorders>
              <w:top w:val="single" w:color="auto" w:sz="6" w:space="0"/>
              <w:left w:val="single" w:color="auto" w:sz="6" w:space="0"/>
              <w:bottom w:val="single" w:color="auto" w:sz="6" w:space="0"/>
              <w:right w:val="single" w:color="auto" w:sz="6" w:space="0"/>
            </w:tcBorders>
            <w:noWrap w:val="0"/>
            <w:vAlign w:val="center"/>
          </w:tcPr>
          <w:p w14:paraId="74715B0D">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r>
      <w:tr w14:paraId="30824803">
        <w:tblPrEx>
          <w:tblCellMar>
            <w:top w:w="0" w:type="dxa"/>
            <w:left w:w="108" w:type="dxa"/>
            <w:bottom w:w="0" w:type="dxa"/>
            <w:right w:w="108" w:type="dxa"/>
          </w:tblCellMar>
        </w:tblPrEx>
        <w:trPr>
          <w:trHeight w:val="599" w:hRule="atLeast"/>
          <w:jc w:val="center"/>
        </w:trPr>
        <w:tc>
          <w:tcPr>
            <w:tcW w:w="945" w:type="dxa"/>
            <w:tcBorders>
              <w:top w:val="single" w:color="auto" w:sz="6" w:space="0"/>
              <w:left w:val="single" w:color="auto" w:sz="6" w:space="0"/>
              <w:bottom w:val="single" w:color="auto" w:sz="6" w:space="0"/>
              <w:right w:val="single" w:color="auto" w:sz="6" w:space="0"/>
            </w:tcBorders>
            <w:noWrap w:val="0"/>
            <w:vAlign w:val="center"/>
          </w:tcPr>
          <w:p w14:paraId="67B88E50">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2</w:t>
            </w:r>
          </w:p>
        </w:tc>
        <w:tc>
          <w:tcPr>
            <w:tcW w:w="2108" w:type="dxa"/>
            <w:tcBorders>
              <w:top w:val="single" w:color="auto" w:sz="6" w:space="0"/>
              <w:left w:val="single" w:color="auto" w:sz="6" w:space="0"/>
              <w:bottom w:val="single" w:color="auto" w:sz="6" w:space="0"/>
              <w:right w:val="single" w:color="auto" w:sz="4" w:space="0"/>
            </w:tcBorders>
            <w:noWrap w:val="0"/>
            <w:vAlign w:val="center"/>
          </w:tcPr>
          <w:p w14:paraId="56B8368E">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108" w:type="dxa"/>
            <w:tcBorders>
              <w:top w:val="single" w:color="auto" w:sz="6" w:space="0"/>
              <w:left w:val="single" w:color="auto" w:sz="4" w:space="0"/>
              <w:bottom w:val="single" w:color="auto" w:sz="6" w:space="0"/>
              <w:right w:val="single" w:color="auto" w:sz="6" w:space="0"/>
            </w:tcBorders>
            <w:noWrap w:val="0"/>
            <w:vAlign w:val="center"/>
          </w:tcPr>
          <w:p w14:paraId="39B4065B">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333" w:type="dxa"/>
            <w:tcBorders>
              <w:top w:val="single" w:color="auto" w:sz="6" w:space="0"/>
              <w:left w:val="single" w:color="auto" w:sz="6" w:space="0"/>
              <w:bottom w:val="single" w:color="auto" w:sz="6" w:space="0"/>
              <w:right w:val="single" w:color="auto" w:sz="6" w:space="0"/>
            </w:tcBorders>
            <w:noWrap w:val="0"/>
            <w:vAlign w:val="center"/>
          </w:tcPr>
          <w:p w14:paraId="0721F442">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1886" w:type="dxa"/>
            <w:tcBorders>
              <w:top w:val="single" w:color="auto" w:sz="6" w:space="0"/>
              <w:left w:val="single" w:color="auto" w:sz="6" w:space="0"/>
              <w:bottom w:val="single" w:color="auto" w:sz="6" w:space="0"/>
              <w:right w:val="single" w:color="auto" w:sz="6" w:space="0"/>
            </w:tcBorders>
            <w:noWrap w:val="0"/>
            <w:vAlign w:val="center"/>
          </w:tcPr>
          <w:p w14:paraId="28C489AF">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r>
      <w:tr w14:paraId="6EEE32DF">
        <w:tblPrEx>
          <w:tblCellMar>
            <w:top w:w="0" w:type="dxa"/>
            <w:left w:w="108" w:type="dxa"/>
            <w:bottom w:w="0" w:type="dxa"/>
            <w:right w:w="108" w:type="dxa"/>
          </w:tblCellMar>
        </w:tblPrEx>
        <w:trPr>
          <w:trHeight w:val="599" w:hRule="atLeast"/>
          <w:jc w:val="center"/>
        </w:trPr>
        <w:tc>
          <w:tcPr>
            <w:tcW w:w="945" w:type="dxa"/>
            <w:tcBorders>
              <w:top w:val="single" w:color="auto" w:sz="6" w:space="0"/>
              <w:left w:val="single" w:color="auto" w:sz="6" w:space="0"/>
              <w:bottom w:val="single" w:color="auto" w:sz="6" w:space="0"/>
              <w:right w:val="single" w:color="auto" w:sz="6" w:space="0"/>
            </w:tcBorders>
            <w:noWrap w:val="0"/>
            <w:vAlign w:val="center"/>
          </w:tcPr>
          <w:p w14:paraId="66326A06">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3</w:t>
            </w:r>
          </w:p>
        </w:tc>
        <w:tc>
          <w:tcPr>
            <w:tcW w:w="2108" w:type="dxa"/>
            <w:tcBorders>
              <w:top w:val="single" w:color="auto" w:sz="6" w:space="0"/>
              <w:left w:val="single" w:color="auto" w:sz="6" w:space="0"/>
              <w:bottom w:val="single" w:color="auto" w:sz="6" w:space="0"/>
              <w:right w:val="single" w:color="auto" w:sz="4" w:space="0"/>
            </w:tcBorders>
            <w:noWrap w:val="0"/>
            <w:vAlign w:val="center"/>
          </w:tcPr>
          <w:p w14:paraId="2E9CB911">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108" w:type="dxa"/>
            <w:tcBorders>
              <w:top w:val="single" w:color="auto" w:sz="6" w:space="0"/>
              <w:left w:val="single" w:color="auto" w:sz="4" w:space="0"/>
              <w:bottom w:val="single" w:color="auto" w:sz="6" w:space="0"/>
              <w:right w:val="single" w:color="auto" w:sz="6" w:space="0"/>
            </w:tcBorders>
            <w:noWrap w:val="0"/>
            <w:vAlign w:val="center"/>
          </w:tcPr>
          <w:p w14:paraId="7097F8B7">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333" w:type="dxa"/>
            <w:tcBorders>
              <w:top w:val="single" w:color="auto" w:sz="6" w:space="0"/>
              <w:left w:val="single" w:color="auto" w:sz="6" w:space="0"/>
              <w:bottom w:val="single" w:color="auto" w:sz="6" w:space="0"/>
              <w:right w:val="single" w:color="auto" w:sz="6" w:space="0"/>
            </w:tcBorders>
            <w:noWrap w:val="0"/>
            <w:vAlign w:val="center"/>
          </w:tcPr>
          <w:p w14:paraId="4FBEC3AD">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1886" w:type="dxa"/>
            <w:tcBorders>
              <w:top w:val="single" w:color="auto" w:sz="6" w:space="0"/>
              <w:left w:val="single" w:color="auto" w:sz="6" w:space="0"/>
              <w:bottom w:val="single" w:color="auto" w:sz="6" w:space="0"/>
              <w:right w:val="single" w:color="auto" w:sz="6" w:space="0"/>
            </w:tcBorders>
            <w:noWrap w:val="0"/>
            <w:vAlign w:val="center"/>
          </w:tcPr>
          <w:p w14:paraId="63F38DF8">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r>
      <w:tr w14:paraId="5E1D0B35">
        <w:tblPrEx>
          <w:tblCellMar>
            <w:top w:w="0" w:type="dxa"/>
            <w:left w:w="108" w:type="dxa"/>
            <w:bottom w:w="0" w:type="dxa"/>
            <w:right w:w="108" w:type="dxa"/>
          </w:tblCellMar>
        </w:tblPrEx>
        <w:trPr>
          <w:trHeight w:val="599" w:hRule="atLeast"/>
          <w:jc w:val="center"/>
        </w:trPr>
        <w:tc>
          <w:tcPr>
            <w:tcW w:w="945" w:type="dxa"/>
            <w:tcBorders>
              <w:top w:val="single" w:color="auto" w:sz="6" w:space="0"/>
              <w:left w:val="single" w:color="auto" w:sz="6" w:space="0"/>
              <w:bottom w:val="single" w:color="auto" w:sz="6" w:space="0"/>
              <w:right w:val="single" w:color="auto" w:sz="6" w:space="0"/>
            </w:tcBorders>
            <w:noWrap w:val="0"/>
            <w:vAlign w:val="center"/>
          </w:tcPr>
          <w:p w14:paraId="10659298">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4</w:t>
            </w:r>
          </w:p>
        </w:tc>
        <w:tc>
          <w:tcPr>
            <w:tcW w:w="2108" w:type="dxa"/>
            <w:tcBorders>
              <w:top w:val="single" w:color="auto" w:sz="6" w:space="0"/>
              <w:left w:val="single" w:color="auto" w:sz="6" w:space="0"/>
              <w:bottom w:val="single" w:color="auto" w:sz="6" w:space="0"/>
              <w:right w:val="single" w:color="auto" w:sz="4" w:space="0"/>
            </w:tcBorders>
            <w:noWrap w:val="0"/>
            <w:vAlign w:val="center"/>
          </w:tcPr>
          <w:p w14:paraId="7CABDF59">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108" w:type="dxa"/>
            <w:tcBorders>
              <w:top w:val="single" w:color="auto" w:sz="6" w:space="0"/>
              <w:left w:val="single" w:color="auto" w:sz="4" w:space="0"/>
              <w:bottom w:val="single" w:color="auto" w:sz="6" w:space="0"/>
              <w:right w:val="single" w:color="auto" w:sz="6" w:space="0"/>
            </w:tcBorders>
            <w:noWrap w:val="0"/>
            <w:vAlign w:val="center"/>
          </w:tcPr>
          <w:p w14:paraId="7412DEED">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333" w:type="dxa"/>
            <w:tcBorders>
              <w:top w:val="single" w:color="auto" w:sz="6" w:space="0"/>
              <w:left w:val="single" w:color="auto" w:sz="6" w:space="0"/>
              <w:bottom w:val="single" w:color="auto" w:sz="6" w:space="0"/>
              <w:right w:val="single" w:color="auto" w:sz="6" w:space="0"/>
            </w:tcBorders>
            <w:noWrap w:val="0"/>
            <w:vAlign w:val="center"/>
          </w:tcPr>
          <w:p w14:paraId="0943E41C">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1886" w:type="dxa"/>
            <w:tcBorders>
              <w:top w:val="single" w:color="auto" w:sz="6" w:space="0"/>
              <w:left w:val="single" w:color="auto" w:sz="6" w:space="0"/>
              <w:bottom w:val="nil"/>
              <w:right w:val="single" w:color="auto" w:sz="6" w:space="0"/>
            </w:tcBorders>
            <w:noWrap w:val="0"/>
            <w:vAlign w:val="center"/>
          </w:tcPr>
          <w:p w14:paraId="47E8C10B">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r>
      <w:tr w14:paraId="118B9038">
        <w:tblPrEx>
          <w:tblCellMar>
            <w:top w:w="0" w:type="dxa"/>
            <w:left w:w="108" w:type="dxa"/>
            <w:bottom w:w="0" w:type="dxa"/>
            <w:right w:w="108" w:type="dxa"/>
          </w:tblCellMar>
        </w:tblPrEx>
        <w:trPr>
          <w:trHeight w:val="599" w:hRule="atLeast"/>
          <w:jc w:val="center"/>
        </w:trPr>
        <w:tc>
          <w:tcPr>
            <w:tcW w:w="945" w:type="dxa"/>
            <w:tcBorders>
              <w:top w:val="single" w:color="auto" w:sz="6" w:space="0"/>
              <w:left w:val="single" w:color="auto" w:sz="6" w:space="0"/>
              <w:bottom w:val="single" w:color="auto" w:sz="6" w:space="0"/>
              <w:right w:val="single" w:color="auto" w:sz="6" w:space="0"/>
            </w:tcBorders>
            <w:noWrap w:val="0"/>
            <w:vAlign w:val="center"/>
          </w:tcPr>
          <w:p w14:paraId="1CD4D0E5">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5</w:t>
            </w:r>
          </w:p>
        </w:tc>
        <w:tc>
          <w:tcPr>
            <w:tcW w:w="2108" w:type="dxa"/>
            <w:tcBorders>
              <w:top w:val="single" w:color="auto" w:sz="6" w:space="0"/>
              <w:left w:val="single" w:color="auto" w:sz="6" w:space="0"/>
              <w:bottom w:val="single" w:color="auto" w:sz="6" w:space="0"/>
              <w:right w:val="single" w:color="auto" w:sz="4" w:space="0"/>
            </w:tcBorders>
            <w:noWrap w:val="0"/>
            <w:vAlign w:val="center"/>
          </w:tcPr>
          <w:p w14:paraId="57105FD4">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108" w:type="dxa"/>
            <w:tcBorders>
              <w:top w:val="single" w:color="auto" w:sz="6" w:space="0"/>
              <w:left w:val="single" w:color="auto" w:sz="4" w:space="0"/>
              <w:bottom w:val="single" w:color="auto" w:sz="6" w:space="0"/>
              <w:right w:val="single" w:color="auto" w:sz="6" w:space="0"/>
            </w:tcBorders>
            <w:noWrap w:val="0"/>
            <w:vAlign w:val="center"/>
          </w:tcPr>
          <w:p w14:paraId="2DB63B3B">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333" w:type="dxa"/>
            <w:tcBorders>
              <w:top w:val="single" w:color="auto" w:sz="6" w:space="0"/>
              <w:left w:val="single" w:color="auto" w:sz="6" w:space="0"/>
              <w:bottom w:val="single" w:color="auto" w:sz="6" w:space="0"/>
              <w:right w:val="single" w:color="auto" w:sz="6" w:space="0"/>
            </w:tcBorders>
            <w:noWrap w:val="0"/>
            <w:vAlign w:val="center"/>
          </w:tcPr>
          <w:p w14:paraId="169E7D97">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1886" w:type="dxa"/>
            <w:tcBorders>
              <w:top w:val="single" w:color="auto" w:sz="6" w:space="0"/>
              <w:left w:val="single" w:color="auto" w:sz="6" w:space="0"/>
              <w:bottom w:val="single" w:color="auto" w:sz="6" w:space="0"/>
              <w:right w:val="single" w:color="auto" w:sz="6" w:space="0"/>
            </w:tcBorders>
            <w:noWrap w:val="0"/>
            <w:vAlign w:val="center"/>
          </w:tcPr>
          <w:p w14:paraId="1585683D">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r>
      <w:tr w14:paraId="58C613C9">
        <w:tblPrEx>
          <w:tblCellMar>
            <w:top w:w="0" w:type="dxa"/>
            <w:left w:w="108" w:type="dxa"/>
            <w:bottom w:w="0" w:type="dxa"/>
            <w:right w:w="108" w:type="dxa"/>
          </w:tblCellMar>
        </w:tblPrEx>
        <w:trPr>
          <w:trHeight w:val="599" w:hRule="atLeast"/>
          <w:jc w:val="center"/>
        </w:trPr>
        <w:tc>
          <w:tcPr>
            <w:tcW w:w="945" w:type="dxa"/>
            <w:tcBorders>
              <w:top w:val="single" w:color="auto" w:sz="6" w:space="0"/>
              <w:left w:val="single" w:color="auto" w:sz="6" w:space="0"/>
              <w:bottom w:val="single" w:color="auto" w:sz="6" w:space="0"/>
              <w:right w:val="single" w:color="auto" w:sz="6" w:space="0"/>
            </w:tcBorders>
            <w:noWrap w:val="0"/>
            <w:vAlign w:val="center"/>
          </w:tcPr>
          <w:p w14:paraId="6C6D5185">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w:t>
            </w:r>
          </w:p>
        </w:tc>
        <w:tc>
          <w:tcPr>
            <w:tcW w:w="2108" w:type="dxa"/>
            <w:tcBorders>
              <w:top w:val="single" w:color="auto" w:sz="6" w:space="0"/>
              <w:left w:val="single" w:color="auto" w:sz="6" w:space="0"/>
              <w:bottom w:val="single" w:color="auto" w:sz="6" w:space="0"/>
              <w:right w:val="single" w:color="auto" w:sz="4" w:space="0"/>
            </w:tcBorders>
            <w:noWrap w:val="0"/>
            <w:vAlign w:val="center"/>
          </w:tcPr>
          <w:p w14:paraId="59B7D124">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108" w:type="dxa"/>
            <w:tcBorders>
              <w:top w:val="single" w:color="auto" w:sz="6" w:space="0"/>
              <w:left w:val="single" w:color="auto" w:sz="4" w:space="0"/>
              <w:bottom w:val="single" w:color="auto" w:sz="6" w:space="0"/>
              <w:right w:val="single" w:color="auto" w:sz="6" w:space="0"/>
            </w:tcBorders>
            <w:noWrap w:val="0"/>
            <w:vAlign w:val="center"/>
          </w:tcPr>
          <w:p w14:paraId="462BFE3F">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333" w:type="dxa"/>
            <w:tcBorders>
              <w:top w:val="single" w:color="auto" w:sz="6" w:space="0"/>
              <w:left w:val="single" w:color="auto" w:sz="6" w:space="0"/>
              <w:bottom w:val="single" w:color="auto" w:sz="6" w:space="0"/>
              <w:right w:val="single" w:color="auto" w:sz="6" w:space="0"/>
            </w:tcBorders>
            <w:noWrap w:val="0"/>
            <w:vAlign w:val="center"/>
          </w:tcPr>
          <w:p w14:paraId="42198B5E">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1886" w:type="dxa"/>
            <w:tcBorders>
              <w:top w:val="single" w:color="auto" w:sz="6" w:space="0"/>
              <w:left w:val="single" w:color="auto" w:sz="6" w:space="0"/>
              <w:bottom w:val="single" w:color="auto" w:sz="6" w:space="0"/>
              <w:right w:val="single" w:color="auto" w:sz="6" w:space="0"/>
            </w:tcBorders>
            <w:noWrap w:val="0"/>
            <w:vAlign w:val="center"/>
          </w:tcPr>
          <w:p w14:paraId="0307E353">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r>
    </w:tbl>
    <w:p w14:paraId="4458F5AE">
      <w:pPr>
        <w:pageBreakBefore w:val="0"/>
        <w:kinsoku/>
        <w:wordWrap/>
        <w:overflowPunct/>
        <w:autoSpaceDE w:val="0"/>
        <w:autoSpaceDN w:val="0"/>
        <w:bidi w:val="0"/>
        <w:spacing w:line="360" w:lineRule="auto"/>
        <w:ind w:left="0" w:leftChars="0" w:right="0" w:rightChars="0"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注：1.如投标人在响应表中无注明，投标文件与招标文件不一致或差异，以招标文</w:t>
      </w:r>
    </w:p>
    <w:p w14:paraId="052F219F">
      <w:pPr>
        <w:pageBreakBefore w:val="0"/>
        <w:kinsoku/>
        <w:wordWrap/>
        <w:overflowPunct/>
        <w:autoSpaceDE w:val="0"/>
        <w:autoSpaceDN w:val="0"/>
        <w:bidi w:val="0"/>
        <w:spacing w:line="360" w:lineRule="auto"/>
        <w:ind w:left="0" w:leftChars="0" w:right="0" w:rightChars="0"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件为准。</w:t>
      </w:r>
    </w:p>
    <w:p w14:paraId="33A6F5E2">
      <w:pPr>
        <w:pageBreakBefore w:val="0"/>
        <w:kinsoku/>
        <w:wordWrap/>
        <w:overflowPunct/>
        <w:autoSpaceDE w:val="0"/>
        <w:autoSpaceDN w:val="0"/>
        <w:bidi w:val="0"/>
        <w:spacing w:line="360" w:lineRule="auto"/>
        <w:ind w:left="0" w:leftChars="0" w:right="0" w:rightChars="0"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2.商务响应中供货期、付款方式、质保期条款的负偏离视为不响应招标文件的实质</w:t>
      </w:r>
    </w:p>
    <w:p w14:paraId="6DE034F6">
      <w:pPr>
        <w:pageBreakBefore w:val="0"/>
        <w:kinsoku/>
        <w:wordWrap/>
        <w:overflowPunct/>
        <w:autoSpaceDE w:val="0"/>
        <w:autoSpaceDN w:val="0"/>
        <w:bidi w:val="0"/>
        <w:spacing w:line="360" w:lineRule="auto"/>
        <w:ind w:left="0" w:leftChars="0" w:right="0" w:rightChars="0"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性要求。</w:t>
      </w:r>
    </w:p>
    <w:p w14:paraId="4E8B9A95">
      <w:pPr>
        <w:spacing w:before="60" w:after="60" w:line="460" w:lineRule="exact"/>
        <w:jc w:val="center"/>
        <w:outlineLvl w:val="1"/>
        <w:rPr>
          <w:rFonts w:hint="eastAsia" w:ascii="宋体" w:hAnsi="宋体" w:eastAsia="宋体" w:cs="宋体"/>
          <w:b/>
          <w:bCs w:val="0"/>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bCs w:val="0"/>
          <w:color w:val="000000" w:themeColor="text1"/>
          <w:kern w:val="2"/>
          <w:sz w:val="28"/>
          <w:szCs w:val="28"/>
          <w:highlight w:val="none"/>
          <w:lang w:val="zh-CN" w:eastAsia="zh-CN" w:bidi="ar-SA"/>
          <w14:textFill>
            <w14:solidFill>
              <w14:schemeClr w14:val="tx1"/>
            </w14:solidFill>
          </w14:textFill>
        </w:rPr>
        <w:t>技术响应表</w:t>
      </w:r>
    </w:p>
    <w:p w14:paraId="16B5CBBE">
      <w:pPr>
        <w:pageBreakBefore w:val="0"/>
        <w:kinsoku/>
        <w:wordWrap/>
        <w:overflowPunct/>
        <w:bidi w:val="0"/>
        <w:spacing w:line="360" w:lineRule="auto"/>
        <w:ind w:right="0" w:rightChars="0"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招标编号：</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p>
    <w:tbl>
      <w:tblPr>
        <w:tblStyle w:val="76"/>
        <w:tblW w:w="9315" w:type="dxa"/>
        <w:jc w:val="center"/>
        <w:tblLayout w:type="fixed"/>
        <w:tblCellMar>
          <w:top w:w="0" w:type="dxa"/>
          <w:left w:w="108" w:type="dxa"/>
          <w:bottom w:w="0" w:type="dxa"/>
          <w:right w:w="108" w:type="dxa"/>
        </w:tblCellMar>
      </w:tblPr>
      <w:tblGrid>
        <w:gridCol w:w="844"/>
        <w:gridCol w:w="2117"/>
        <w:gridCol w:w="2117"/>
        <w:gridCol w:w="2340"/>
        <w:gridCol w:w="1897"/>
      </w:tblGrid>
      <w:tr w14:paraId="095CA8C1">
        <w:tblPrEx>
          <w:tblCellMar>
            <w:top w:w="0" w:type="dxa"/>
            <w:left w:w="108" w:type="dxa"/>
            <w:bottom w:w="0" w:type="dxa"/>
            <w:right w:w="108" w:type="dxa"/>
          </w:tblCellMar>
        </w:tblPrEx>
        <w:trPr>
          <w:trHeight w:val="510" w:hRule="atLeast"/>
          <w:jc w:val="center"/>
        </w:trPr>
        <w:tc>
          <w:tcPr>
            <w:tcW w:w="844" w:type="dxa"/>
            <w:tcBorders>
              <w:top w:val="single" w:color="auto" w:sz="6" w:space="0"/>
              <w:left w:val="single" w:color="auto" w:sz="6" w:space="0"/>
              <w:bottom w:val="single" w:color="auto" w:sz="6" w:space="0"/>
              <w:right w:val="single" w:color="auto" w:sz="6" w:space="0"/>
            </w:tcBorders>
            <w:noWrap w:val="0"/>
            <w:vAlign w:val="center"/>
          </w:tcPr>
          <w:p w14:paraId="2390641E">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序号</w:t>
            </w:r>
          </w:p>
        </w:tc>
        <w:tc>
          <w:tcPr>
            <w:tcW w:w="2117" w:type="dxa"/>
            <w:tcBorders>
              <w:top w:val="single" w:color="auto" w:sz="6" w:space="0"/>
              <w:left w:val="single" w:color="auto" w:sz="6" w:space="0"/>
              <w:bottom w:val="single" w:color="auto" w:sz="6" w:space="0"/>
              <w:right w:val="single" w:color="auto" w:sz="4" w:space="0"/>
            </w:tcBorders>
            <w:noWrap w:val="0"/>
            <w:vAlign w:val="center"/>
          </w:tcPr>
          <w:p w14:paraId="7DDDFD3F">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招标文件要求</w:t>
            </w:r>
          </w:p>
        </w:tc>
        <w:tc>
          <w:tcPr>
            <w:tcW w:w="2117" w:type="dxa"/>
            <w:tcBorders>
              <w:top w:val="single" w:color="auto" w:sz="6" w:space="0"/>
              <w:left w:val="single" w:color="auto" w:sz="4" w:space="0"/>
              <w:bottom w:val="single" w:color="auto" w:sz="6" w:space="0"/>
              <w:right w:val="single" w:color="auto" w:sz="6" w:space="0"/>
            </w:tcBorders>
            <w:noWrap w:val="0"/>
            <w:vAlign w:val="center"/>
          </w:tcPr>
          <w:p w14:paraId="33B6E6AC">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投标文件实际情况</w:t>
            </w:r>
          </w:p>
        </w:tc>
        <w:tc>
          <w:tcPr>
            <w:tcW w:w="2340" w:type="dxa"/>
            <w:tcBorders>
              <w:top w:val="single" w:color="auto" w:sz="6" w:space="0"/>
              <w:left w:val="single" w:color="auto" w:sz="6" w:space="0"/>
              <w:bottom w:val="single" w:color="auto" w:sz="6" w:space="0"/>
              <w:right w:val="single" w:color="auto" w:sz="6" w:space="0"/>
            </w:tcBorders>
            <w:noWrap w:val="0"/>
            <w:vAlign w:val="center"/>
          </w:tcPr>
          <w:p w14:paraId="0C907363">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偏差内容</w:t>
            </w:r>
          </w:p>
        </w:tc>
        <w:tc>
          <w:tcPr>
            <w:tcW w:w="1897" w:type="dxa"/>
            <w:tcBorders>
              <w:top w:val="single" w:color="auto" w:sz="6" w:space="0"/>
              <w:left w:val="single" w:color="auto" w:sz="6" w:space="0"/>
              <w:bottom w:val="single" w:color="auto" w:sz="6" w:space="0"/>
              <w:right w:val="single" w:color="auto" w:sz="6" w:space="0"/>
            </w:tcBorders>
            <w:noWrap w:val="0"/>
            <w:vAlign w:val="center"/>
          </w:tcPr>
          <w:p w14:paraId="10C0470D">
            <w:pPr>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说明（正偏离/负偏离/无偏离）</w:t>
            </w:r>
          </w:p>
        </w:tc>
      </w:tr>
      <w:tr w14:paraId="5003A328">
        <w:tblPrEx>
          <w:tblCellMar>
            <w:top w:w="0" w:type="dxa"/>
            <w:left w:w="108" w:type="dxa"/>
            <w:bottom w:w="0" w:type="dxa"/>
            <w:right w:w="108" w:type="dxa"/>
          </w:tblCellMar>
        </w:tblPrEx>
        <w:trPr>
          <w:trHeight w:val="510" w:hRule="atLeast"/>
          <w:jc w:val="center"/>
        </w:trPr>
        <w:tc>
          <w:tcPr>
            <w:tcW w:w="844" w:type="dxa"/>
            <w:tcBorders>
              <w:top w:val="single" w:color="auto" w:sz="6" w:space="0"/>
              <w:left w:val="single" w:color="auto" w:sz="6" w:space="0"/>
              <w:bottom w:val="single" w:color="auto" w:sz="6" w:space="0"/>
              <w:right w:val="single" w:color="auto" w:sz="6" w:space="0"/>
            </w:tcBorders>
            <w:noWrap w:val="0"/>
            <w:vAlign w:val="center"/>
          </w:tcPr>
          <w:p w14:paraId="2FC36FD0">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1</w:t>
            </w:r>
          </w:p>
        </w:tc>
        <w:tc>
          <w:tcPr>
            <w:tcW w:w="2117" w:type="dxa"/>
            <w:tcBorders>
              <w:top w:val="single" w:color="auto" w:sz="6" w:space="0"/>
              <w:left w:val="single" w:color="auto" w:sz="6" w:space="0"/>
              <w:bottom w:val="single" w:color="auto" w:sz="6" w:space="0"/>
              <w:right w:val="single" w:color="auto" w:sz="4" w:space="0"/>
            </w:tcBorders>
            <w:noWrap w:val="0"/>
            <w:vAlign w:val="center"/>
          </w:tcPr>
          <w:p w14:paraId="28AAD697">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117" w:type="dxa"/>
            <w:tcBorders>
              <w:top w:val="single" w:color="auto" w:sz="6" w:space="0"/>
              <w:left w:val="single" w:color="auto" w:sz="4" w:space="0"/>
              <w:bottom w:val="single" w:color="auto" w:sz="6" w:space="0"/>
              <w:right w:val="single" w:color="auto" w:sz="6" w:space="0"/>
            </w:tcBorders>
            <w:noWrap w:val="0"/>
            <w:vAlign w:val="center"/>
          </w:tcPr>
          <w:p w14:paraId="0FEEF042">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340" w:type="dxa"/>
            <w:tcBorders>
              <w:top w:val="single" w:color="auto" w:sz="6" w:space="0"/>
              <w:left w:val="single" w:color="auto" w:sz="6" w:space="0"/>
              <w:bottom w:val="single" w:color="auto" w:sz="6" w:space="0"/>
              <w:right w:val="single" w:color="auto" w:sz="6" w:space="0"/>
            </w:tcBorders>
            <w:noWrap w:val="0"/>
            <w:vAlign w:val="center"/>
          </w:tcPr>
          <w:p w14:paraId="4BB286E4">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1897" w:type="dxa"/>
            <w:tcBorders>
              <w:top w:val="single" w:color="auto" w:sz="6" w:space="0"/>
              <w:left w:val="single" w:color="auto" w:sz="6" w:space="0"/>
              <w:bottom w:val="single" w:color="auto" w:sz="6" w:space="0"/>
              <w:right w:val="single" w:color="auto" w:sz="6" w:space="0"/>
            </w:tcBorders>
            <w:noWrap w:val="0"/>
            <w:vAlign w:val="center"/>
          </w:tcPr>
          <w:p w14:paraId="37046E69">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r>
      <w:tr w14:paraId="615BF56C">
        <w:tblPrEx>
          <w:tblCellMar>
            <w:top w:w="0" w:type="dxa"/>
            <w:left w:w="108" w:type="dxa"/>
            <w:bottom w:w="0" w:type="dxa"/>
            <w:right w:w="108" w:type="dxa"/>
          </w:tblCellMar>
        </w:tblPrEx>
        <w:trPr>
          <w:trHeight w:val="510" w:hRule="atLeast"/>
          <w:jc w:val="center"/>
        </w:trPr>
        <w:tc>
          <w:tcPr>
            <w:tcW w:w="844" w:type="dxa"/>
            <w:tcBorders>
              <w:top w:val="single" w:color="auto" w:sz="6" w:space="0"/>
              <w:left w:val="single" w:color="auto" w:sz="6" w:space="0"/>
              <w:bottom w:val="single" w:color="auto" w:sz="6" w:space="0"/>
              <w:right w:val="single" w:color="auto" w:sz="6" w:space="0"/>
            </w:tcBorders>
            <w:noWrap w:val="0"/>
            <w:vAlign w:val="center"/>
          </w:tcPr>
          <w:p w14:paraId="7EFCA27C">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2</w:t>
            </w:r>
          </w:p>
        </w:tc>
        <w:tc>
          <w:tcPr>
            <w:tcW w:w="2117" w:type="dxa"/>
            <w:tcBorders>
              <w:top w:val="single" w:color="auto" w:sz="6" w:space="0"/>
              <w:left w:val="single" w:color="auto" w:sz="6" w:space="0"/>
              <w:bottom w:val="single" w:color="auto" w:sz="6" w:space="0"/>
              <w:right w:val="single" w:color="auto" w:sz="4" w:space="0"/>
            </w:tcBorders>
            <w:noWrap w:val="0"/>
            <w:vAlign w:val="center"/>
          </w:tcPr>
          <w:p w14:paraId="373B0C69">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117" w:type="dxa"/>
            <w:tcBorders>
              <w:top w:val="single" w:color="auto" w:sz="6" w:space="0"/>
              <w:left w:val="single" w:color="auto" w:sz="4" w:space="0"/>
              <w:bottom w:val="single" w:color="auto" w:sz="6" w:space="0"/>
              <w:right w:val="single" w:color="auto" w:sz="6" w:space="0"/>
            </w:tcBorders>
            <w:noWrap w:val="0"/>
            <w:vAlign w:val="center"/>
          </w:tcPr>
          <w:p w14:paraId="630C45E4">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340" w:type="dxa"/>
            <w:tcBorders>
              <w:top w:val="single" w:color="auto" w:sz="6" w:space="0"/>
              <w:left w:val="single" w:color="auto" w:sz="6" w:space="0"/>
              <w:bottom w:val="single" w:color="auto" w:sz="6" w:space="0"/>
              <w:right w:val="single" w:color="auto" w:sz="6" w:space="0"/>
            </w:tcBorders>
            <w:noWrap w:val="0"/>
            <w:vAlign w:val="center"/>
          </w:tcPr>
          <w:p w14:paraId="193D75FA">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1897" w:type="dxa"/>
            <w:tcBorders>
              <w:top w:val="single" w:color="auto" w:sz="6" w:space="0"/>
              <w:left w:val="single" w:color="auto" w:sz="6" w:space="0"/>
              <w:bottom w:val="single" w:color="auto" w:sz="6" w:space="0"/>
              <w:right w:val="single" w:color="auto" w:sz="6" w:space="0"/>
            </w:tcBorders>
            <w:noWrap w:val="0"/>
            <w:vAlign w:val="center"/>
          </w:tcPr>
          <w:p w14:paraId="41AD771D">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r>
      <w:tr w14:paraId="733C845A">
        <w:tblPrEx>
          <w:tblCellMar>
            <w:top w:w="0" w:type="dxa"/>
            <w:left w:w="108" w:type="dxa"/>
            <w:bottom w:w="0" w:type="dxa"/>
            <w:right w:w="108" w:type="dxa"/>
          </w:tblCellMar>
        </w:tblPrEx>
        <w:trPr>
          <w:trHeight w:val="510" w:hRule="atLeast"/>
          <w:jc w:val="center"/>
        </w:trPr>
        <w:tc>
          <w:tcPr>
            <w:tcW w:w="844" w:type="dxa"/>
            <w:tcBorders>
              <w:top w:val="single" w:color="auto" w:sz="6" w:space="0"/>
              <w:left w:val="single" w:color="auto" w:sz="6" w:space="0"/>
              <w:bottom w:val="single" w:color="auto" w:sz="6" w:space="0"/>
              <w:right w:val="single" w:color="auto" w:sz="6" w:space="0"/>
            </w:tcBorders>
            <w:noWrap w:val="0"/>
            <w:vAlign w:val="center"/>
          </w:tcPr>
          <w:p w14:paraId="429929FD">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3</w:t>
            </w:r>
          </w:p>
        </w:tc>
        <w:tc>
          <w:tcPr>
            <w:tcW w:w="2117" w:type="dxa"/>
            <w:tcBorders>
              <w:top w:val="single" w:color="auto" w:sz="6" w:space="0"/>
              <w:left w:val="single" w:color="auto" w:sz="6" w:space="0"/>
              <w:bottom w:val="single" w:color="auto" w:sz="6" w:space="0"/>
              <w:right w:val="single" w:color="auto" w:sz="4" w:space="0"/>
            </w:tcBorders>
            <w:noWrap w:val="0"/>
            <w:vAlign w:val="center"/>
          </w:tcPr>
          <w:p w14:paraId="3A90A629">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117" w:type="dxa"/>
            <w:tcBorders>
              <w:top w:val="single" w:color="auto" w:sz="6" w:space="0"/>
              <w:left w:val="single" w:color="auto" w:sz="4" w:space="0"/>
              <w:bottom w:val="single" w:color="auto" w:sz="6" w:space="0"/>
              <w:right w:val="single" w:color="auto" w:sz="6" w:space="0"/>
            </w:tcBorders>
            <w:noWrap w:val="0"/>
            <w:vAlign w:val="center"/>
          </w:tcPr>
          <w:p w14:paraId="68187965">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340" w:type="dxa"/>
            <w:tcBorders>
              <w:top w:val="single" w:color="auto" w:sz="6" w:space="0"/>
              <w:left w:val="single" w:color="auto" w:sz="6" w:space="0"/>
              <w:bottom w:val="single" w:color="auto" w:sz="6" w:space="0"/>
              <w:right w:val="single" w:color="auto" w:sz="6" w:space="0"/>
            </w:tcBorders>
            <w:noWrap w:val="0"/>
            <w:vAlign w:val="center"/>
          </w:tcPr>
          <w:p w14:paraId="597BCEA6">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1897" w:type="dxa"/>
            <w:tcBorders>
              <w:top w:val="single" w:color="auto" w:sz="6" w:space="0"/>
              <w:left w:val="single" w:color="auto" w:sz="6" w:space="0"/>
              <w:bottom w:val="single" w:color="auto" w:sz="6" w:space="0"/>
              <w:right w:val="single" w:color="auto" w:sz="6" w:space="0"/>
            </w:tcBorders>
            <w:noWrap w:val="0"/>
            <w:vAlign w:val="center"/>
          </w:tcPr>
          <w:p w14:paraId="1F50256F">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r>
      <w:tr w14:paraId="5FC4A662">
        <w:tblPrEx>
          <w:tblCellMar>
            <w:top w:w="0" w:type="dxa"/>
            <w:left w:w="108" w:type="dxa"/>
            <w:bottom w:w="0" w:type="dxa"/>
            <w:right w:w="108" w:type="dxa"/>
          </w:tblCellMar>
        </w:tblPrEx>
        <w:trPr>
          <w:trHeight w:val="510" w:hRule="atLeast"/>
          <w:jc w:val="center"/>
        </w:trPr>
        <w:tc>
          <w:tcPr>
            <w:tcW w:w="844" w:type="dxa"/>
            <w:tcBorders>
              <w:top w:val="single" w:color="auto" w:sz="6" w:space="0"/>
              <w:left w:val="single" w:color="auto" w:sz="6" w:space="0"/>
              <w:bottom w:val="single" w:color="auto" w:sz="6" w:space="0"/>
              <w:right w:val="single" w:color="auto" w:sz="6" w:space="0"/>
            </w:tcBorders>
            <w:noWrap w:val="0"/>
            <w:vAlign w:val="center"/>
          </w:tcPr>
          <w:p w14:paraId="1CF5F4E7">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4</w:t>
            </w:r>
          </w:p>
        </w:tc>
        <w:tc>
          <w:tcPr>
            <w:tcW w:w="2117" w:type="dxa"/>
            <w:tcBorders>
              <w:top w:val="single" w:color="auto" w:sz="6" w:space="0"/>
              <w:left w:val="single" w:color="auto" w:sz="6" w:space="0"/>
              <w:bottom w:val="single" w:color="auto" w:sz="6" w:space="0"/>
              <w:right w:val="single" w:color="auto" w:sz="4" w:space="0"/>
            </w:tcBorders>
            <w:noWrap w:val="0"/>
            <w:vAlign w:val="center"/>
          </w:tcPr>
          <w:p w14:paraId="6B269518">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117" w:type="dxa"/>
            <w:tcBorders>
              <w:top w:val="single" w:color="auto" w:sz="6" w:space="0"/>
              <w:left w:val="single" w:color="auto" w:sz="4" w:space="0"/>
              <w:bottom w:val="single" w:color="auto" w:sz="6" w:space="0"/>
              <w:right w:val="single" w:color="auto" w:sz="6" w:space="0"/>
            </w:tcBorders>
            <w:noWrap w:val="0"/>
            <w:vAlign w:val="center"/>
          </w:tcPr>
          <w:p w14:paraId="25B155A7">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340" w:type="dxa"/>
            <w:tcBorders>
              <w:top w:val="single" w:color="auto" w:sz="6" w:space="0"/>
              <w:left w:val="single" w:color="auto" w:sz="6" w:space="0"/>
              <w:bottom w:val="single" w:color="auto" w:sz="6" w:space="0"/>
              <w:right w:val="single" w:color="auto" w:sz="6" w:space="0"/>
            </w:tcBorders>
            <w:noWrap w:val="0"/>
            <w:vAlign w:val="center"/>
          </w:tcPr>
          <w:p w14:paraId="5DE5B740">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1897" w:type="dxa"/>
            <w:tcBorders>
              <w:top w:val="single" w:color="auto" w:sz="6" w:space="0"/>
              <w:left w:val="single" w:color="auto" w:sz="6" w:space="0"/>
              <w:bottom w:val="nil"/>
              <w:right w:val="single" w:color="auto" w:sz="6" w:space="0"/>
            </w:tcBorders>
            <w:noWrap w:val="0"/>
            <w:vAlign w:val="center"/>
          </w:tcPr>
          <w:p w14:paraId="4F68CB46">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r>
      <w:tr w14:paraId="55BE29A7">
        <w:tblPrEx>
          <w:tblCellMar>
            <w:top w:w="0" w:type="dxa"/>
            <w:left w:w="108" w:type="dxa"/>
            <w:bottom w:w="0" w:type="dxa"/>
            <w:right w:w="108" w:type="dxa"/>
          </w:tblCellMar>
        </w:tblPrEx>
        <w:trPr>
          <w:trHeight w:val="510" w:hRule="atLeast"/>
          <w:jc w:val="center"/>
        </w:trPr>
        <w:tc>
          <w:tcPr>
            <w:tcW w:w="844" w:type="dxa"/>
            <w:tcBorders>
              <w:top w:val="single" w:color="auto" w:sz="6" w:space="0"/>
              <w:left w:val="single" w:color="auto" w:sz="6" w:space="0"/>
              <w:bottom w:val="single" w:color="auto" w:sz="6" w:space="0"/>
              <w:right w:val="single" w:color="auto" w:sz="6" w:space="0"/>
            </w:tcBorders>
            <w:noWrap w:val="0"/>
            <w:vAlign w:val="center"/>
          </w:tcPr>
          <w:p w14:paraId="74213CEC">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5</w:t>
            </w:r>
          </w:p>
        </w:tc>
        <w:tc>
          <w:tcPr>
            <w:tcW w:w="2117" w:type="dxa"/>
            <w:tcBorders>
              <w:top w:val="single" w:color="auto" w:sz="6" w:space="0"/>
              <w:left w:val="single" w:color="auto" w:sz="6" w:space="0"/>
              <w:bottom w:val="single" w:color="auto" w:sz="6" w:space="0"/>
              <w:right w:val="single" w:color="auto" w:sz="4" w:space="0"/>
            </w:tcBorders>
            <w:noWrap w:val="0"/>
            <w:vAlign w:val="center"/>
          </w:tcPr>
          <w:p w14:paraId="561D4AD6">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117" w:type="dxa"/>
            <w:tcBorders>
              <w:top w:val="single" w:color="auto" w:sz="6" w:space="0"/>
              <w:left w:val="single" w:color="auto" w:sz="4" w:space="0"/>
              <w:bottom w:val="single" w:color="auto" w:sz="6" w:space="0"/>
              <w:right w:val="single" w:color="auto" w:sz="6" w:space="0"/>
            </w:tcBorders>
            <w:noWrap w:val="0"/>
            <w:vAlign w:val="center"/>
          </w:tcPr>
          <w:p w14:paraId="23DE3157">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340" w:type="dxa"/>
            <w:tcBorders>
              <w:top w:val="single" w:color="auto" w:sz="6" w:space="0"/>
              <w:left w:val="single" w:color="auto" w:sz="6" w:space="0"/>
              <w:bottom w:val="single" w:color="auto" w:sz="6" w:space="0"/>
              <w:right w:val="single" w:color="auto" w:sz="6" w:space="0"/>
            </w:tcBorders>
            <w:noWrap w:val="0"/>
            <w:vAlign w:val="center"/>
          </w:tcPr>
          <w:p w14:paraId="1683AF97">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1897" w:type="dxa"/>
            <w:tcBorders>
              <w:top w:val="single" w:color="auto" w:sz="6" w:space="0"/>
              <w:left w:val="single" w:color="auto" w:sz="6" w:space="0"/>
              <w:bottom w:val="single" w:color="auto" w:sz="6" w:space="0"/>
              <w:right w:val="single" w:color="auto" w:sz="6" w:space="0"/>
            </w:tcBorders>
            <w:noWrap w:val="0"/>
            <w:vAlign w:val="center"/>
          </w:tcPr>
          <w:p w14:paraId="5C829A4E">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r>
      <w:tr w14:paraId="3C4A4814">
        <w:tblPrEx>
          <w:tblCellMar>
            <w:top w:w="0" w:type="dxa"/>
            <w:left w:w="108" w:type="dxa"/>
            <w:bottom w:w="0" w:type="dxa"/>
            <w:right w:w="108" w:type="dxa"/>
          </w:tblCellMar>
        </w:tblPrEx>
        <w:trPr>
          <w:trHeight w:val="510" w:hRule="atLeast"/>
          <w:jc w:val="center"/>
        </w:trPr>
        <w:tc>
          <w:tcPr>
            <w:tcW w:w="844" w:type="dxa"/>
            <w:tcBorders>
              <w:top w:val="single" w:color="auto" w:sz="6" w:space="0"/>
              <w:left w:val="single" w:color="auto" w:sz="6" w:space="0"/>
              <w:bottom w:val="single" w:color="auto" w:sz="6" w:space="0"/>
              <w:right w:val="single" w:color="auto" w:sz="6" w:space="0"/>
            </w:tcBorders>
            <w:noWrap w:val="0"/>
            <w:vAlign w:val="center"/>
          </w:tcPr>
          <w:p w14:paraId="5046F448">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w:t>
            </w:r>
          </w:p>
        </w:tc>
        <w:tc>
          <w:tcPr>
            <w:tcW w:w="2117" w:type="dxa"/>
            <w:tcBorders>
              <w:top w:val="single" w:color="auto" w:sz="6" w:space="0"/>
              <w:left w:val="single" w:color="auto" w:sz="6" w:space="0"/>
              <w:bottom w:val="single" w:color="auto" w:sz="6" w:space="0"/>
              <w:right w:val="single" w:color="auto" w:sz="4" w:space="0"/>
            </w:tcBorders>
            <w:noWrap w:val="0"/>
            <w:vAlign w:val="center"/>
          </w:tcPr>
          <w:p w14:paraId="7B9B251E">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117" w:type="dxa"/>
            <w:tcBorders>
              <w:top w:val="single" w:color="auto" w:sz="6" w:space="0"/>
              <w:left w:val="single" w:color="auto" w:sz="4" w:space="0"/>
              <w:bottom w:val="single" w:color="auto" w:sz="6" w:space="0"/>
              <w:right w:val="single" w:color="auto" w:sz="6" w:space="0"/>
            </w:tcBorders>
            <w:noWrap w:val="0"/>
            <w:vAlign w:val="center"/>
          </w:tcPr>
          <w:p w14:paraId="50B34BF6">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2340" w:type="dxa"/>
            <w:tcBorders>
              <w:top w:val="single" w:color="auto" w:sz="6" w:space="0"/>
              <w:left w:val="single" w:color="auto" w:sz="6" w:space="0"/>
              <w:bottom w:val="single" w:color="auto" w:sz="6" w:space="0"/>
              <w:right w:val="single" w:color="auto" w:sz="6" w:space="0"/>
            </w:tcBorders>
            <w:noWrap w:val="0"/>
            <w:vAlign w:val="center"/>
          </w:tcPr>
          <w:p w14:paraId="3151CCDD">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1897" w:type="dxa"/>
            <w:tcBorders>
              <w:top w:val="single" w:color="auto" w:sz="6" w:space="0"/>
              <w:left w:val="single" w:color="auto" w:sz="6" w:space="0"/>
              <w:bottom w:val="single" w:color="auto" w:sz="6" w:space="0"/>
              <w:right w:val="single" w:color="auto" w:sz="6" w:space="0"/>
            </w:tcBorders>
            <w:noWrap w:val="0"/>
            <w:vAlign w:val="center"/>
          </w:tcPr>
          <w:p w14:paraId="3C3BA521">
            <w:pPr>
              <w:pageBreakBefore w:val="0"/>
              <w:kinsoku/>
              <w:wordWrap/>
              <w:overflowPunct/>
              <w:autoSpaceDE w:val="0"/>
              <w:autoSpaceDN w:val="0"/>
              <w:bidi w:val="0"/>
              <w:spacing w:line="360" w:lineRule="auto"/>
              <w:ind w:left="0" w:leftChars="0" w:right="0" w:rightChars="0"/>
              <w:jc w:val="center"/>
              <w:rPr>
                <w:rFonts w:hint="eastAsia" w:ascii="宋体" w:hAnsi="宋体" w:eastAsia="宋体" w:cs="宋体"/>
                <w:color w:val="000000" w:themeColor="text1"/>
                <w:sz w:val="21"/>
                <w:szCs w:val="21"/>
                <w:highlight w:val="none"/>
                <w:lang w:val="zh-CN"/>
                <w14:textFill>
                  <w14:solidFill>
                    <w14:schemeClr w14:val="tx1"/>
                  </w14:solidFill>
                </w14:textFill>
              </w:rPr>
            </w:pPr>
          </w:p>
        </w:tc>
      </w:tr>
    </w:tbl>
    <w:p w14:paraId="4800EE3E">
      <w:pPr>
        <w:spacing w:before="60" w:after="60" w:line="460" w:lineRule="exact"/>
        <w:jc w:val="center"/>
        <w:rPr>
          <w:rFonts w:hint="eastAsia" w:ascii="宋体" w:hAnsi="宋体" w:eastAsia="宋体" w:cs="宋体"/>
          <w:b/>
          <w:bCs/>
          <w:color w:val="000000" w:themeColor="text1"/>
          <w:sz w:val="32"/>
          <w:szCs w:val="22"/>
          <w:highlight w:val="none"/>
          <w:lang w:val="en-US" w:eastAsia="zh-CN"/>
          <w14:textFill>
            <w14:solidFill>
              <w14:schemeClr w14:val="tx1"/>
            </w14:solidFill>
          </w14:textFill>
        </w:rPr>
      </w:pPr>
    </w:p>
    <w:p w14:paraId="3073F9BD">
      <w:pPr>
        <w:spacing w:before="60" w:after="60" w:line="460" w:lineRule="exact"/>
        <w:jc w:val="center"/>
        <w:rPr>
          <w:rFonts w:hint="eastAsia" w:ascii="宋体" w:hAnsi="宋体" w:eastAsia="宋体" w:cs="宋体"/>
          <w:b/>
          <w:bCs/>
          <w:color w:val="000000" w:themeColor="text1"/>
          <w:sz w:val="32"/>
          <w:szCs w:val="22"/>
          <w:highlight w:val="none"/>
          <w:lang w:val="en-US" w:eastAsia="zh-CN"/>
          <w14:textFill>
            <w14:solidFill>
              <w14:schemeClr w14:val="tx1"/>
            </w14:solidFill>
          </w14:textFill>
        </w:rPr>
      </w:pPr>
    </w:p>
    <w:p w14:paraId="2AA8E59B">
      <w:pPr>
        <w:spacing w:before="60" w:after="60" w:line="460" w:lineRule="exact"/>
        <w:jc w:val="center"/>
        <w:rPr>
          <w:rFonts w:hint="eastAsia" w:ascii="宋体" w:hAnsi="宋体" w:eastAsia="宋体" w:cs="宋体"/>
          <w:b/>
          <w:bCs/>
          <w:color w:val="000000" w:themeColor="text1"/>
          <w:sz w:val="32"/>
          <w:szCs w:val="22"/>
          <w:highlight w:val="none"/>
          <w:lang w:val="en-US" w:eastAsia="zh-CN"/>
          <w14:textFill>
            <w14:solidFill>
              <w14:schemeClr w14:val="tx1"/>
            </w14:solidFill>
          </w14:textFill>
        </w:rPr>
      </w:pPr>
    </w:p>
    <w:p w14:paraId="3D10D64D">
      <w:pPr>
        <w:rPr>
          <w:rFonts w:hint="eastAsia" w:ascii="宋体" w:hAnsi="宋体" w:eastAsia="宋体" w:cs="宋体"/>
          <w:b/>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kern w:val="2"/>
          <w:sz w:val="24"/>
          <w:szCs w:val="24"/>
          <w:highlight w:val="none"/>
          <w:lang w:val="en-US" w:eastAsia="zh-CN" w:bidi="ar-SA"/>
          <w14:textFill>
            <w14:solidFill>
              <w14:schemeClr w14:val="tx1"/>
            </w14:solidFill>
          </w14:textFill>
        </w:rPr>
        <w:br w:type="page"/>
      </w:r>
    </w:p>
    <w:p w14:paraId="5CDC48DC">
      <w:pPr>
        <w:spacing w:before="60" w:after="60" w:line="460" w:lineRule="exact"/>
        <w:jc w:val="center"/>
        <w:outlineLvl w:val="1"/>
        <w:rPr>
          <w:rFonts w:hint="eastAsia" w:ascii="宋体" w:hAnsi="宋体" w:eastAsia="宋体" w:cs="宋体"/>
          <w:b/>
          <w:bCs w:val="0"/>
          <w:color w:val="000000" w:themeColor="text1"/>
          <w:kern w:val="2"/>
          <w:sz w:val="28"/>
          <w:szCs w:val="28"/>
          <w:highlight w:val="none"/>
          <w:lang w:val="en-US" w:eastAsia="zh-CN" w:bidi="ar-SA"/>
          <w14:textFill>
            <w14:solidFill>
              <w14:schemeClr w14:val="tx1"/>
            </w14:solidFill>
          </w14:textFill>
        </w:rPr>
      </w:pPr>
      <w:r>
        <w:rPr>
          <w:rFonts w:hint="eastAsia" w:ascii="宋体" w:hAnsi="宋体" w:eastAsia="宋体" w:cs="宋体"/>
          <w:b/>
          <w:bCs w:val="0"/>
          <w:color w:val="000000" w:themeColor="text1"/>
          <w:kern w:val="2"/>
          <w:sz w:val="28"/>
          <w:szCs w:val="28"/>
          <w:highlight w:val="none"/>
          <w:lang w:val="en-US" w:eastAsia="zh-CN" w:bidi="ar-SA"/>
          <w14:textFill>
            <w14:solidFill>
              <w14:schemeClr w14:val="tx1"/>
            </w14:solidFill>
          </w14:textFill>
        </w:rPr>
        <w:t>分项报价表</w:t>
      </w:r>
    </w:p>
    <w:p w14:paraId="52CB466A">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                                           </w:t>
      </w:r>
    </w:p>
    <w:tbl>
      <w:tblPr>
        <w:tblStyle w:val="76"/>
        <w:tblW w:w="9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1312"/>
        <w:gridCol w:w="704"/>
        <w:gridCol w:w="751"/>
        <w:gridCol w:w="1492"/>
        <w:gridCol w:w="855"/>
        <w:gridCol w:w="867"/>
        <w:gridCol w:w="1085"/>
        <w:gridCol w:w="1126"/>
        <w:gridCol w:w="767"/>
      </w:tblGrid>
      <w:tr w14:paraId="0943E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61" w:type="dxa"/>
            <w:noWrap w:val="0"/>
            <w:vAlign w:val="center"/>
          </w:tcPr>
          <w:p w14:paraId="322141F3">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序号</w:t>
            </w:r>
          </w:p>
        </w:tc>
        <w:tc>
          <w:tcPr>
            <w:tcW w:w="1312" w:type="dxa"/>
            <w:noWrap w:val="0"/>
            <w:vAlign w:val="center"/>
          </w:tcPr>
          <w:p w14:paraId="6AB99AE2">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名称</w:t>
            </w:r>
          </w:p>
        </w:tc>
        <w:tc>
          <w:tcPr>
            <w:tcW w:w="704" w:type="dxa"/>
            <w:noWrap w:val="0"/>
            <w:vAlign w:val="center"/>
          </w:tcPr>
          <w:p w14:paraId="2C8C0A69">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单位</w:t>
            </w:r>
          </w:p>
        </w:tc>
        <w:tc>
          <w:tcPr>
            <w:tcW w:w="751" w:type="dxa"/>
            <w:noWrap w:val="0"/>
            <w:vAlign w:val="center"/>
          </w:tcPr>
          <w:p w14:paraId="4C112717">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数量</w:t>
            </w:r>
          </w:p>
        </w:tc>
        <w:tc>
          <w:tcPr>
            <w:tcW w:w="1492" w:type="dxa"/>
            <w:noWrap w:val="0"/>
            <w:vAlign w:val="center"/>
          </w:tcPr>
          <w:p w14:paraId="3B012891">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规格型号及技术参数</w:t>
            </w:r>
          </w:p>
        </w:tc>
        <w:tc>
          <w:tcPr>
            <w:tcW w:w="855" w:type="dxa"/>
            <w:noWrap w:val="0"/>
            <w:vAlign w:val="center"/>
          </w:tcPr>
          <w:p w14:paraId="007A14E3">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单价（元）</w:t>
            </w:r>
          </w:p>
        </w:tc>
        <w:tc>
          <w:tcPr>
            <w:tcW w:w="867" w:type="dxa"/>
            <w:noWrap w:val="0"/>
            <w:vAlign w:val="center"/>
          </w:tcPr>
          <w:p w14:paraId="6C96D0BA">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合价（元）</w:t>
            </w:r>
          </w:p>
        </w:tc>
        <w:tc>
          <w:tcPr>
            <w:tcW w:w="1085" w:type="dxa"/>
            <w:noWrap w:val="0"/>
            <w:vAlign w:val="center"/>
          </w:tcPr>
          <w:p w14:paraId="0FBE485D">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产地</w:t>
            </w:r>
          </w:p>
          <w:p w14:paraId="45E5F6F3">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品牌</w:t>
            </w:r>
          </w:p>
        </w:tc>
        <w:tc>
          <w:tcPr>
            <w:tcW w:w="1126" w:type="dxa"/>
            <w:noWrap w:val="0"/>
            <w:vAlign w:val="center"/>
          </w:tcPr>
          <w:p w14:paraId="1792A500">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生产厂家</w:t>
            </w:r>
          </w:p>
        </w:tc>
        <w:tc>
          <w:tcPr>
            <w:tcW w:w="767" w:type="dxa"/>
            <w:noWrap w:val="0"/>
            <w:vAlign w:val="center"/>
          </w:tcPr>
          <w:p w14:paraId="0B0D33D2">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备注</w:t>
            </w:r>
          </w:p>
        </w:tc>
      </w:tr>
      <w:tr w14:paraId="2A190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661" w:type="dxa"/>
            <w:noWrap w:val="0"/>
            <w:vAlign w:val="center"/>
          </w:tcPr>
          <w:p w14:paraId="63E495B7">
            <w:pPr>
              <w:pStyle w:val="51"/>
              <w:pBdr>
                <w:bottom w:val="none" w:color="auto" w:sz="0" w:space="0"/>
              </w:pBdr>
              <w:tabs>
                <w:tab w:val="clear" w:pos="4153"/>
                <w:tab w:val="clear" w:pos="8306"/>
              </w:tabs>
              <w:snapToGrid/>
              <w:spacing w:line="28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1</w:t>
            </w:r>
          </w:p>
        </w:tc>
        <w:tc>
          <w:tcPr>
            <w:tcW w:w="1312" w:type="dxa"/>
            <w:noWrap w:val="0"/>
            <w:vAlign w:val="center"/>
          </w:tcPr>
          <w:p w14:paraId="37AB5DE7">
            <w:pPr>
              <w:autoSpaceDN w:val="0"/>
              <w:spacing w:line="400" w:lineRule="exact"/>
              <w:jc w:val="center"/>
              <w:textAlignment w:val="center"/>
              <w:rPr>
                <w:rFonts w:hint="eastAsia" w:ascii="宋体" w:hAnsi="宋体" w:eastAsia="宋体" w:cs="宋体"/>
                <w:color w:val="000000" w:themeColor="text1"/>
                <w:sz w:val="22"/>
                <w:szCs w:val="22"/>
                <w:highlight w:val="none"/>
                <w14:textFill>
                  <w14:solidFill>
                    <w14:schemeClr w14:val="tx1"/>
                  </w14:solidFill>
                </w14:textFill>
              </w:rPr>
            </w:pPr>
          </w:p>
        </w:tc>
        <w:tc>
          <w:tcPr>
            <w:tcW w:w="704" w:type="dxa"/>
            <w:noWrap w:val="0"/>
            <w:vAlign w:val="center"/>
          </w:tcPr>
          <w:p w14:paraId="4BD9543E">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51" w:type="dxa"/>
            <w:noWrap w:val="0"/>
            <w:vAlign w:val="center"/>
          </w:tcPr>
          <w:p w14:paraId="26AAA6B3">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492" w:type="dxa"/>
            <w:noWrap w:val="0"/>
            <w:vAlign w:val="center"/>
          </w:tcPr>
          <w:p w14:paraId="2871086C">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855" w:type="dxa"/>
            <w:noWrap w:val="0"/>
            <w:vAlign w:val="center"/>
          </w:tcPr>
          <w:p w14:paraId="6425AEED">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867" w:type="dxa"/>
            <w:noWrap w:val="0"/>
            <w:vAlign w:val="center"/>
          </w:tcPr>
          <w:p w14:paraId="1C9DEBA5">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085" w:type="dxa"/>
            <w:noWrap w:val="0"/>
            <w:vAlign w:val="center"/>
          </w:tcPr>
          <w:p w14:paraId="1B8A637B">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126" w:type="dxa"/>
            <w:noWrap w:val="0"/>
            <w:vAlign w:val="center"/>
          </w:tcPr>
          <w:p w14:paraId="6E564589">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67" w:type="dxa"/>
            <w:noWrap w:val="0"/>
            <w:vAlign w:val="center"/>
          </w:tcPr>
          <w:p w14:paraId="7D01F429">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r>
      <w:tr w14:paraId="028E0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61" w:type="dxa"/>
            <w:noWrap w:val="0"/>
            <w:vAlign w:val="center"/>
          </w:tcPr>
          <w:p w14:paraId="6F81FCDE">
            <w:pPr>
              <w:pStyle w:val="51"/>
              <w:pBdr>
                <w:bottom w:val="none" w:color="auto" w:sz="0" w:space="0"/>
              </w:pBdr>
              <w:tabs>
                <w:tab w:val="clear" w:pos="4153"/>
                <w:tab w:val="clear" w:pos="8306"/>
              </w:tabs>
              <w:snapToGrid/>
              <w:spacing w:line="28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2</w:t>
            </w:r>
          </w:p>
        </w:tc>
        <w:tc>
          <w:tcPr>
            <w:tcW w:w="1312" w:type="dxa"/>
            <w:noWrap w:val="0"/>
            <w:vAlign w:val="center"/>
          </w:tcPr>
          <w:p w14:paraId="133D6F71">
            <w:pPr>
              <w:autoSpaceDN w:val="0"/>
              <w:spacing w:line="400" w:lineRule="exact"/>
              <w:jc w:val="center"/>
              <w:textAlignment w:val="center"/>
              <w:rPr>
                <w:rFonts w:hint="eastAsia" w:ascii="宋体" w:hAnsi="宋体" w:eastAsia="宋体" w:cs="宋体"/>
                <w:color w:val="000000" w:themeColor="text1"/>
                <w:sz w:val="22"/>
                <w:szCs w:val="22"/>
                <w:highlight w:val="none"/>
                <w14:textFill>
                  <w14:solidFill>
                    <w14:schemeClr w14:val="tx1"/>
                  </w14:solidFill>
                </w14:textFill>
              </w:rPr>
            </w:pPr>
          </w:p>
        </w:tc>
        <w:tc>
          <w:tcPr>
            <w:tcW w:w="704" w:type="dxa"/>
            <w:noWrap w:val="0"/>
            <w:vAlign w:val="center"/>
          </w:tcPr>
          <w:p w14:paraId="4FB01D58">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51" w:type="dxa"/>
            <w:noWrap w:val="0"/>
            <w:vAlign w:val="center"/>
          </w:tcPr>
          <w:p w14:paraId="7931983E">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492" w:type="dxa"/>
            <w:noWrap w:val="0"/>
            <w:vAlign w:val="center"/>
          </w:tcPr>
          <w:p w14:paraId="67946800">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855" w:type="dxa"/>
            <w:noWrap w:val="0"/>
            <w:vAlign w:val="center"/>
          </w:tcPr>
          <w:p w14:paraId="39DFA77B">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867" w:type="dxa"/>
            <w:noWrap w:val="0"/>
            <w:vAlign w:val="center"/>
          </w:tcPr>
          <w:p w14:paraId="67764267">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085" w:type="dxa"/>
            <w:noWrap w:val="0"/>
            <w:vAlign w:val="center"/>
          </w:tcPr>
          <w:p w14:paraId="0F004589">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126" w:type="dxa"/>
            <w:noWrap w:val="0"/>
            <w:vAlign w:val="center"/>
          </w:tcPr>
          <w:p w14:paraId="363A1278">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67" w:type="dxa"/>
            <w:noWrap w:val="0"/>
            <w:vAlign w:val="center"/>
          </w:tcPr>
          <w:p w14:paraId="1B6E47E8">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r>
      <w:tr w14:paraId="2E9AF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61" w:type="dxa"/>
            <w:noWrap w:val="0"/>
            <w:vAlign w:val="center"/>
          </w:tcPr>
          <w:p w14:paraId="49564835">
            <w:pPr>
              <w:pStyle w:val="51"/>
              <w:pBdr>
                <w:bottom w:val="none" w:color="auto" w:sz="0" w:space="0"/>
              </w:pBdr>
              <w:tabs>
                <w:tab w:val="clear" w:pos="4153"/>
                <w:tab w:val="clear" w:pos="8306"/>
              </w:tabs>
              <w:snapToGrid/>
              <w:spacing w:line="28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3</w:t>
            </w:r>
          </w:p>
        </w:tc>
        <w:tc>
          <w:tcPr>
            <w:tcW w:w="1312" w:type="dxa"/>
            <w:noWrap w:val="0"/>
            <w:vAlign w:val="center"/>
          </w:tcPr>
          <w:p w14:paraId="2E8BF8A4">
            <w:pPr>
              <w:autoSpaceDN w:val="0"/>
              <w:spacing w:line="400" w:lineRule="exact"/>
              <w:jc w:val="center"/>
              <w:textAlignment w:val="center"/>
              <w:rPr>
                <w:rFonts w:hint="eastAsia" w:ascii="宋体" w:hAnsi="宋体" w:eastAsia="宋体" w:cs="宋体"/>
                <w:color w:val="000000" w:themeColor="text1"/>
                <w:sz w:val="22"/>
                <w:szCs w:val="22"/>
                <w:highlight w:val="none"/>
                <w14:textFill>
                  <w14:solidFill>
                    <w14:schemeClr w14:val="tx1"/>
                  </w14:solidFill>
                </w14:textFill>
              </w:rPr>
            </w:pPr>
          </w:p>
        </w:tc>
        <w:tc>
          <w:tcPr>
            <w:tcW w:w="704" w:type="dxa"/>
            <w:noWrap w:val="0"/>
            <w:vAlign w:val="center"/>
          </w:tcPr>
          <w:p w14:paraId="2CE6897A">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51" w:type="dxa"/>
            <w:noWrap w:val="0"/>
            <w:vAlign w:val="center"/>
          </w:tcPr>
          <w:p w14:paraId="0FA97FF2">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492" w:type="dxa"/>
            <w:noWrap w:val="0"/>
            <w:vAlign w:val="center"/>
          </w:tcPr>
          <w:p w14:paraId="0470BE98">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855" w:type="dxa"/>
            <w:noWrap w:val="0"/>
            <w:vAlign w:val="center"/>
          </w:tcPr>
          <w:p w14:paraId="1CAEE073">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867" w:type="dxa"/>
            <w:noWrap w:val="0"/>
            <w:vAlign w:val="center"/>
          </w:tcPr>
          <w:p w14:paraId="05F36E6E">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085" w:type="dxa"/>
            <w:noWrap w:val="0"/>
            <w:vAlign w:val="center"/>
          </w:tcPr>
          <w:p w14:paraId="6FE4409E">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126" w:type="dxa"/>
            <w:noWrap w:val="0"/>
            <w:vAlign w:val="center"/>
          </w:tcPr>
          <w:p w14:paraId="33CA5581">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67" w:type="dxa"/>
            <w:noWrap w:val="0"/>
            <w:vAlign w:val="center"/>
          </w:tcPr>
          <w:p w14:paraId="5F26D8B3">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r>
      <w:tr w14:paraId="2521C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61" w:type="dxa"/>
            <w:noWrap w:val="0"/>
            <w:vAlign w:val="center"/>
          </w:tcPr>
          <w:p w14:paraId="161331B3">
            <w:pPr>
              <w:pStyle w:val="51"/>
              <w:pBdr>
                <w:bottom w:val="none" w:color="auto" w:sz="0" w:space="0"/>
              </w:pBdr>
              <w:tabs>
                <w:tab w:val="clear" w:pos="4153"/>
                <w:tab w:val="clear" w:pos="8306"/>
              </w:tabs>
              <w:snapToGrid/>
              <w:spacing w:line="28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w:t>
            </w:r>
          </w:p>
        </w:tc>
        <w:tc>
          <w:tcPr>
            <w:tcW w:w="1312" w:type="dxa"/>
            <w:noWrap w:val="0"/>
            <w:vAlign w:val="center"/>
          </w:tcPr>
          <w:p w14:paraId="0FE0693B">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04" w:type="dxa"/>
            <w:noWrap w:val="0"/>
            <w:vAlign w:val="center"/>
          </w:tcPr>
          <w:p w14:paraId="71154636">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51" w:type="dxa"/>
            <w:noWrap w:val="0"/>
            <w:vAlign w:val="center"/>
          </w:tcPr>
          <w:p w14:paraId="3A971E6C">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492" w:type="dxa"/>
            <w:noWrap w:val="0"/>
            <w:vAlign w:val="center"/>
          </w:tcPr>
          <w:p w14:paraId="2B1AA9A1">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855" w:type="dxa"/>
            <w:noWrap w:val="0"/>
            <w:vAlign w:val="center"/>
          </w:tcPr>
          <w:p w14:paraId="161F144E">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867" w:type="dxa"/>
            <w:noWrap w:val="0"/>
            <w:vAlign w:val="center"/>
          </w:tcPr>
          <w:p w14:paraId="3613231A">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085" w:type="dxa"/>
            <w:noWrap w:val="0"/>
            <w:vAlign w:val="center"/>
          </w:tcPr>
          <w:p w14:paraId="088C4D58">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126" w:type="dxa"/>
            <w:noWrap w:val="0"/>
            <w:vAlign w:val="center"/>
          </w:tcPr>
          <w:p w14:paraId="04885A05">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67" w:type="dxa"/>
            <w:noWrap w:val="0"/>
            <w:vAlign w:val="center"/>
          </w:tcPr>
          <w:p w14:paraId="224ED023">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r>
      <w:tr w14:paraId="1DA4D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61" w:type="dxa"/>
            <w:noWrap w:val="0"/>
            <w:vAlign w:val="center"/>
          </w:tcPr>
          <w:p w14:paraId="3881D762">
            <w:pPr>
              <w:pStyle w:val="51"/>
              <w:pBdr>
                <w:bottom w:val="none" w:color="auto" w:sz="0" w:space="0"/>
              </w:pBdr>
              <w:tabs>
                <w:tab w:val="clear" w:pos="4153"/>
                <w:tab w:val="clear" w:pos="8306"/>
              </w:tabs>
              <w:snapToGrid/>
              <w:spacing w:line="280" w:lineRule="exact"/>
              <w:rPr>
                <w:rFonts w:hint="eastAsia" w:ascii="宋体" w:hAnsi="宋体" w:eastAsia="宋体" w:cs="宋体"/>
                <w:color w:val="000000" w:themeColor="text1"/>
                <w:sz w:val="22"/>
                <w:szCs w:val="22"/>
                <w:highlight w:val="none"/>
                <w14:textFill>
                  <w14:solidFill>
                    <w14:schemeClr w14:val="tx1"/>
                  </w14:solidFill>
                </w14:textFill>
              </w:rPr>
            </w:pPr>
          </w:p>
        </w:tc>
        <w:tc>
          <w:tcPr>
            <w:tcW w:w="1312" w:type="dxa"/>
            <w:noWrap w:val="0"/>
            <w:vAlign w:val="center"/>
          </w:tcPr>
          <w:p w14:paraId="507F0853">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04" w:type="dxa"/>
            <w:noWrap w:val="0"/>
            <w:vAlign w:val="center"/>
          </w:tcPr>
          <w:p w14:paraId="2BCFE959">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51" w:type="dxa"/>
            <w:noWrap w:val="0"/>
            <w:vAlign w:val="center"/>
          </w:tcPr>
          <w:p w14:paraId="1F122243">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492" w:type="dxa"/>
            <w:noWrap w:val="0"/>
            <w:vAlign w:val="center"/>
          </w:tcPr>
          <w:p w14:paraId="21814263">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855" w:type="dxa"/>
            <w:noWrap w:val="0"/>
            <w:vAlign w:val="center"/>
          </w:tcPr>
          <w:p w14:paraId="41A04D16">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867" w:type="dxa"/>
            <w:noWrap w:val="0"/>
            <w:vAlign w:val="center"/>
          </w:tcPr>
          <w:p w14:paraId="775B1DA1">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085" w:type="dxa"/>
            <w:noWrap w:val="0"/>
            <w:vAlign w:val="center"/>
          </w:tcPr>
          <w:p w14:paraId="118977EB">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126" w:type="dxa"/>
            <w:noWrap w:val="0"/>
            <w:vAlign w:val="center"/>
          </w:tcPr>
          <w:p w14:paraId="3E6C6A31">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67" w:type="dxa"/>
            <w:noWrap w:val="0"/>
            <w:vAlign w:val="center"/>
          </w:tcPr>
          <w:p w14:paraId="703A30FC">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r>
      <w:tr w14:paraId="78D2C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661" w:type="dxa"/>
            <w:noWrap w:val="0"/>
            <w:vAlign w:val="center"/>
          </w:tcPr>
          <w:p w14:paraId="482AC68D">
            <w:pPr>
              <w:pStyle w:val="51"/>
              <w:pBdr>
                <w:bottom w:val="none" w:color="auto" w:sz="0" w:space="0"/>
              </w:pBdr>
              <w:tabs>
                <w:tab w:val="clear" w:pos="4153"/>
                <w:tab w:val="clear" w:pos="8306"/>
              </w:tabs>
              <w:snapToGrid/>
              <w:spacing w:line="280" w:lineRule="exact"/>
              <w:rPr>
                <w:rFonts w:hint="eastAsia" w:ascii="宋体" w:hAnsi="宋体" w:eastAsia="宋体" w:cs="宋体"/>
                <w:color w:val="000000" w:themeColor="text1"/>
                <w:sz w:val="22"/>
                <w:szCs w:val="22"/>
                <w:highlight w:val="none"/>
                <w14:textFill>
                  <w14:solidFill>
                    <w14:schemeClr w14:val="tx1"/>
                  </w14:solidFill>
                </w14:textFill>
              </w:rPr>
            </w:pPr>
          </w:p>
        </w:tc>
        <w:tc>
          <w:tcPr>
            <w:tcW w:w="1312" w:type="dxa"/>
            <w:noWrap w:val="0"/>
            <w:vAlign w:val="center"/>
          </w:tcPr>
          <w:p w14:paraId="4FE94A6C">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04" w:type="dxa"/>
            <w:noWrap w:val="0"/>
            <w:vAlign w:val="center"/>
          </w:tcPr>
          <w:p w14:paraId="44D47A8F">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51" w:type="dxa"/>
            <w:noWrap w:val="0"/>
            <w:vAlign w:val="center"/>
          </w:tcPr>
          <w:p w14:paraId="7E59C3ED">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492" w:type="dxa"/>
            <w:noWrap w:val="0"/>
            <w:vAlign w:val="center"/>
          </w:tcPr>
          <w:p w14:paraId="35427DDF">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855" w:type="dxa"/>
            <w:noWrap w:val="0"/>
            <w:vAlign w:val="center"/>
          </w:tcPr>
          <w:p w14:paraId="073FE2B5">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867" w:type="dxa"/>
            <w:noWrap w:val="0"/>
            <w:vAlign w:val="center"/>
          </w:tcPr>
          <w:p w14:paraId="00153909">
            <w:pPr>
              <w:widowControl/>
              <w:spacing w:line="26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085" w:type="dxa"/>
            <w:noWrap w:val="0"/>
            <w:vAlign w:val="center"/>
          </w:tcPr>
          <w:p w14:paraId="2D68C62C">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1126" w:type="dxa"/>
            <w:noWrap w:val="0"/>
            <w:vAlign w:val="center"/>
          </w:tcPr>
          <w:p w14:paraId="1B5FF91A">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c>
          <w:tcPr>
            <w:tcW w:w="767" w:type="dxa"/>
            <w:noWrap w:val="0"/>
            <w:vAlign w:val="center"/>
          </w:tcPr>
          <w:p w14:paraId="4C0B3EAB">
            <w:pPr>
              <w:spacing w:line="280" w:lineRule="exact"/>
              <w:jc w:val="center"/>
              <w:rPr>
                <w:rFonts w:hint="eastAsia" w:ascii="宋体" w:hAnsi="宋体" w:eastAsia="宋体" w:cs="宋体"/>
                <w:color w:val="000000" w:themeColor="text1"/>
                <w:sz w:val="22"/>
                <w:szCs w:val="22"/>
                <w:highlight w:val="none"/>
                <w14:textFill>
                  <w14:solidFill>
                    <w14:schemeClr w14:val="tx1"/>
                  </w14:solidFill>
                </w14:textFill>
              </w:rPr>
            </w:pPr>
          </w:p>
        </w:tc>
      </w:tr>
      <w:tr w14:paraId="76ED6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1973" w:type="dxa"/>
            <w:gridSpan w:val="2"/>
            <w:noWrap w:val="0"/>
            <w:vAlign w:val="center"/>
          </w:tcPr>
          <w:p w14:paraId="32DC600C">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报价合计</w:t>
            </w:r>
          </w:p>
        </w:tc>
        <w:tc>
          <w:tcPr>
            <w:tcW w:w="7647" w:type="dxa"/>
            <w:gridSpan w:val="8"/>
            <w:noWrap w:val="0"/>
            <w:vAlign w:val="center"/>
          </w:tcPr>
          <w:p w14:paraId="16D7CEE1">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大写：                                小写：        万元</w:t>
            </w:r>
          </w:p>
        </w:tc>
      </w:tr>
    </w:tbl>
    <w:p w14:paraId="0606511F">
      <w:pPr>
        <w:pStyle w:val="30"/>
        <w:tabs>
          <w:tab w:val="left" w:pos="5284"/>
          <w:tab w:val="left" w:pos="9519"/>
        </w:tabs>
        <w:spacing w:line="360" w:lineRule="auto"/>
        <w:ind w:left="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7DA87831">
      <w:pPr>
        <w:pStyle w:val="30"/>
        <w:tabs>
          <w:tab w:val="left" w:pos="5284"/>
          <w:tab w:val="left" w:pos="9519"/>
        </w:tabs>
        <w:spacing w:line="360" w:lineRule="auto"/>
        <w:ind w:left="0"/>
        <w:rPr>
          <w:rFonts w:asciiTheme="minorEastAsia" w:hAnsiTheme="minorEastAsia" w:eastAsiaTheme="minorEastAsia" w:cstheme="minorEastAsia"/>
          <w:color w:val="auto"/>
          <w:sz w:val="22"/>
          <w:szCs w:val="22"/>
          <w:highlight w:val="none"/>
          <w:u w:val="single"/>
        </w:rPr>
      </w:pPr>
      <w:r>
        <w:rPr>
          <w:rFonts w:hint="eastAsia" w:asciiTheme="minorEastAsia" w:hAnsiTheme="minorEastAsia" w:eastAsiaTheme="minorEastAsia" w:cstheme="minorEastAsia"/>
          <w:color w:val="auto"/>
          <w:sz w:val="22"/>
          <w:szCs w:val="22"/>
          <w:highlight w:val="none"/>
          <w:lang w:eastAsia="zh-CN"/>
        </w:rPr>
        <w:t>投标人</w:t>
      </w:r>
      <w:r>
        <w:rPr>
          <w:rFonts w:hint="eastAsia" w:asciiTheme="minorEastAsia" w:hAnsiTheme="minorEastAsia" w:eastAsiaTheme="minorEastAsia" w:cstheme="minorEastAsia"/>
          <w:color w:val="auto"/>
          <w:sz w:val="22"/>
          <w:szCs w:val="22"/>
          <w:highlight w:val="none"/>
        </w:rPr>
        <w:t>名称（公章）：</w:t>
      </w:r>
      <w:r>
        <w:rPr>
          <w:rFonts w:hint="eastAsia" w:asciiTheme="minorEastAsia" w:hAnsiTheme="minorEastAsia" w:eastAsiaTheme="minorEastAsia" w:cstheme="minorEastAsia"/>
          <w:color w:val="auto"/>
          <w:sz w:val="22"/>
          <w:szCs w:val="22"/>
          <w:highlight w:val="none"/>
          <w:u w:val="single"/>
        </w:rPr>
        <w:t xml:space="preserve">           </w:t>
      </w:r>
    </w:p>
    <w:p w14:paraId="70EB12F5">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auto"/>
          <w:sz w:val="22"/>
          <w:szCs w:val="22"/>
          <w:highlight w:val="none"/>
        </w:rPr>
        <w:t>法定代表人</w:t>
      </w:r>
      <w:r>
        <w:rPr>
          <w:rFonts w:hint="eastAsia" w:asciiTheme="minorEastAsia" w:hAnsiTheme="minorEastAsia" w:eastAsiaTheme="minorEastAsia" w:cstheme="minorEastAsia"/>
          <w:color w:val="auto"/>
          <w:sz w:val="22"/>
          <w:szCs w:val="22"/>
          <w:highlight w:val="none"/>
          <w:lang w:eastAsia="zh-CN"/>
        </w:rPr>
        <w:t>及</w:t>
      </w:r>
      <w:r>
        <w:rPr>
          <w:rFonts w:hint="eastAsia" w:asciiTheme="minorEastAsia" w:hAnsiTheme="minorEastAsia" w:eastAsiaTheme="minorEastAsia" w:cstheme="minorEastAsia"/>
          <w:color w:val="auto"/>
          <w:sz w:val="22"/>
          <w:szCs w:val="22"/>
          <w:highlight w:val="none"/>
        </w:rPr>
        <w:t>授权代表签字：</w:t>
      </w:r>
      <w:r>
        <w:rPr>
          <w:rFonts w:hint="eastAsia"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u w:val="single"/>
          <w:lang w:val="en-US" w:eastAsia="zh-CN"/>
        </w:rPr>
        <w:t xml:space="preserve">    </w:t>
      </w:r>
      <w:r>
        <w:rPr>
          <w:rFonts w:hint="eastAsia" w:asciiTheme="minorEastAsia" w:hAnsiTheme="minorEastAsia" w:eastAsiaTheme="minorEastAsia" w:cstheme="minorEastAsia"/>
          <w:color w:val="auto"/>
          <w:sz w:val="22"/>
          <w:szCs w:val="22"/>
          <w:highlight w:val="none"/>
          <w:u w:val="single"/>
        </w:rPr>
        <w:tab/>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299C9109">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备注：1、请根据项目说明填写此表</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投标人必须对所投的所有内容进行报价，不得漏项、删项，否则视为没有实质性响应招标文件，按无效投标处理。</w:t>
      </w:r>
    </w:p>
    <w:p w14:paraId="113977E2">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2、单价中包含货物供应直至验收合格交付使用的所有费用。</w:t>
      </w:r>
    </w:p>
    <w:p w14:paraId="45BF213C">
      <w:pPr>
        <w:spacing w:line="600" w:lineRule="exact"/>
        <w:jc w:val="center"/>
        <w:rPr>
          <w:rFonts w:hint="eastAsia" w:ascii="宋体" w:hAnsi="宋体" w:eastAsia="宋体" w:cs="宋体"/>
          <w:b/>
          <w:bCs/>
          <w:color w:val="000000" w:themeColor="text1"/>
          <w:sz w:val="24"/>
          <w:szCs w:val="24"/>
          <w:highlight w:val="none"/>
          <w14:textFill>
            <w14:solidFill>
              <w14:schemeClr w14:val="tx1"/>
            </w14:solidFill>
          </w14:textFill>
        </w:rPr>
      </w:pPr>
    </w:p>
    <w:p w14:paraId="3A5691D9">
      <w:pPr>
        <w:jc w:val="center"/>
        <w:rPr>
          <w:rFonts w:hint="eastAsia" w:ascii="宋体" w:hAnsi="宋体" w:eastAsia="宋体" w:cs="宋体"/>
          <w:b/>
          <w:bCs/>
          <w:color w:val="000000" w:themeColor="text1"/>
          <w:sz w:val="30"/>
          <w:szCs w:val="22"/>
          <w:highlight w:val="none"/>
          <w14:textFill>
            <w14:solidFill>
              <w14:schemeClr w14:val="tx1"/>
            </w14:solidFill>
          </w14:textFill>
        </w:rPr>
      </w:pPr>
    </w:p>
    <w:bookmarkEnd w:id="61"/>
    <w:bookmarkEnd w:id="62"/>
    <w:bookmarkEnd w:id="63"/>
    <w:p w14:paraId="3F788CD4">
      <w:pPr>
        <w:rPr>
          <w:rFonts w:hint="eastAsia" w:ascii="宋体" w:hAnsi="宋体" w:eastAsia="宋体" w:cs="宋体"/>
          <w:b/>
          <w:color w:val="000000" w:themeColor="text1"/>
          <w:sz w:val="30"/>
          <w:szCs w:val="30"/>
          <w:highlight w:val="none"/>
          <w14:textFill>
            <w14:solidFill>
              <w14:schemeClr w14:val="tx1"/>
            </w14:solidFill>
          </w14:textFill>
        </w:rPr>
      </w:pPr>
      <w:bookmarkStart w:id="64" w:name="_Toc111014370"/>
      <w:bookmarkStart w:id="65" w:name="_Toc111014540"/>
      <w:bookmarkStart w:id="66" w:name="_Toc111014466"/>
      <w:r>
        <w:rPr>
          <w:rFonts w:hint="eastAsia" w:ascii="宋体" w:hAnsi="宋体" w:eastAsia="宋体" w:cs="宋体"/>
          <w:b/>
          <w:color w:val="000000" w:themeColor="text1"/>
          <w:sz w:val="30"/>
          <w:szCs w:val="30"/>
          <w:highlight w:val="none"/>
          <w14:textFill>
            <w14:solidFill>
              <w14:schemeClr w14:val="tx1"/>
            </w14:solidFill>
          </w14:textFill>
        </w:rPr>
        <w:br w:type="page"/>
      </w:r>
    </w:p>
    <w:p w14:paraId="0A7D4407">
      <w:pPr>
        <w:jc w:val="center"/>
        <w:outlineLvl w:val="1"/>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lang w:eastAsia="zh-CN"/>
          <w14:textFill>
            <w14:solidFill>
              <w14:schemeClr w14:val="tx1"/>
            </w14:solidFill>
          </w14:textFill>
        </w:rPr>
        <w:t>投标人</w:t>
      </w:r>
      <w:r>
        <w:rPr>
          <w:rFonts w:hint="eastAsia" w:ascii="宋体" w:hAnsi="宋体" w:eastAsia="宋体" w:cs="宋体"/>
          <w:b/>
          <w:color w:val="000000" w:themeColor="text1"/>
          <w:sz w:val="30"/>
          <w:szCs w:val="30"/>
          <w:highlight w:val="none"/>
          <w14:textFill>
            <w14:solidFill>
              <w14:schemeClr w14:val="tx1"/>
            </w14:solidFill>
          </w14:textFill>
        </w:rPr>
        <w:t>资格审查统计表</w:t>
      </w:r>
      <w:bookmarkEnd w:id="64"/>
      <w:bookmarkEnd w:id="65"/>
      <w:bookmarkEnd w:id="66"/>
    </w:p>
    <w:p w14:paraId="29737D3B">
      <w:pPr>
        <w:adjustRightInd w:val="0"/>
        <w:snapToGrid w:val="0"/>
        <w:spacing w:line="360" w:lineRule="auto"/>
        <w:ind w:firstLine="422" w:firstLineChars="200"/>
        <w:rPr>
          <w:rFonts w:hint="eastAsia" w:asciiTheme="minorEastAsia" w:hAnsiTheme="minorEastAsia" w:eastAsiaTheme="minorEastAsia"/>
          <w:b/>
          <w:bCs/>
          <w:color w:val="auto"/>
          <w:highlight w:val="none"/>
          <w:lang w:eastAsia="zh-CN"/>
        </w:rPr>
      </w:pPr>
    </w:p>
    <w:tbl>
      <w:tblPr>
        <w:tblStyle w:val="76"/>
        <w:tblpPr w:leftFromText="180" w:rightFromText="180" w:vertAnchor="text" w:horzAnchor="page" w:tblpXSpec="center" w:tblpY="413"/>
        <w:tblOverlap w:val="never"/>
        <w:tblW w:w="99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9"/>
        <w:gridCol w:w="1528"/>
        <w:gridCol w:w="5049"/>
        <w:gridCol w:w="1534"/>
        <w:gridCol w:w="1017"/>
      </w:tblGrid>
      <w:tr w14:paraId="7FC40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2" w:hRule="atLeast"/>
          <w:jc w:val="center"/>
        </w:trPr>
        <w:tc>
          <w:tcPr>
            <w:tcW w:w="809" w:type="dxa"/>
            <w:vAlign w:val="center"/>
          </w:tcPr>
          <w:p w14:paraId="092A80B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6577" w:type="dxa"/>
            <w:gridSpan w:val="2"/>
            <w:vAlign w:val="center"/>
          </w:tcPr>
          <w:p w14:paraId="216070B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名称</w:t>
            </w:r>
          </w:p>
        </w:tc>
        <w:tc>
          <w:tcPr>
            <w:tcW w:w="1534" w:type="dxa"/>
            <w:vAlign w:val="center"/>
          </w:tcPr>
          <w:p w14:paraId="70DECE0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内容</w:t>
            </w:r>
          </w:p>
        </w:tc>
        <w:tc>
          <w:tcPr>
            <w:tcW w:w="1017" w:type="dxa"/>
            <w:vAlign w:val="center"/>
          </w:tcPr>
          <w:p w14:paraId="70D0724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检验</w:t>
            </w:r>
          </w:p>
          <w:p w14:paraId="18701B2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结果</w:t>
            </w:r>
          </w:p>
        </w:tc>
      </w:tr>
      <w:tr w14:paraId="40C70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 w:hRule="atLeast"/>
          <w:jc w:val="center"/>
        </w:trPr>
        <w:tc>
          <w:tcPr>
            <w:tcW w:w="809" w:type="dxa"/>
            <w:vAlign w:val="center"/>
          </w:tcPr>
          <w:p w14:paraId="2E8D76F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6577" w:type="dxa"/>
            <w:gridSpan w:val="2"/>
            <w:vAlign w:val="center"/>
          </w:tcPr>
          <w:p w14:paraId="39F6541A">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营业执照；</w:t>
            </w:r>
          </w:p>
        </w:tc>
        <w:tc>
          <w:tcPr>
            <w:tcW w:w="1534" w:type="dxa"/>
            <w:vAlign w:val="center"/>
          </w:tcPr>
          <w:p w14:paraId="27D53BC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是否提供□</w:t>
            </w:r>
          </w:p>
        </w:tc>
        <w:tc>
          <w:tcPr>
            <w:tcW w:w="1017" w:type="dxa"/>
            <w:vAlign w:val="center"/>
          </w:tcPr>
          <w:p w14:paraId="056519CD">
            <w:pPr>
              <w:jc w:val="center"/>
              <w:rPr>
                <w:rFonts w:hint="eastAsia" w:ascii="宋体" w:hAnsi="宋体" w:eastAsia="宋体" w:cs="宋体"/>
                <w:sz w:val="24"/>
                <w:szCs w:val="24"/>
                <w:highlight w:val="none"/>
              </w:rPr>
            </w:pPr>
          </w:p>
        </w:tc>
      </w:tr>
      <w:tr w14:paraId="5944C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7" w:hRule="atLeast"/>
          <w:jc w:val="center"/>
        </w:trPr>
        <w:tc>
          <w:tcPr>
            <w:tcW w:w="809" w:type="dxa"/>
            <w:vAlign w:val="center"/>
          </w:tcPr>
          <w:p w14:paraId="1EFAC2F9">
            <w:pPr>
              <w:jc w:val="center"/>
              <w:rPr>
                <w:rFonts w:hint="eastAsia" w:ascii="宋体" w:hAnsi="宋体" w:eastAsia="宋体" w:cs="宋体"/>
                <w:sz w:val="24"/>
                <w:szCs w:val="24"/>
                <w:highlight w:val="none"/>
              </w:rPr>
            </w:pPr>
          </w:p>
          <w:p w14:paraId="3CCBDE9D">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2</w:t>
            </w:r>
          </w:p>
        </w:tc>
        <w:tc>
          <w:tcPr>
            <w:tcW w:w="6577" w:type="dxa"/>
            <w:gridSpan w:val="2"/>
            <w:vAlign w:val="center"/>
          </w:tcPr>
          <w:p w14:paraId="0BF8D3C1">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财务状况证明。是指提供</w:t>
            </w:r>
            <w:r>
              <w:rPr>
                <w:rFonts w:hint="eastAsia" w:ascii="宋体" w:hAnsi="宋体" w:eastAsia="宋体" w:cs="宋体"/>
                <w:sz w:val="24"/>
                <w:szCs w:val="24"/>
                <w:highlight w:val="none"/>
                <w:lang w:val="en-US" w:eastAsia="zh-CN"/>
              </w:rPr>
              <w:t>202</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年度</w:t>
            </w:r>
            <w:r>
              <w:rPr>
                <w:rFonts w:hint="eastAsia" w:ascii="宋体" w:hAnsi="宋体" w:eastAsia="宋体" w:cs="宋体"/>
                <w:sz w:val="24"/>
                <w:szCs w:val="24"/>
                <w:highlight w:val="none"/>
                <w:lang w:val="zh-CN"/>
              </w:rPr>
              <w:t>财务状况报告证明，财务报告或财务报告表（利润表、资产负债表、现金流量表）或银行开具的资信证明；（</w:t>
            </w:r>
            <w:r>
              <w:rPr>
                <w:rFonts w:hint="eastAsia" w:asciiTheme="minorEastAsia" w:hAnsiTheme="minorEastAsia" w:eastAsiaTheme="minorEastAsia" w:cstheme="minorEastAsia"/>
                <w:sz w:val="24"/>
                <w:szCs w:val="24"/>
                <w:highlight w:val="none"/>
              </w:rPr>
              <w:t>新成立公司提供成立日期以来的财务报表</w:t>
            </w:r>
            <w:r>
              <w:rPr>
                <w:rFonts w:hint="eastAsia" w:ascii="宋体" w:hAnsi="宋体" w:eastAsia="宋体" w:cs="宋体"/>
                <w:sz w:val="24"/>
                <w:szCs w:val="24"/>
                <w:highlight w:val="none"/>
                <w:lang w:val="zh-CN"/>
              </w:rPr>
              <w:t>）；</w:t>
            </w:r>
          </w:p>
        </w:tc>
        <w:tc>
          <w:tcPr>
            <w:tcW w:w="1534" w:type="dxa"/>
            <w:vAlign w:val="center"/>
          </w:tcPr>
          <w:p w14:paraId="70150E4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是否提供□</w:t>
            </w:r>
          </w:p>
        </w:tc>
        <w:tc>
          <w:tcPr>
            <w:tcW w:w="1017" w:type="dxa"/>
            <w:vAlign w:val="center"/>
          </w:tcPr>
          <w:p w14:paraId="77DF9E9B">
            <w:pPr>
              <w:jc w:val="center"/>
              <w:rPr>
                <w:rFonts w:hint="eastAsia" w:ascii="宋体" w:hAnsi="宋体" w:eastAsia="宋体" w:cs="宋体"/>
                <w:sz w:val="24"/>
                <w:szCs w:val="24"/>
                <w:highlight w:val="none"/>
              </w:rPr>
            </w:pPr>
          </w:p>
        </w:tc>
      </w:tr>
      <w:tr w14:paraId="09E78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809" w:type="dxa"/>
            <w:vAlign w:val="center"/>
          </w:tcPr>
          <w:p w14:paraId="1C211318">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3</w:t>
            </w:r>
          </w:p>
        </w:tc>
        <w:tc>
          <w:tcPr>
            <w:tcW w:w="6577" w:type="dxa"/>
            <w:gridSpan w:val="2"/>
            <w:vAlign w:val="center"/>
          </w:tcPr>
          <w:p w14:paraId="480DEE4D">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依法缴纳税收的证明。是指提供供应商近半年不少于一个月的缴税证明</w:t>
            </w:r>
            <w:r>
              <w:rPr>
                <w:rFonts w:hint="eastAsia" w:asciiTheme="minorEastAsia" w:hAnsiTheme="minorEastAsia" w:eastAsiaTheme="minorEastAsia" w:cstheme="minorEastAsia"/>
                <w:sz w:val="24"/>
                <w:szCs w:val="24"/>
                <w:highlight w:val="none"/>
              </w:rPr>
              <w:t>(以发布公告时间往前推算)</w:t>
            </w:r>
            <w:r>
              <w:rPr>
                <w:rFonts w:hint="eastAsia" w:ascii="宋体" w:hAnsi="宋体" w:eastAsia="宋体" w:cs="宋体"/>
                <w:sz w:val="24"/>
                <w:szCs w:val="24"/>
                <w:highlight w:val="none"/>
                <w:lang w:val="zh-CN"/>
              </w:rPr>
              <w:t>，为税务部门出具的完税凭证或交税证明或银行出具的“银行电子缴税付款凭证”（</w:t>
            </w:r>
            <w:r>
              <w:rPr>
                <w:rFonts w:hint="eastAsia" w:ascii="宋体" w:hAnsi="宋体" w:cs="宋体"/>
                <w:sz w:val="24"/>
                <w:szCs w:val="24"/>
                <w:highlight w:val="none"/>
                <w:lang w:val="zh-CN"/>
              </w:rPr>
              <w:t>依法</w:t>
            </w:r>
            <w:r>
              <w:rPr>
                <w:rFonts w:hint="eastAsia" w:ascii="宋体" w:hAnsi="宋体" w:cs="宋体"/>
                <w:sz w:val="24"/>
                <w:szCs w:val="20"/>
                <w:highlight w:val="none"/>
              </w:rPr>
              <w:t>免税企业须提供免税证明</w:t>
            </w:r>
            <w:r>
              <w:rPr>
                <w:rFonts w:hint="eastAsia" w:ascii="宋体" w:hAnsi="宋体" w:cs="宋体"/>
                <w:sz w:val="24"/>
                <w:szCs w:val="24"/>
                <w:highlight w:val="none"/>
                <w:lang w:val="zh-CN"/>
              </w:rPr>
              <w:t>，依法纳税或依法免税或无欠税证明</w:t>
            </w:r>
            <w:r>
              <w:rPr>
                <w:rFonts w:hint="eastAsia" w:ascii="宋体" w:hAnsi="宋体" w:eastAsia="宋体" w:cs="宋体"/>
                <w:sz w:val="24"/>
                <w:szCs w:val="24"/>
                <w:highlight w:val="none"/>
                <w:lang w:val="zh-CN"/>
              </w:rPr>
              <w:t>）</w:t>
            </w:r>
          </w:p>
        </w:tc>
        <w:tc>
          <w:tcPr>
            <w:tcW w:w="1534" w:type="dxa"/>
            <w:vAlign w:val="center"/>
          </w:tcPr>
          <w:p w14:paraId="0F14309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是否提供□</w:t>
            </w:r>
          </w:p>
        </w:tc>
        <w:tc>
          <w:tcPr>
            <w:tcW w:w="1017" w:type="dxa"/>
            <w:vAlign w:val="center"/>
          </w:tcPr>
          <w:p w14:paraId="7C0E35B5">
            <w:pPr>
              <w:jc w:val="center"/>
              <w:rPr>
                <w:rFonts w:hint="eastAsia" w:ascii="宋体" w:hAnsi="宋体" w:eastAsia="宋体" w:cs="宋体"/>
                <w:sz w:val="24"/>
                <w:szCs w:val="24"/>
                <w:highlight w:val="none"/>
              </w:rPr>
            </w:pPr>
          </w:p>
        </w:tc>
      </w:tr>
      <w:tr w14:paraId="47710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jc w:val="center"/>
        </w:trPr>
        <w:tc>
          <w:tcPr>
            <w:tcW w:w="809" w:type="dxa"/>
            <w:vAlign w:val="center"/>
          </w:tcPr>
          <w:p w14:paraId="1D212395">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4</w:t>
            </w:r>
          </w:p>
        </w:tc>
        <w:tc>
          <w:tcPr>
            <w:tcW w:w="6577" w:type="dxa"/>
            <w:gridSpan w:val="2"/>
            <w:vAlign w:val="center"/>
          </w:tcPr>
          <w:p w14:paraId="4E260567">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依法缴纳社会保障资金的证明。是指提供供应商近半年不少于一个月</w:t>
            </w:r>
            <w:r>
              <w:rPr>
                <w:rFonts w:hint="eastAsia" w:asciiTheme="minorEastAsia" w:hAnsiTheme="minorEastAsia" w:eastAsiaTheme="minorEastAsia" w:cstheme="minorEastAsia"/>
                <w:sz w:val="24"/>
                <w:szCs w:val="24"/>
                <w:highlight w:val="none"/>
              </w:rPr>
              <w:t>(以发布公告时间往前推算)</w:t>
            </w:r>
            <w:r>
              <w:rPr>
                <w:rFonts w:hint="eastAsia" w:ascii="宋体" w:hAnsi="宋体" w:eastAsia="宋体" w:cs="宋体"/>
                <w:sz w:val="24"/>
                <w:szCs w:val="24"/>
                <w:highlight w:val="none"/>
                <w:lang w:val="zh-CN"/>
              </w:rPr>
              <w:t>的社会保障主管部门出具的社会保障缴纳证明或社会保障缴费清单或税务部门出具的完税凭证</w:t>
            </w:r>
          </w:p>
        </w:tc>
        <w:tc>
          <w:tcPr>
            <w:tcW w:w="1534" w:type="dxa"/>
            <w:vAlign w:val="center"/>
          </w:tcPr>
          <w:p w14:paraId="7863CC6F">
            <w:pPr>
              <w:jc w:val="center"/>
              <w:rPr>
                <w:rFonts w:hint="eastAsia" w:ascii="宋体" w:hAnsi="宋体" w:eastAsia="宋体" w:cs="宋体"/>
                <w:sz w:val="24"/>
                <w:szCs w:val="24"/>
                <w:highlight w:val="none"/>
              </w:rPr>
            </w:pPr>
          </w:p>
          <w:p w14:paraId="039C6B77">
            <w:pPr>
              <w:jc w:val="center"/>
              <w:rPr>
                <w:rFonts w:hint="eastAsia" w:ascii="宋体" w:hAnsi="宋体" w:eastAsia="宋体" w:cs="宋体"/>
                <w:sz w:val="24"/>
                <w:szCs w:val="24"/>
                <w:highlight w:val="none"/>
              </w:rPr>
            </w:pPr>
          </w:p>
          <w:p w14:paraId="7082934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是否提供□</w:t>
            </w:r>
          </w:p>
        </w:tc>
        <w:tc>
          <w:tcPr>
            <w:tcW w:w="1017" w:type="dxa"/>
            <w:vAlign w:val="center"/>
          </w:tcPr>
          <w:p w14:paraId="22E90A4A">
            <w:pPr>
              <w:jc w:val="center"/>
              <w:rPr>
                <w:rFonts w:hint="eastAsia" w:ascii="宋体" w:hAnsi="宋体" w:eastAsia="宋体" w:cs="宋体"/>
                <w:sz w:val="24"/>
                <w:szCs w:val="24"/>
                <w:highlight w:val="none"/>
              </w:rPr>
            </w:pPr>
          </w:p>
        </w:tc>
      </w:tr>
      <w:tr w14:paraId="58F41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jc w:val="center"/>
        </w:trPr>
        <w:tc>
          <w:tcPr>
            <w:tcW w:w="809" w:type="dxa"/>
            <w:vAlign w:val="center"/>
          </w:tcPr>
          <w:p w14:paraId="70BC6229">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5</w:t>
            </w:r>
          </w:p>
        </w:tc>
        <w:tc>
          <w:tcPr>
            <w:tcW w:w="6577" w:type="dxa"/>
            <w:gridSpan w:val="2"/>
            <w:vAlign w:val="center"/>
          </w:tcPr>
          <w:p w14:paraId="067FE226">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法定代表人的授权委托书及授权代表的身份证扫描件；若法定代表人参加，仅提供法定代表人身份证明书及法人的身份证原件扫描件；（格式见附件）；</w:t>
            </w:r>
          </w:p>
        </w:tc>
        <w:tc>
          <w:tcPr>
            <w:tcW w:w="1534" w:type="dxa"/>
            <w:vAlign w:val="center"/>
          </w:tcPr>
          <w:p w14:paraId="16C03057">
            <w:pPr>
              <w:jc w:val="center"/>
              <w:rPr>
                <w:rFonts w:hint="eastAsia" w:ascii="宋体" w:hAnsi="宋体" w:eastAsia="宋体" w:cs="宋体"/>
                <w:sz w:val="24"/>
                <w:szCs w:val="24"/>
                <w:highlight w:val="none"/>
              </w:rPr>
            </w:pPr>
          </w:p>
          <w:p w14:paraId="1F1771B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是否提供□</w:t>
            </w:r>
          </w:p>
        </w:tc>
        <w:tc>
          <w:tcPr>
            <w:tcW w:w="1017" w:type="dxa"/>
            <w:vAlign w:val="center"/>
          </w:tcPr>
          <w:p w14:paraId="08933485">
            <w:pPr>
              <w:jc w:val="center"/>
              <w:rPr>
                <w:rFonts w:hint="eastAsia" w:ascii="宋体" w:hAnsi="宋体" w:eastAsia="宋体" w:cs="宋体"/>
                <w:sz w:val="24"/>
                <w:szCs w:val="24"/>
                <w:highlight w:val="none"/>
              </w:rPr>
            </w:pPr>
          </w:p>
        </w:tc>
      </w:tr>
      <w:tr w14:paraId="4F1D6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8" w:hRule="atLeast"/>
          <w:jc w:val="center"/>
        </w:trPr>
        <w:tc>
          <w:tcPr>
            <w:tcW w:w="809" w:type="dxa"/>
            <w:vAlign w:val="center"/>
          </w:tcPr>
          <w:p w14:paraId="4951DF0C">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6</w:t>
            </w:r>
          </w:p>
        </w:tc>
        <w:tc>
          <w:tcPr>
            <w:tcW w:w="6577" w:type="dxa"/>
            <w:gridSpan w:val="2"/>
            <w:vAlign w:val="center"/>
          </w:tcPr>
          <w:p w14:paraId="516C0E7E">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具备履行合同所必需的设备和专业技术能力的证明材料。是指提供主要生产设备、检验设备表和主要技术、管理、服务人员数量表。格式见附件《履行合同的设备技术能力证明表》加盖公章；</w:t>
            </w:r>
          </w:p>
        </w:tc>
        <w:tc>
          <w:tcPr>
            <w:tcW w:w="1534" w:type="dxa"/>
            <w:vAlign w:val="center"/>
          </w:tcPr>
          <w:p w14:paraId="30F3002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是否提供□</w:t>
            </w:r>
          </w:p>
        </w:tc>
        <w:tc>
          <w:tcPr>
            <w:tcW w:w="1017" w:type="dxa"/>
            <w:vAlign w:val="center"/>
          </w:tcPr>
          <w:p w14:paraId="3685752E">
            <w:pPr>
              <w:jc w:val="center"/>
              <w:rPr>
                <w:rFonts w:hint="eastAsia" w:ascii="宋体" w:hAnsi="宋体" w:eastAsia="宋体" w:cs="宋体"/>
                <w:sz w:val="24"/>
                <w:szCs w:val="24"/>
                <w:highlight w:val="none"/>
              </w:rPr>
            </w:pPr>
          </w:p>
        </w:tc>
      </w:tr>
      <w:tr w14:paraId="1FCA7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jc w:val="center"/>
        </w:trPr>
        <w:tc>
          <w:tcPr>
            <w:tcW w:w="809" w:type="dxa"/>
            <w:vAlign w:val="center"/>
          </w:tcPr>
          <w:p w14:paraId="771432F3">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7</w:t>
            </w:r>
          </w:p>
        </w:tc>
        <w:tc>
          <w:tcPr>
            <w:tcW w:w="6577" w:type="dxa"/>
            <w:gridSpan w:val="2"/>
            <w:vAlign w:val="center"/>
          </w:tcPr>
          <w:p w14:paraId="1DBC12F4">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参加本次采购活动前3年内在经营活动中没有重大违法记录的声明和信用记录承诺。格式按《无重大违法记录声明》和《信用记录承诺函》；</w:t>
            </w:r>
          </w:p>
        </w:tc>
        <w:tc>
          <w:tcPr>
            <w:tcW w:w="1534" w:type="dxa"/>
            <w:vAlign w:val="center"/>
          </w:tcPr>
          <w:p w14:paraId="4190654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是否提供□</w:t>
            </w:r>
          </w:p>
        </w:tc>
        <w:tc>
          <w:tcPr>
            <w:tcW w:w="1017" w:type="dxa"/>
            <w:vAlign w:val="center"/>
          </w:tcPr>
          <w:p w14:paraId="5212B089">
            <w:pPr>
              <w:jc w:val="center"/>
              <w:rPr>
                <w:rFonts w:hint="eastAsia" w:ascii="宋体" w:hAnsi="宋体" w:eastAsia="宋体" w:cs="宋体"/>
                <w:sz w:val="24"/>
                <w:szCs w:val="24"/>
                <w:highlight w:val="none"/>
              </w:rPr>
            </w:pPr>
          </w:p>
        </w:tc>
      </w:tr>
      <w:tr w14:paraId="078FC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jc w:val="center"/>
        </w:trPr>
        <w:tc>
          <w:tcPr>
            <w:tcW w:w="809" w:type="dxa"/>
            <w:vAlign w:val="center"/>
          </w:tcPr>
          <w:p w14:paraId="41384BF0">
            <w:pPr>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8</w:t>
            </w:r>
          </w:p>
        </w:tc>
        <w:tc>
          <w:tcPr>
            <w:tcW w:w="6577" w:type="dxa"/>
            <w:gridSpan w:val="2"/>
            <w:vAlign w:val="center"/>
          </w:tcPr>
          <w:p w14:paraId="0EFFAE72">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资质证书；</w:t>
            </w:r>
          </w:p>
        </w:tc>
        <w:tc>
          <w:tcPr>
            <w:tcW w:w="1534" w:type="dxa"/>
            <w:vAlign w:val="center"/>
          </w:tcPr>
          <w:p w14:paraId="25B363A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是否提供□</w:t>
            </w:r>
          </w:p>
        </w:tc>
        <w:tc>
          <w:tcPr>
            <w:tcW w:w="1017" w:type="dxa"/>
            <w:vAlign w:val="center"/>
          </w:tcPr>
          <w:p w14:paraId="06471D76">
            <w:pPr>
              <w:jc w:val="center"/>
              <w:rPr>
                <w:rFonts w:hint="eastAsia" w:ascii="宋体" w:hAnsi="宋体" w:eastAsia="宋体" w:cs="宋体"/>
                <w:sz w:val="24"/>
                <w:szCs w:val="24"/>
                <w:highlight w:val="none"/>
              </w:rPr>
            </w:pPr>
          </w:p>
        </w:tc>
      </w:tr>
      <w:tr w14:paraId="3456C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809" w:type="dxa"/>
            <w:vAlign w:val="center"/>
          </w:tcPr>
          <w:p w14:paraId="445D09A8">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9</w:t>
            </w:r>
          </w:p>
        </w:tc>
        <w:tc>
          <w:tcPr>
            <w:tcW w:w="6577" w:type="dxa"/>
            <w:gridSpan w:val="2"/>
            <w:vAlign w:val="center"/>
          </w:tcPr>
          <w:p w14:paraId="1C721560">
            <w:pPr>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zh-CN"/>
              </w:rPr>
              <w:t>《</w:t>
            </w:r>
            <w:r>
              <w:rPr>
                <w:rFonts w:hint="eastAsia" w:ascii="宋体" w:hAnsi="宋体" w:cs="宋体"/>
                <w:sz w:val="24"/>
                <w:szCs w:val="24"/>
                <w:highlight w:val="none"/>
                <w:lang w:val="en-US" w:eastAsia="zh-CN"/>
              </w:rPr>
              <w:t>中小企业声明函》</w:t>
            </w:r>
          </w:p>
        </w:tc>
        <w:tc>
          <w:tcPr>
            <w:tcW w:w="1534" w:type="dxa"/>
            <w:vAlign w:val="center"/>
          </w:tcPr>
          <w:p w14:paraId="2A9DE26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是否提供□</w:t>
            </w:r>
          </w:p>
        </w:tc>
        <w:tc>
          <w:tcPr>
            <w:tcW w:w="1017" w:type="dxa"/>
            <w:vAlign w:val="center"/>
          </w:tcPr>
          <w:p w14:paraId="255C9723">
            <w:pPr>
              <w:jc w:val="center"/>
              <w:rPr>
                <w:rFonts w:hint="eastAsia" w:ascii="宋体" w:hAnsi="宋体" w:eastAsia="宋体" w:cs="宋体"/>
                <w:sz w:val="24"/>
                <w:szCs w:val="24"/>
                <w:highlight w:val="none"/>
              </w:rPr>
            </w:pPr>
          </w:p>
        </w:tc>
      </w:tr>
      <w:tr w14:paraId="38E6E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 w:hRule="atLeast"/>
          <w:jc w:val="center"/>
        </w:trPr>
        <w:tc>
          <w:tcPr>
            <w:tcW w:w="8920" w:type="dxa"/>
            <w:gridSpan w:val="4"/>
            <w:vAlign w:val="center"/>
          </w:tcPr>
          <w:p w14:paraId="6FAB64E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是否审查合格</w:t>
            </w:r>
          </w:p>
        </w:tc>
        <w:tc>
          <w:tcPr>
            <w:tcW w:w="1017" w:type="dxa"/>
            <w:vAlign w:val="center"/>
          </w:tcPr>
          <w:p w14:paraId="3ED691AC">
            <w:pPr>
              <w:jc w:val="center"/>
              <w:rPr>
                <w:rFonts w:hint="eastAsia" w:ascii="宋体" w:hAnsi="宋体" w:eastAsia="宋体" w:cs="宋体"/>
                <w:sz w:val="24"/>
                <w:szCs w:val="24"/>
                <w:highlight w:val="none"/>
              </w:rPr>
            </w:pPr>
          </w:p>
        </w:tc>
      </w:tr>
      <w:tr w14:paraId="71DFD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1" w:hRule="atLeast"/>
          <w:jc w:val="center"/>
        </w:trPr>
        <w:tc>
          <w:tcPr>
            <w:tcW w:w="2337" w:type="dxa"/>
            <w:gridSpan w:val="2"/>
            <w:vAlign w:val="center"/>
          </w:tcPr>
          <w:p w14:paraId="741B327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核验人签字</w:t>
            </w:r>
          </w:p>
        </w:tc>
        <w:tc>
          <w:tcPr>
            <w:tcW w:w="7600" w:type="dxa"/>
            <w:gridSpan w:val="3"/>
            <w:vAlign w:val="center"/>
          </w:tcPr>
          <w:p w14:paraId="71E0CAD8">
            <w:pPr>
              <w:jc w:val="center"/>
              <w:rPr>
                <w:rFonts w:hint="eastAsia" w:ascii="宋体" w:hAnsi="宋体" w:eastAsia="宋体" w:cs="宋体"/>
                <w:sz w:val="24"/>
                <w:szCs w:val="24"/>
                <w:highlight w:val="none"/>
              </w:rPr>
            </w:pPr>
          </w:p>
        </w:tc>
      </w:tr>
    </w:tbl>
    <w:p w14:paraId="0ECE26BB">
      <w:pPr>
        <w:spacing w:line="360" w:lineRule="auto"/>
        <w:ind w:left="844"/>
        <w:rPr>
          <w:rFonts w:hint="eastAsia" w:asciiTheme="minorEastAsia" w:hAnsiTheme="minorEastAsia" w:eastAsiaTheme="minorEastAsia" w:cstheme="minorEastAsia"/>
          <w:b/>
          <w:color w:val="auto"/>
          <w:w w:val="95"/>
          <w:sz w:val="20"/>
          <w:highlight w:val="none"/>
        </w:rPr>
      </w:pPr>
      <w:r>
        <w:rPr>
          <w:rFonts w:hint="eastAsia" w:asciiTheme="minorEastAsia" w:hAnsiTheme="minorEastAsia" w:eastAsiaTheme="minorEastAsia" w:cstheme="minorEastAsia"/>
          <w:b/>
          <w:color w:val="auto"/>
          <w:w w:val="95"/>
          <w:sz w:val="20"/>
          <w:highlight w:val="none"/>
        </w:rPr>
        <w:t xml:space="preserve">投标人名称：                                    </w:t>
      </w:r>
      <w:r>
        <w:rPr>
          <w:rFonts w:hint="eastAsia" w:asciiTheme="minorEastAsia" w:hAnsiTheme="minorEastAsia" w:eastAsiaTheme="minorEastAsia" w:cstheme="minorEastAsia"/>
          <w:b/>
          <w:color w:val="auto"/>
          <w:w w:val="95"/>
          <w:sz w:val="20"/>
          <w:highlight w:val="none"/>
          <w:lang w:val="en-US" w:eastAsia="zh-CN"/>
        </w:rPr>
        <w:t xml:space="preserve">                      </w:t>
      </w:r>
      <w:r>
        <w:rPr>
          <w:rFonts w:hint="eastAsia" w:asciiTheme="minorEastAsia" w:hAnsiTheme="minorEastAsia" w:eastAsiaTheme="minorEastAsia" w:cstheme="minorEastAsia"/>
          <w:b/>
          <w:color w:val="auto"/>
          <w:w w:val="95"/>
          <w:sz w:val="20"/>
          <w:highlight w:val="none"/>
        </w:rPr>
        <w:t>项目编号：</w:t>
      </w:r>
    </w:p>
    <w:p w14:paraId="2CCF4831">
      <w:pPr>
        <w:spacing w:line="360" w:lineRule="auto"/>
        <w:ind w:left="844"/>
        <w:rPr>
          <w:rFonts w:hint="eastAsia" w:asciiTheme="minorEastAsia" w:hAnsiTheme="minorEastAsia" w:eastAsiaTheme="minorEastAsia" w:cstheme="minorEastAsia"/>
          <w:b/>
          <w:color w:val="auto"/>
          <w:sz w:val="20"/>
          <w:highlight w:val="none"/>
          <w:lang w:eastAsia="zh-CN"/>
        </w:rPr>
      </w:pPr>
      <w:r>
        <w:rPr>
          <w:rFonts w:hint="eastAsia" w:asciiTheme="minorEastAsia" w:hAnsiTheme="minorEastAsia" w:eastAsiaTheme="minorEastAsia" w:cstheme="minorEastAsia"/>
          <w:b/>
          <w:color w:val="auto"/>
          <w:w w:val="95"/>
          <w:sz w:val="20"/>
          <w:highlight w:val="none"/>
        </w:rPr>
        <w:t>备注：（1）此表格请</w:t>
      </w:r>
      <w:r>
        <w:rPr>
          <w:rFonts w:hint="eastAsia" w:asciiTheme="minorEastAsia" w:hAnsiTheme="minorEastAsia" w:eastAsiaTheme="minorEastAsia" w:cstheme="minorEastAsia"/>
          <w:b/>
          <w:color w:val="auto"/>
          <w:w w:val="95"/>
          <w:sz w:val="20"/>
          <w:highlight w:val="none"/>
          <w:lang w:eastAsia="zh-CN"/>
        </w:rPr>
        <w:t>投标人</w:t>
      </w:r>
      <w:r>
        <w:rPr>
          <w:rFonts w:hint="eastAsia" w:asciiTheme="minorEastAsia" w:hAnsiTheme="minorEastAsia" w:eastAsiaTheme="minorEastAsia" w:cstheme="minorEastAsia"/>
          <w:b/>
          <w:color w:val="auto"/>
          <w:w w:val="95"/>
          <w:sz w:val="20"/>
          <w:highlight w:val="none"/>
        </w:rPr>
        <w:t>如实填写完毕，上传至电子响应文件中</w:t>
      </w:r>
      <w:r>
        <w:rPr>
          <w:rFonts w:hint="eastAsia" w:asciiTheme="minorEastAsia" w:hAnsiTheme="minorEastAsia" w:eastAsiaTheme="minorEastAsia" w:cstheme="minorEastAsia"/>
          <w:b/>
          <w:color w:val="auto"/>
          <w:w w:val="95"/>
          <w:sz w:val="20"/>
          <w:highlight w:val="none"/>
          <w:lang w:eastAsia="zh-CN"/>
        </w:rPr>
        <w:t>投标所需其他材料</w:t>
      </w:r>
      <w:r>
        <w:rPr>
          <w:rFonts w:hint="eastAsia" w:asciiTheme="minorEastAsia" w:hAnsiTheme="minorEastAsia" w:eastAsiaTheme="minorEastAsia" w:cstheme="minorEastAsia"/>
          <w:b/>
          <w:color w:val="auto"/>
          <w:w w:val="95"/>
          <w:sz w:val="20"/>
          <w:highlight w:val="none"/>
        </w:rPr>
        <w:t>。</w:t>
      </w:r>
    </w:p>
    <w:p w14:paraId="01B4B3A7">
      <w:pPr>
        <w:pStyle w:val="129"/>
        <w:numPr>
          <w:ilvl w:val="0"/>
          <w:numId w:val="0"/>
        </w:numPr>
        <w:tabs>
          <w:tab w:val="left" w:pos="1349"/>
        </w:tabs>
        <w:spacing w:before="0" w:line="360" w:lineRule="auto"/>
        <w:ind w:leftChars="200" w:firstLine="1004" w:firstLineChars="500"/>
        <w:rPr>
          <w:rFonts w:asciiTheme="minorEastAsia" w:hAnsiTheme="minorEastAsia" w:eastAsiaTheme="minorEastAsia" w:cstheme="minorEastAsia"/>
          <w:b/>
          <w:color w:val="auto"/>
          <w:sz w:val="20"/>
          <w:highlight w:val="none"/>
        </w:rPr>
      </w:pPr>
      <w:r>
        <w:rPr>
          <w:rFonts w:hint="eastAsia" w:asciiTheme="minorEastAsia" w:hAnsiTheme="minorEastAsia" w:eastAsiaTheme="minorEastAsia" w:cstheme="minorEastAsia"/>
          <w:b/>
          <w:color w:val="auto"/>
          <w:sz w:val="20"/>
          <w:highlight w:val="none"/>
          <w:lang w:eastAsia="zh-CN"/>
        </w:rPr>
        <w:t>（</w:t>
      </w:r>
      <w:r>
        <w:rPr>
          <w:rFonts w:hint="eastAsia" w:asciiTheme="minorEastAsia" w:hAnsiTheme="minorEastAsia" w:eastAsiaTheme="minorEastAsia" w:cstheme="minorEastAsia"/>
          <w:b/>
          <w:color w:val="auto"/>
          <w:sz w:val="20"/>
          <w:highlight w:val="none"/>
          <w:lang w:val="en-US" w:eastAsia="zh-CN"/>
        </w:rPr>
        <w:t>2</w:t>
      </w:r>
      <w:r>
        <w:rPr>
          <w:rFonts w:hint="eastAsia" w:asciiTheme="minorEastAsia" w:hAnsiTheme="minorEastAsia" w:eastAsiaTheme="minorEastAsia" w:cstheme="minorEastAsia"/>
          <w:b/>
          <w:color w:val="auto"/>
          <w:sz w:val="20"/>
          <w:highlight w:val="none"/>
          <w:lang w:eastAsia="zh-CN"/>
        </w:rPr>
        <w:t>）</w:t>
      </w:r>
      <w:r>
        <w:rPr>
          <w:rFonts w:hint="eastAsia" w:asciiTheme="minorEastAsia" w:hAnsiTheme="minorEastAsia" w:eastAsiaTheme="minorEastAsia" w:cstheme="minorEastAsia"/>
          <w:b/>
          <w:color w:val="auto"/>
          <w:sz w:val="20"/>
          <w:highlight w:val="none"/>
        </w:rPr>
        <w:t>此表内容如果内容与资格要求不一致，以资格要求为准。</w:t>
      </w:r>
    </w:p>
    <w:p w14:paraId="4C31E452">
      <w:pPr>
        <w:spacing w:line="360" w:lineRule="auto"/>
        <w:ind w:firstLine="1405" w:firstLineChars="700"/>
        <w:rPr>
          <w:rFonts w:hint="eastAsia" w:asciiTheme="minorEastAsia" w:hAnsiTheme="minorEastAsia" w:eastAsiaTheme="minorEastAsia" w:cstheme="minorEastAsia"/>
          <w:b/>
          <w:color w:val="auto"/>
          <w:sz w:val="20"/>
          <w:highlight w:val="none"/>
        </w:rPr>
      </w:pPr>
      <w:r>
        <w:rPr>
          <w:rFonts w:hint="eastAsia" w:asciiTheme="minorEastAsia" w:hAnsiTheme="minorEastAsia" w:eastAsiaTheme="minorEastAsia" w:cstheme="minorEastAsia"/>
          <w:b/>
          <w:color w:val="auto"/>
          <w:sz w:val="20"/>
          <w:highlight w:val="none"/>
          <w:lang w:val="en-US" w:eastAsia="zh-CN"/>
        </w:rPr>
        <w:t>（3）</w:t>
      </w:r>
      <w:r>
        <w:rPr>
          <w:rFonts w:hint="eastAsia" w:asciiTheme="minorEastAsia" w:hAnsiTheme="minorEastAsia" w:eastAsiaTheme="minorEastAsia" w:cstheme="minorEastAsia"/>
          <w:b/>
          <w:color w:val="auto"/>
          <w:sz w:val="20"/>
          <w:highlight w:val="none"/>
        </w:rPr>
        <w:t>依法免税或不需要缴纳社会保障资金的，需提供相关证明文件。</w:t>
      </w:r>
    </w:p>
    <w:p w14:paraId="01A51571">
      <w:pPr>
        <w:rPr>
          <w:rFonts w:hint="eastAsia" w:ascii="宋体" w:hAnsi="宋体" w:eastAsia="宋体" w:cs="宋体"/>
          <w:b/>
          <w:color w:val="000000" w:themeColor="text1"/>
          <w:sz w:val="24"/>
          <w:highlight w:val="none"/>
          <w:lang w:val="en-US" w:eastAsia="zh-CN"/>
          <w14:textFill>
            <w14:solidFill>
              <w14:schemeClr w14:val="tx1"/>
            </w14:solidFill>
          </w14:textFill>
        </w:rPr>
      </w:pPr>
    </w:p>
    <w:p w14:paraId="1886FC92">
      <w:pP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r>
    </w:p>
    <w:p w14:paraId="196DF7B9">
      <w:pPr>
        <w:pStyle w:val="30"/>
        <w:rPr>
          <w:rFonts w:hint="eastAsia"/>
          <w:highlight w:val="none"/>
        </w:rPr>
      </w:pPr>
    </w:p>
    <w:p w14:paraId="62D57BFD">
      <w:pPr>
        <w:jc w:val="center"/>
        <w:outlineLvl w:val="1"/>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投标人需要加以说明的其他材料</w:t>
      </w:r>
    </w:p>
    <w:p w14:paraId="751F8C01">
      <w:pPr>
        <w:spacing w:line="360" w:lineRule="auto"/>
        <w:textAlignment w:val="center"/>
        <w:rPr>
          <w:rFonts w:ascii="宋体" w:hAnsi="宋体" w:cs="宋体"/>
          <w:color w:val="000000" w:themeColor="text1"/>
          <w:sz w:val="24"/>
          <w:highlight w:val="none"/>
          <w14:textFill>
            <w14:solidFill>
              <w14:schemeClr w14:val="tx1"/>
            </w14:solidFill>
          </w14:textFill>
        </w:rPr>
      </w:pPr>
    </w:p>
    <w:p w14:paraId="1F4E582F">
      <w:pPr>
        <w:spacing w:line="360" w:lineRule="auto"/>
        <w:textAlignment w:val="center"/>
        <w:rPr>
          <w:rFonts w:ascii="宋体" w:hAnsi="宋体" w:cs="宋体"/>
          <w:color w:val="000000" w:themeColor="text1"/>
          <w:sz w:val="24"/>
          <w:highlight w:val="none"/>
          <w14:textFill>
            <w14:solidFill>
              <w14:schemeClr w14:val="tx1"/>
            </w14:solidFill>
          </w14:textFill>
        </w:rPr>
      </w:pPr>
    </w:p>
    <w:p w14:paraId="139D7F15">
      <w:pPr>
        <w:spacing w:line="360" w:lineRule="auto"/>
        <w:textAlignment w:val="center"/>
        <w:rPr>
          <w:rFonts w:ascii="宋体" w:hAnsi="宋体" w:cs="宋体"/>
          <w:color w:val="000000" w:themeColor="text1"/>
          <w:sz w:val="24"/>
          <w:highlight w:val="none"/>
          <w14:textFill>
            <w14:solidFill>
              <w14:schemeClr w14:val="tx1"/>
            </w14:solidFill>
          </w14:textFill>
        </w:rPr>
      </w:pPr>
    </w:p>
    <w:p w14:paraId="0A8686F6">
      <w:pPr>
        <w:spacing w:line="360" w:lineRule="auto"/>
        <w:textAlignment w:val="center"/>
        <w:rPr>
          <w:rFonts w:ascii="宋体" w:hAnsi="宋体" w:cs="宋体"/>
          <w:color w:val="000000" w:themeColor="text1"/>
          <w:sz w:val="24"/>
          <w:highlight w:val="none"/>
          <w14:textFill>
            <w14:solidFill>
              <w14:schemeClr w14:val="tx1"/>
            </w14:solidFill>
          </w14:textFill>
        </w:rPr>
      </w:pPr>
    </w:p>
    <w:p w14:paraId="6B1025C9">
      <w:pPr>
        <w:spacing w:line="360" w:lineRule="auto"/>
        <w:textAlignment w:val="center"/>
        <w:rPr>
          <w:rFonts w:ascii="宋体" w:hAnsi="宋体" w:cs="宋体"/>
          <w:color w:val="000000" w:themeColor="text1"/>
          <w:sz w:val="24"/>
          <w:highlight w:val="none"/>
          <w14:textFill>
            <w14:solidFill>
              <w14:schemeClr w14:val="tx1"/>
            </w14:solidFill>
          </w14:textFill>
        </w:rPr>
      </w:pPr>
    </w:p>
    <w:p w14:paraId="7D442583">
      <w:pPr>
        <w:spacing w:line="360" w:lineRule="auto"/>
        <w:textAlignment w:val="center"/>
        <w:rPr>
          <w:rFonts w:ascii="宋体" w:hAnsi="宋体" w:cs="宋体"/>
          <w:color w:val="000000" w:themeColor="text1"/>
          <w:sz w:val="24"/>
          <w:highlight w:val="none"/>
          <w14:textFill>
            <w14:solidFill>
              <w14:schemeClr w14:val="tx1"/>
            </w14:solidFill>
          </w14:textFill>
        </w:rPr>
      </w:pPr>
    </w:p>
    <w:p w14:paraId="6E91468B">
      <w:pPr>
        <w:spacing w:line="360" w:lineRule="auto"/>
        <w:textAlignment w:val="center"/>
        <w:rPr>
          <w:rFonts w:ascii="宋体" w:hAnsi="宋体" w:cs="宋体"/>
          <w:color w:val="000000" w:themeColor="text1"/>
          <w:sz w:val="24"/>
          <w:highlight w:val="none"/>
          <w14:textFill>
            <w14:solidFill>
              <w14:schemeClr w14:val="tx1"/>
            </w14:solidFill>
          </w14:textFill>
        </w:rPr>
      </w:pPr>
    </w:p>
    <w:p w14:paraId="6384551E">
      <w:pPr>
        <w:pStyle w:val="4"/>
        <w:outlineLvl w:val="9"/>
        <w:rPr>
          <w:rFonts w:ascii="宋体" w:hAnsi="宋体" w:cs="宋体"/>
          <w:color w:val="000000" w:themeColor="text1"/>
          <w:sz w:val="24"/>
          <w:highlight w:val="none"/>
          <w14:textFill>
            <w14:solidFill>
              <w14:schemeClr w14:val="tx1"/>
            </w14:solidFill>
          </w14:textFill>
        </w:rPr>
      </w:pPr>
    </w:p>
    <w:p w14:paraId="1151FA0E">
      <w:pPr>
        <w:pStyle w:val="4"/>
        <w:outlineLvl w:val="9"/>
        <w:rPr>
          <w:color w:val="000000" w:themeColor="text1"/>
          <w:highlight w:val="none"/>
          <w14:textFill>
            <w14:solidFill>
              <w14:schemeClr w14:val="tx1"/>
            </w14:solidFill>
          </w14:textFill>
        </w:rPr>
      </w:pPr>
    </w:p>
    <w:p w14:paraId="49FFD16B">
      <w:pPr>
        <w:spacing w:line="360" w:lineRule="auto"/>
        <w:textAlignment w:val="center"/>
        <w:rPr>
          <w:rFonts w:ascii="宋体" w:hAnsi="宋体" w:cs="宋体"/>
          <w:color w:val="000000" w:themeColor="text1"/>
          <w:sz w:val="24"/>
          <w:highlight w:val="none"/>
          <w14:textFill>
            <w14:solidFill>
              <w14:schemeClr w14:val="tx1"/>
            </w14:solidFill>
          </w14:textFill>
        </w:rPr>
      </w:pPr>
    </w:p>
    <w:p w14:paraId="57EE7EC5">
      <w:pPr>
        <w:rPr>
          <w:rFonts w:hint="eastAsia" w:ascii="宋体" w:hAnsi="宋体" w:cs="宋体"/>
          <w:b/>
          <w:color w:val="000000" w:themeColor="text1"/>
          <w:sz w:val="32"/>
          <w:highlight w:val="none"/>
          <w14:textFill>
            <w14:solidFill>
              <w14:schemeClr w14:val="tx1"/>
            </w14:solidFill>
          </w14:textFill>
        </w:rPr>
      </w:pPr>
      <w:bookmarkStart w:id="67" w:name="_Toc171496388"/>
      <w:r>
        <w:rPr>
          <w:rFonts w:hint="eastAsia" w:ascii="宋体" w:hAnsi="宋体" w:cs="宋体"/>
          <w:b/>
          <w:color w:val="000000" w:themeColor="text1"/>
          <w:sz w:val="32"/>
          <w:highlight w:val="none"/>
          <w14:textFill>
            <w14:solidFill>
              <w14:schemeClr w14:val="tx1"/>
            </w14:solidFill>
          </w14:textFill>
        </w:rPr>
        <w:br w:type="page"/>
      </w:r>
    </w:p>
    <w:p w14:paraId="57B095D9">
      <w:pPr>
        <w:spacing w:line="440" w:lineRule="exact"/>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政府采购政策：</w:t>
      </w:r>
      <w:bookmarkEnd w:id="67"/>
    </w:p>
    <w:p w14:paraId="22B648E7">
      <w:pPr>
        <w:pStyle w:val="75"/>
        <w:rPr>
          <w:rFonts w:hint="eastAsia"/>
          <w:highlight w:val="none"/>
        </w:rPr>
      </w:pPr>
    </w:p>
    <w:p w14:paraId="172E3984">
      <w:pPr>
        <w:ind w:firstLine="482" w:firstLineChars="20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如涉及节能环保产品、小型和微型企业、监狱企业、残疾人福利性单位产品，请将相关表格及材料上传至电子投标文件相应模块。（除涉及强制性节能环保产品外，没有可不提供）</w:t>
      </w:r>
    </w:p>
    <w:p w14:paraId="2889AD92">
      <w:pPr>
        <w:spacing w:line="360" w:lineRule="auto"/>
        <w:jc w:val="center"/>
        <w:rPr>
          <w:rFonts w:hint="eastAsia" w:ascii="宋体" w:hAnsi="宋体" w:eastAsia="宋体" w:cs="宋体"/>
          <w:b/>
          <w:color w:val="000000" w:themeColor="text1"/>
          <w:sz w:val="30"/>
          <w:szCs w:val="30"/>
          <w:highlight w:val="none"/>
          <w14:textFill>
            <w14:solidFill>
              <w14:schemeClr w14:val="tx1"/>
            </w14:solidFill>
          </w14:textFill>
        </w:rPr>
      </w:pPr>
    </w:p>
    <w:p w14:paraId="32AA13BC">
      <w:pPr>
        <w:spacing w:line="360" w:lineRule="auto"/>
        <w:jc w:val="cente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1.强制采购节能产品明细表       </w:t>
      </w:r>
    </w:p>
    <w:tbl>
      <w:tblPr>
        <w:tblStyle w:val="76"/>
        <w:tblW w:w="9580" w:type="dxa"/>
        <w:tblInd w:w="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1380"/>
        <w:gridCol w:w="1263"/>
        <w:gridCol w:w="2328"/>
        <w:gridCol w:w="1127"/>
        <w:gridCol w:w="1386"/>
        <w:gridCol w:w="1449"/>
      </w:tblGrid>
      <w:tr w14:paraId="0D82C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647" w:type="dxa"/>
            <w:vMerge w:val="restart"/>
            <w:tcBorders>
              <w:top w:val="single" w:color="auto" w:sz="4" w:space="0"/>
              <w:left w:val="single" w:color="auto" w:sz="4" w:space="0"/>
              <w:bottom w:val="single" w:color="auto" w:sz="4" w:space="0"/>
              <w:right w:val="single" w:color="auto" w:sz="4" w:space="0"/>
            </w:tcBorders>
            <w:noWrap w:val="0"/>
            <w:vAlign w:val="center"/>
          </w:tcPr>
          <w:p w14:paraId="382B62DB">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序号</w:t>
            </w:r>
          </w:p>
        </w:tc>
        <w:tc>
          <w:tcPr>
            <w:tcW w:w="1380" w:type="dxa"/>
            <w:vMerge w:val="restart"/>
            <w:tcBorders>
              <w:top w:val="single" w:color="auto" w:sz="4" w:space="0"/>
              <w:left w:val="single" w:color="auto" w:sz="4" w:space="0"/>
              <w:bottom w:val="single" w:color="auto" w:sz="4" w:space="0"/>
              <w:right w:val="single" w:color="auto" w:sz="4" w:space="0"/>
            </w:tcBorders>
            <w:noWrap w:val="0"/>
            <w:vAlign w:val="center"/>
          </w:tcPr>
          <w:p w14:paraId="2048CBE9">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货物名称</w:t>
            </w:r>
          </w:p>
        </w:tc>
        <w:tc>
          <w:tcPr>
            <w:tcW w:w="1263" w:type="dxa"/>
            <w:vMerge w:val="restart"/>
            <w:tcBorders>
              <w:top w:val="single" w:color="auto" w:sz="4" w:space="0"/>
              <w:left w:val="single" w:color="auto" w:sz="4" w:space="0"/>
              <w:bottom w:val="single" w:color="auto" w:sz="4" w:space="0"/>
              <w:right w:val="single" w:color="auto" w:sz="4" w:space="0"/>
            </w:tcBorders>
            <w:noWrap w:val="0"/>
            <w:vAlign w:val="center"/>
          </w:tcPr>
          <w:p w14:paraId="77C9FA58">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型号/规格</w:t>
            </w:r>
          </w:p>
        </w:tc>
        <w:tc>
          <w:tcPr>
            <w:tcW w:w="2328" w:type="dxa"/>
            <w:vMerge w:val="restart"/>
            <w:tcBorders>
              <w:top w:val="single" w:color="auto" w:sz="4" w:space="0"/>
              <w:left w:val="single" w:color="auto" w:sz="4" w:space="0"/>
              <w:bottom w:val="single" w:color="auto" w:sz="4" w:space="0"/>
              <w:right w:val="single" w:color="auto" w:sz="4" w:space="0"/>
            </w:tcBorders>
            <w:noWrap w:val="0"/>
            <w:vAlign w:val="center"/>
          </w:tcPr>
          <w:p w14:paraId="32F6E16E">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节字标志认证证书号</w:t>
            </w:r>
          </w:p>
        </w:tc>
        <w:tc>
          <w:tcPr>
            <w:tcW w:w="1127" w:type="dxa"/>
            <w:vMerge w:val="restart"/>
            <w:tcBorders>
              <w:top w:val="single" w:color="auto" w:sz="4" w:space="0"/>
              <w:left w:val="single" w:color="auto" w:sz="4" w:space="0"/>
              <w:bottom w:val="single" w:color="auto" w:sz="4" w:space="0"/>
              <w:right w:val="single" w:color="auto" w:sz="4" w:space="0"/>
            </w:tcBorders>
            <w:noWrap w:val="0"/>
            <w:vAlign w:val="center"/>
          </w:tcPr>
          <w:p w14:paraId="05881D19">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数量</w:t>
            </w:r>
          </w:p>
        </w:tc>
        <w:tc>
          <w:tcPr>
            <w:tcW w:w="1386" w:type="dxa"/>
            <w:vMerge w:val="restart"/>
            <w:tcBorders>
              <w:top w:val="single" w:color="auto" w:sz="4" w:space="0"/>
              <w:left w:val="single" w:color="auto" w:sz="4" w:space="0"/>
              <w:bottom w:val="single" w:color="auto" w:sz="4" w:space="0"/>
              <w:right w:val="single" w:color="auto" w:sz="4" w:space="0"/>
            </w:tcBorders>
            <w:noWrap w:val="0"/>
            <w:vAlign w:val="center"/>
          </w:tcPr>
          <w:p w14:paraId="610B58C6">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单价（元）</w:t>
            </w:r>
          </w:p>
        </w:tc>
        <w:tc>
          <w:tcPr>
            <w:tcW w:w="1449" w:type="dxa"/>
            <w:vMerge w:val="restart"/>
            <w:tcBorders>
              <w:top w:val="single" w:color="auto" w:sz="4" w:space="0"/>
              <w:left w:val="single" w:color="auto" w:sz="4" w:space="0"/>
              <w:bottom w:val="single" w:color="auto" w:sz="4" w:space="0"/>
              <w:right w:val="single" w:color="auto" w:sz="4" w:space="0"/>
            </w:tcBorders>
            <w:noWrap w:val="0"/>
            <w:vAlign w:val="center"/>
          </w:tcPr>
          <w:p w14:paraId="38C67094">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合价（元）</w:t>
            </w:r>
          </w:p>
        </w:tc>
      </w:tr>
      <w:tr w14:paraId="00D71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647" w:type="dxa"/>
            <w:vMerge w:val="continue"/>
            <w:tcBorders>
              <w:top w:val="single" w:color="auto" w:sz="4" w:space="0"/>
              <w:left w:val="single" w:color="auto" w:sz="4" w:space="0"/>
              <w:bottom w:val="single" w:color="auto" w:sz="4" w:space="0"/>
              <w:right w:val="single" w:color="auto" w:sz="4" w:space="0"/>
            </w:tcBorders>
            <w:noWrap w:val="0"/>
            <w:vAlign w:val="center"/>
          </w:tcPr>
          <w:p w14:paraId="30D71417">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c>
          <w:tcPr>
            <w:tcW w:w="1380" w:type="dxa"/>
            <w:vMerge w:val="continue"/>
            <w:tcBorders>
              <w:top w:val="single" w:color="auto" w:sz="4" w:space="0"/>
              <w:left w:val="single" w:color="auto" w:sz="4" w:space="0"/>
              <w:bottom w:val="single" w:color="auto" w:sz="4" w:space="0"/>
              <w:right w:val="single" w:color="auto" w:sz="4" w:space="0"/>
            </w:tcBorders>
            <w:noWrap w:val="0"/>
            <w:vAlign w:val="center"/>
          </w:tcPr>
          <w:p w14:paraId="47235FAE">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c>
          <w:tcPr>
            <w:tcW w:w="1263" w:type="dxa"/>
            <w:vMerge w:val="continue"/>
            <w:tcBorders>
              <w:top w:val="single" w:color="auto" w:sz="4" w:space="0"/>
              <w:left w:val="single" w:color="auto" w:sz="4" w:space="0"/>
              <w:bottom w:val="single" w:color="auto" w:sz="4" w:space="0"/>
              <w:right w:val="single" w:color="auto" w:sz="4" w:space="0"/>
            </w:tcBorders>
            <w:noWrap w:val="0"/>
            <w:vAlign w:val="center"/>
          </w:tcPr>
          <w:p w14:paraId="5C6EBFB3">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c>
          <w:tcPr>
            <w:tcW w:w="2328" w:type="dxa"/>
            <w:vMerge w:val="continue"/>
            <w:tcBorders>
              <w:top w:val="single" w:color="auto" w:sz="4" w:space="0"/>
              <w:left w:val="single" w:color="auto" w:sz="4" w:space="0"/>
              <w:bottom w:val="single" w:color="auto" w:sz="4" w:space="0"/>
              <w:right w:val="single" w:color="auto" w:sz="4" w:space="0"/>
            </w:tcBorders>
            <w:noWrap w:val="0"/>
            <w:vAlign w:val="center"/>
          </w:tcPr>
          <w:p w14:paraId="719516D6">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c>
          <w:tcPr>
            <w:tcW w:w="1127" w:type="dxa"/>
            <w:vMerge w:val="continue"/>
            <w:tcBorders>
              <w:top w:val="single" w:color="auto" w:sz="4" w:space="0"/>
              <w:left w:val="single" w:color="auto" w:sz="4" w:space="0"/>
              <w:bottom w:val="single" w:color="auto" w:sz="4" w:space="0"/>
              <w:right w:val="single" w:color="auto" w:sz="4" w:space="0"/>
            </w:tcBorders>
            <w:noWrap w:val="0"/>
            <w:vAlign w:val="center"/>
          </w:tcPr>
          <w:p w14:paraId="041373EB">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c>
          <w:tcPr>
            <w:tcW w:w="1386" w:type="dxa"/>
            <w:vMerge w:val="continue"/>
            <w:tcBorders>
              <w:top w:val="single" w:color="auto" w:sz="4" w:space="0"/>
              <w:left w:val="single" w:color="auto" w:sz="4" w:space="0"/>
              <w:bottom w:val="single" w:color="auto" w:sz="4" w:space="0"/>
              <w:right w:val="single" w:color="auto" w:sz="4" w:space="0"/>
            </w:tcBorders>
            <w:noWrap w:val="0"/>
            <w:vAlign w:val="center"/>
          </w:tcPr>
          <w:p w14:paraId="10ABAFC4">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c>
          <w:tcPr>
            <w:tcW w:w="1449" w:type="dxa"/>
            <w:vMerge w:val="continue"/>
            <w:tcBorders>
              <w:top w:val="single" w:color="auto" w:sz="4" w:space="0"/>
              <w:left w:val="single" w:color="auto" w:sz="4" w:space="0"/>
              <w:bottom w:val="single" w:color="auto" w:sz="4" w:space="0"/>
              <w:right w:val="single" w:color="auto" w:sz="4" w:space="0"/>
            </w:tcBorders>
            <w:noWrap w:val="0"/>
            <w:vAlign w:val="center"/>
          </w:tcPr>
          <w:p w14:paraId="2A446E3B">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r>
      <w:tr w14:paraId="091D5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647" w:type="dxa"/>
            <w:tcBorders>
              <w:top w:val="single" w:color="auto" w:sz="4" w:space="0"/>
              <w:left w:val="single" w:color="auto" w:sz="4" w:space="0"/>
              <w:bottom w:val="single" w:color="auto" w:sz="4" w:space="0"/>
              <w:right w:val="single" w:color="auto" w:sz="4" w:space="0"/>
            </w:tcBorders>
            <w:noWrap w:val="0"/>
            <w:vAlign w:val="center"/>
          </w:tcPr>
          <w:p w14:paraId="25811FE1">
            <w:pPr>
              <w:spacing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p>
        </w:tc>
        <w:tc>
          <w:tcPr>
            <w:tcW w:w="1380" w:type="dxa"/>
            <w:tcBorders>
              <w:top w:val="single" w:color="auto" w:sz="4" w:space="0"/>
              <w:left w:val="single" w:color="auto" w:sz="4" w:space="0"/>
              <w:bottom w:val="single" w:color="auto" w:sz="4" w:space="0"/>
              <w:right w:val="single" w:color="auto" w:sz="4" w:space="0"/>
            </w:tcBorders>
            <w:noWrap w:val="0"/>
            <w:vAlign w:val="center"/>
          </w:tcPr>
          <w:p w14:paraId="07EF88DE">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263" w:type="dxa"/>
            <w:tcBorders>
              <w:top w:val="single" w:color="auto" w:sz="4" w:space="0"/>
              <w:left w:val="single" w:color="auto" w:sz="4" w:space="0"/>
              <w:bottom w:val="single" w:color="auto" w:sz="4" w:space="0"/>
              <w:right w:val="single" w:color="auto" w:sz="4" w:space="0"/>
            </w:tcBorders>
            <w:noWrap w:val="0"/>
            <w:vAlign w:val="center"/>
          </w:tcPr>
          <w:p w14:paraId="377E1A94">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2328" w:type="dxa"/>
            <w:tcBorders>
              <w:top w:val="single" w:color="auto" w:sz="4" w:space="0"/>
              <w:left w:val="single" w:color="auto" w:sz="4" w:space="0"/>
              <w:bottom w:val="single" w:color="auto" w:sz="4" w:space="0"/>
              <w:right w:val="single" w:color="auto" w:sz="4" w:space="0"/>
            </w:tcBorders>
            <w:noWrap w:val="0"/>
            <w:vAlign w:val="center"/>
          </w:tcPr>
          <w:p w14:paraId="472C2377">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127" w:type="dxa"/>
            <w:tcBorders>
              <w:top w:val="single" w:color="auto" w:sz="4" w:space="0"/>
              <w:left w:val="single" w:color="auto" w:sz="4" w:space="0"/>
              <w:bottom w:val="single" w:color="auto" w:sz="4" w:space="0"/>
              <w:right w:val="single" w:color="auto" w:sz="4" w:space="0"/>
            </w:tcBorders>
            <w:noWrap w:val="0"/>
            <w:vAlign w:val="center"/>
          </w:tcPr>
          <w:p w14:paraId="67F521B5">
            <w:pPr>
              <w:spacing w:line="360" w:lineRule="auto"/>
              <w:ind w:right="-346" w:rightChars="-165"/>
              <w:jc w:val="center"/>
              <w:rPr>
                <w:rFonts w:hint="eastAsia" w:ascii="宋体" w:hAnsi="宋体" w:eastAsia="宋体" w:cs="宋体"/>
                <w:color w:val="000000" w:themeColor="text1"/>
                <w:highlight w:val="none"/>
                <w14:textFill>
                  <w14:solidFill>
                    <w14:schemeClr w14:val="tx1"/>
                  </w14:solidFill>
                </w14:textFill>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2F7D195E">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449" w:type="dxa"/>
            <w:tcBorders>
              <w:top w:val="single" w:color="auto" w:sz="4" w:space="0"/>
              <w:left w:val="single" w:color="auto" w:sz="4" w:space="0"/>
              <w:bottom w:val="single" w:color="auto" w:sz="4" w:space="0"/>
              <w:right w:val="single" w:color="auto" w:sz="4" w:space="0"/>
            </w:tcBorders>
            <w:noWrap w:val="0"/>
            <w:vAlign w:val="center"/>
          </w:tcPr>
          <w:p w14:paraId="4710C6FA">
            <w:pPr>
              <w:spacing w:line="360" w:lineRule="auto"/>
              <w:jc w:val="center"/>
              <w:rPr>
                <w:rFonts w:hint="eastAsia" w:ascii="宋体" w:hAnsi="宋体" w:eastAsia="宋体" w:cs="宋体"/>
                <w:color w:val="000000" w:themeColor="text1"/>
                <w:highlight w:val="none"/>
                <w14:textFill>
                  <w14:solidFill>
                    <w14:schemeClr w14:val="tx1"/>
                  </w14:solidFill>
                </w14:textFill>
              </w:rPr>
            </w:pPr>
          </w:p>
        </w:tc>
      </w:tr>
      <w:tr w14:paraId="0423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647" w:type="dxa"/>
            <w:tcBorders>
              <w:top w:val="single" w:color="auto" w:sz="4" w:space="0"/>
              <w:left w:val="single" w:color="auto" w:sz="4" w:space="0"/>
              <w:bottom w:val="single" w:color="auto" w:sz="4" w:space="0"/>
              <w:right w:val="single" w:color="auto" w:sz="4" w:space="0"/>
            </w:tcBorders>
            <w:noWrap w:val="0"/>
            <w:vAlign w:val="center"/>
          </w:tcPr>
          <w:p w14:paraId="284C0549">
            <w:pPr>
              <w:spacing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p>
        </w:tc>
        <w:tc>
          <w:tcPr>
            <w:tcW w:w="1380" w:type="dxa"/>
            <w:tcBorders>
              <w:top w:val="single" w:color="auto" w:sz="4" w:space="0"/>
              <w:left w:val="single" w:color="auto" w:sz="4" w:space="0"/>
              <w:bottom w:val="single" w:color="auto" w:sz="4" w:space="0"/>
              <w:right w:val="single" w:color="auto" w:sz="4" w:space="0"/>
            </w:tcBorders>
            <w:noWrap w:val="0"/>
            <w:vAlign w:val="center"/>
          </w:tcPr>
          <w:p w14:paraId="6C747C18">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263" w:type="dxa"/>
            <w:tcBorders>
              <w:top w:val="single" w:color="auto" w:sz="4" w:space="0"/>
              <w:left w:val="single" w:color="auto" w:sz="4" w:space="0"/>
              <w:bottom w:val="single" w:color="auto" w:sz="4" w:space="0"/>
              <w:right w:val="single" w:color="auto" w:sz="4" w:space="0"/>
            </w:tcBorders>
            <w:noWrap w:val="0"/>
            <w:vAlign w:val="center"/>
          </w:tcPr>
          <w:p w14:paraId="4870462F">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2328" w:type="dxa"/>
            <w:tcBorders>
              <w:top w:val="single" w:color="auto" w:sz="4" w:space="0"/>
              <w:left w:val="single" w:color="auto" w:sz="4" w:space="0"/>
              <w:bottom w:val="single" w:color="auto" w:sz="4" w:space="0"/>
              <w:right w:val="single" w:color="auto" w:sz="4" w:space="0"/>
            </w:tcBorders>
            <w:noWrap w:val="0"/>
            <w:vAlign w:val="center"/>
          </w:tcPr>
          <w:p w14:paraId="16E81DBA">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127" w:type="dxa"/>
            <w:tcBorders>
              <w:top w:val="single" w:color="auto" w:sz="4" w:space="0"/>
              <w:left w:val="single" w:color="auto" w:sz="4" w:space="0"/>
              <w:bottom w:val="single" w:color="auto" w:sz="4" w:space="0"/>
              <w:right w:val="single" w:color="auto" w:sz="4" w:space="0"/>
            </w:tcBorders>
            <w:noWrap w:val="0"/>
            <w:vAlign w:val="center"/>
          </w:tcPr>
          <w:p w14:paraId="4EBBCE5F">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1CF74066">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449" w:type="dxa"/>
            <w:tcBorders>
              <w:top w:val="single" w:color="auto" w:sz="4" w:space="0"/>
              <w:left w:val="single" w:color="auto" w:sz="4" w:space="0"/>
              <w:bottom w:val="single" w:color="auto" w:sz="4" w:space="0"/>
              <w:right w:val="single" w:color="auto" w:sz="4" w:space="0"/>
            </w:tcBorders>
            <w:noWrap w:val="0"/>
            <w:vAlign w:val="center"/>
          </w:tcPr>
          <w:p w14:paraId="36DB8BBC">
            <w:pPr>
              <w:spacing w:line="360" w:lineRule="auto"/>
              <w:jc w:val="center"/>
              <w:rPr>
                <w:rFonts w:hint="eastAsia" w:ascii="宋体" w:hAnsi="宋体" w:eastAsia="宋体" w:cs="宋体"/>
                <w:color w:val="000000" w:themeColor="text1"/>
                <w:highlight w:val="none"/>
                <w14:textFill>
                  <w14:solidFill>
                    <w14:schemeClr w14:val="tx1"/>
                  </w14:solidFill>
                </w14:textFill>
              </w:rPr>
            </w:pPr>
          </w:p>
        </w:tc>
      </w:tr>
      <w:tr w14:paraId="6DA63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647" w:type="dxa"/>
            <w:tcBorders>
              <w:top w:val="single" w:color="auto" w:sz="4" w:space="0"/>
              <w:left w:val="single" w:color="auto" w:sz="4" w:space="0"/>
              <w:bottom w:val="single" w:color="auto" w:sz="4" w:space="0"/>
              <w:right w:val="single" w:color="auto" w:sz="4" w:space="0"/>
            </w:tcBorders>
            <w:noWrap w:val="0"/>
            <w:vAlign w:val="center"/>
          </w:tcPr>
          <w:p w14:paraId="70406A98">
            <w:pPr>
              <w:spacing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p>
        </w:tc>
        <w:tc>
          <w:tcPr>
            <w:tcW w:w="1380" w:type="dxa"/>
            <w:tcBorders>
              <w:top w:val="single" w:color="auto" w:sz="4" w:space="0"/>
              <w:left w:val="single" w:color="auto" w:sz="4" w:space="0"/>
              <w:bottom w:val="single" w:color="auto" w:sz="4" w:space="0"/>
              <w:right w:val="single" w:color="auto" w:sz="4" w:space="0"/>
            </w:tcBorders>
            <w:noWrap w:val="0"/>
            <w:vAlign w:val="center"/>
          </w:tcPr>
          <w:p w14:paraId="53ADFC06">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263" w:type="dxa"/>
            <w:tcBorders>
              <w:top w:val="single" w:color="auto" w:sz="4" w:space="0"/>
              <w:left w:val="single" w:color="auto" w:sz="4" w:space="0"/>
              <w:bottom w:val="single" w:color="auto" w:sz="4" w:space="0"/>
              <w:right w:val="single" w:color="auto" w:sz="4" w:space="0"/>
            </w:tcBorders>
            <w:noWrap w:val="0"/>
            <w:vAlign w:val="center"/>
          </w:tcPr>
          <w:p w14:paraId="364B76B8">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2328" w:type="dxa"/>
            <w:tcBorders>
              <w:top w:val="single" w:color="auto" w:sz="4" w:space="0"/>
              <w:left w:val="single" w:color="auto" w:sz="4" w:space="0"/>
              <w:bottom w:val="single" w:color="auto" w:sz="4" w:space="0"/>
              <w:right w:val="single" w:color="auto" w:sz="4" w:space="0"/>
            </w:tcBorders>
            <w:noWrap w:val="0"/>
            <w:vAlign w:val="center"/>
          </w:tcPr>
          <w:p w14:paraId="585D692D">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127" w:type="dxa"/>
            <w:tcBorders>
              <w:top w:val="single" w:color="auto" w:sz="4" w:space="0"/>
              <w:left w:val="single" w:color="auto" w:sz="4" w:space="0"/>
              <w:bottom w:val="single" w:color="auto" w:sz="4" w:space="0"/>
              <w:right w:val="single" w:color="auto" w:sz="4" w:space="0"/>
            </w:tcBorders>
            <w:noWrap w:val="0"/>
            <w:vAlign w:val="center"/>
          </w:tcPr>
          <w:p w14:paraId="79AA24EF">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3390670A">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449" w:type="dxa"/>
            <w:tcBorders>
              <w:top w:val="single" w:color="auto" w:sz="4" w:space="0"/>
              <w:left w:val="single" w:color="auto" w:sz="4" w:space="0"/>
              <w:bottom w:val="single" w:color="auto" w:sz="4" w:space="0"/>
              <w:right w:val="single" w:color="auto" w:sz="4" w:space="0"/>
            </w:tcBorders>
            <w:noWrap w:val="0"/>
            <w:vAlign w:val="center"/>
          </w:tcPr>
          <w:p w14:paraId="2AC31B75">
            <w:pPr>
              <w:spacing w:line="360" w:lineRule="auto"/>
              <w:jc w:val="center"/>
              <w:rPr>
                <w:rFonts w:hint="eastAsia" w:ascii="宋体" w:hAnsi="宋体" w:eastAsia="宋体" w:cs="宋体"/>
                <w:color w:val="000000" w:themeColor="text1"/>
                <w:highlight w:val="none"/>
                <w14:textFill>
                  <w14:solidFill>
                    <w14:schemeClr w14:val="tx1"/>
                  </w14:solidFill>
                </w14:textFill>
              </w:rPr>
            </w:pPr>
          </w:p>
        </w:tc>
      </w:tr>
      <w:tr w14:paraId="496CE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618" w:type="dxa"/>
            <w:gridSpan w:val="4"/>
            <w:tcBorders>
              <w:top w:val="single" w:color="auto" w:sz="4" w:space="0"/>
              <w:left w:val="single" w:color="auto" w:sz="4" w:space="0"/>
              <w:bottom w:val="single" w:color="auto" w:sz="4" w:space="0"/>
              <w:right w:val="single" w:color="auto" w:sz="4" w:space="0"/>
            </w:tcBorders>
            <w:noWrap w:val="0"/>
            <w:vAlign w:val="center"/>
          </w:tcPr>
          <w:p w14:paraId="1B1A80EA">
            <w:pPr>
              <w:spacing w:line="360" w:lineRule="auto"/>
              <w:jc w:val="cente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强制节能产品总价（元）</w:t>
            </w:r>
          </w:p>
        </w:tc>
        <w:tc>
          <w:tcPr>
            <w:tcW w:w="3962" w:type="dxa"/>
            <w:gridSpan w:val="3"/>
            <w:tcBorders>
              <w:top w:val="single" w:color="auto" w:sz="4" w:space="0"/>
              <w:left w:val="single" w:color="auto" w:sz="4" w:space="0"/>
              <w:bottom w:val="single" w:color="auto" w:sz="4" w:space="0"/>
              <w:right w:val="single" w:color="auto" w:sz="4" w:space="0"/>
            </w:tcBorders>
            <w:noWrap w:val="0"/>
            <w:vAlign w:val="center"/>
          </w:tcPr>
          <w:p w14:paraId="4A64364D">
            <w:pPr>
              <w:spacing w:line="360" w:lineRule="auto"/>
              <w:jc w:val="center"/>
              <w:rPr>
                <w:rFonts w:hint="eastAsia" w:ascii="宋体" w:hAnsi="宋体" w:eastAsia="宋体" w:cs="宋体"/>
                <w:color w:val="000000" w:themeColor="text1"/>
                <w:highlight w:val="none"/>
                <w14:textFill>
                  <w14:solidFill>
                    <w14:schemeClr w14:val="tx1"/>
                  </w14:solidFill>
                </w14:textFill>
              </w:rPr>
            </w:pPr>
          </w:p>
        </w:tc>
      </w:tr>
    </w:tbl>
    <w:p w14:paraId="3B767675">
      <w:pPr>
        <w:spacing w:line="360" w:lineRule="auto"/>
        <w:rPr>
          <w:rFonts w:hint="eastAsia" w:ascii="宋体" w:hAnsi="宋体" w:eastAsia="宋体" w:cs="宋体"/>
          <w:color w:val="000000" w:themeColor="text1"/>
          <w:sz w:val="24"/>
          <w:highlight w:val="none"/>
          <w14:textFill>
            <w14:solidFill>
              <w14:schemeClr w14:val="tx1"/>
            </w14:solidFill>
          </w14:textFill>
        </w:rPr>
      </w:pPr>
    </w:p>
    <w:p w14:paraId="35F33180">
      <w:pPr>
        <w:spacing w:line="36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2.优先采购节能产品明细表 </w:t>
      </w:r>
    </w:p>
    <w:tbl>
      <w:tblPr>
        <w:tblStyle w:val="76"/>
        <w:tblW w:w="9620" w:type="dxa"/>
        <w:tblInd w:w="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9"/>
        <w:gridCol w:w="1468"/>
        <w:gridCol w:w="1343"/>
        <w:gridCol w:w="2295"/>
        <w:gridCol w:w="895"/>
        <w:gridCol w:w="1719"/>
        <w:gridCol w:w="1211"/>
      </w:tblGrid>
      <w:tr w14:paraId="64271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689" w:type="dxa"/>
            <w:vMerge w:val="restart"/>
            <w:tcBorders>
              <w:top w:val="single" w:color="auto" w:sz="4" w:space="0"/>
              <w:left w:val="single" w:color="auto" w:sz="4" w:space="0"/>
              <w:bottom w:val="single" w:color="auto" w:sz="4" w:space="0"/>
              <w:right w:val="single" w:color="auto" w:sz="4" w:space="0"/>
            </w:tcBorders>
            <w:noWrap w:val="0"/>
            <w:vAlign w:val="center"/>
          </w:tcPr>
          <w:p w14:paraId="2449C0C2">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序号</w:t>
            </w:r>
          </w:p>
        </w:tc>
        <w:tc>
          <w:tcPr>
            <w:tcW w:w="1468" w:type="dxa"/>
            <w:vMerge w:val="restart"/>
            <w:tcBorders>
              <w:top w:val="single" w:color="auto" w:sz="4" w:space="0"/>
              <w:left w:val="single" w:color="auto" w:sz="4" w:space="0"/>
              <w:bottom w:val="single" w:color="auto" w:sz="4" w:space="0"/>
              <w:right w:val="single" w:color="auto" w:sz="4" w:space="0"/>
            </w:tcBorders>
            <w:noWrap w:val="0"/>
            <w:vAlign w:val="center"/>
          </w:tcPr>
          <w:p w14:paraId="5766F0EC">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货物名称</w:t>
            </w:r>
          </w:p>
        </w:tc>
        <w:tc>
          <w:tcPr>
            <w:tcW w:w="1343" w:type="dxa"/>
            <w:vMerge w:val="restart"/>
            <w:tcBorders>
              <w:top w:val="single" w:color="auto" w:sz="4" w:space="0"/>
              <w:left w:val="single" w:color="auto" w:sz="4" w:space="0"/>
              <w:bottom w:val="single" w:color="auto" w:sz="4" w:space="0"/>
              <w:right w:val="single" w:color="auto" w:sz="4" w:space="0"/>
            </w:tcBorders>
            <w:noWrap w:val="0"/>
            <w:vAlign w:val="center"/>
          </w:tcPr>
          <w:p w14:paraId="6C5186B6">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型号/规格</w:t>
            </w:r>
          </w:p>
        </w:tc>
        <w:tc>
          <w:tcPr>
            <w:tcW w:w="2295" w:type="dxa"/>
            <w:vMerge w:val="restart"/>
            <w:tcBorders>
              <w:top w:val="single" w:color="auto" w:sz="4" w:space="0"/>
              <w:left w:val="single" w:color="auto" w:sz="4" w:space="0"/>
              <w:bottom w:val="single" w:color="auto" w:sz="4" w:space="0"/>
              <w:right w:val="single" w:color="auto" w:sz="4" w:space="0"/>
            </w:tcBorders>
            <w:noWrap w:val="0"/>
            <w:vAlign w:val="center"/>
          </w:tcPr>
          <w:p w14:paraId="09BEBA89">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节字标志认证证书号</w:t>
            </w:r>
          </w:p>
        </w:tc>
        <w:tc>
          <w:tcPr>
            <w:tcW w:w="895" w:type="dxa"/>
            <w:vMerge w:val="restart"/>
            <w:tcBorders>
              <w:top w:val="single" w:color="auto" w:sz="4" w:space="0"/>
              <w:left w:val="single" w:color="auto" w:sz="4" w:space="0"/>
              <w:bottom w:val="single" w:color="auto" w:sz="4" w:space="0"/>
              <w:right w:val="single" w:color="auto" w:sz="4" w:space="0"/>
            </w:tcBorders>
            <w:noWrap w:val="0"/>
            <w:vAlign w:val="center"/>
          </w:tcPr>
          <w:p w14:paraId="6E582375">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数量</w:t>
            </w:r>
          </w:p>
        </w:tc>
        <w:tc>
          <w:tcPr>
            <w:tcW w:w="1719" w:type="dxa"/>
            <w:vMerge w:val="restart"/>
            <w:tcBorders>
              <w:top w:val="single" w:color="auto" w:sz="4" w:space="0"/>
              <w:left w:val="single" w:color="auto" w:sz="4" w:space="0"/>
              <w:bottom w:val="single" w:color="auto" w:sz="4" w:space="0"/>
              <w:right w:val="single" w:color="auto" w:sz="4" w:space="0"/>
            </w:tcBorders>
            <w:noWrap w:val="0"/>
            <w:vAlign w:val="center"/>
          </w:tcPr>
          <w:p w14:paraId="06BDCE54">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单价（元）</w:t>
            </w:r>
          </w:p>
        </w:tc>
        <w:tc>
          <w:tcPr>
            <w:tcW w:w="1211" w:type="dxa"/>
            <w:vMerge w:val="restart"/>
            <w:tcBorders>
              <w:top w:val="single" w:color="auto" w:sz="4" w:space="0"/>
              <w:left w:val="single" w:color="auto" w:sz="4" w:space="0"/>
              <w:bottom w:val="single" w:color="auto" w:sz="4" w:space="0"/>
              <w:right w:val="single" w:color="auto" w:sz="4" w:space="0"/>
            </w:tcBorders>
            <w:noWrap w:val="0"/>
            <w:vAlign w:val="center"/>
          </w:tcPr>
          <w:p w14:paraId="30552517">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合价（元）</w:t>
            </w:r>
          </w:p>
        </w:tc>
      </w:tr>
      <w:tr w14:paraId="34324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689" w:type="dxa"/>
            <w:vMerge w:val="continue"/>
            <w:tcBorders>
              <w:top w:val="single" w:color="auto" w:sz="4" w:space="0"/>
              <w:left w:val="single" w:color="auto" w:sz="4" w:space="0"/>
              <w:bottom w:val="single" w:color="auto" w:sz="4" w:space="0"/>
              <w:right w:val="single" w:color="auto" w:sz="4" w:space="0"/>
            </w:tcBorders>
            <w:noWrap w:val="0"/>
            <w:vAlign w:val="center"/>
          </w:tcPr>
          <w:p w14:paraId="315F3521">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c>
          <w:tcPr>
            <w:tcW w:w="1468" w:type="dxa"/>
            <w:vMerge w:val="continue"/>
            <w:tcBorders>
              <w:top w:val="single" w:color="auto" w:sz="4" w:space="0"/>
              <w:left w:val="single" w:color="auto" w:sz="4" w:space="0"/>
              <w:bottom w:val="single" w:color="auto" w:sz="4" w:space="0"/>
              <w:right w:val="single" w:color="auto" w:sz="4" w:space="0"/>
            </w:tcBorders>
            <w:noWrap w:val="0"/>
            <w:vAlign w:val="center"/>
          </w:tcPr>
          <w:p w14:paraId="0E2C628C">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c>
          <w:tcPr>
            <w:tcW w:w="1343" w:type="dxa"/>
            <w:vMerge w:val="continue"/>
            <w:tcBorders>
              <w:top w:val="single" w:color="auto" w:sz="4" w:space="0"/>
              <w:left w:val="single" w:color="auto" w:sz="4" w:space="0"/>
              <w:bottom w:val="single" w:color="auto" w:sz="4" w:space="0"/>
              <w:right w:val="single" w:color="auto" w:sz="4" w:space="0"/>
            </w:tcBorders>
            <w:noWrap w:val="0"/>
            <w:vAlign w:val="center"/>
          </w:tcPr>
          <w:p w14:paraId="20FEB3CB">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c>
          <w:tcPr>
            <w:tcW w:w="2295" w:type="dxa"/>
            <w:vMerge w:val="continue"/>
            <w:tcBorders>
              <w:top w:val="single" w:color="auto" w:sz="4" w:space="0"/>
              <w:left w:val="single" w:color="auto" w:sz="4" w:space="0"/>
              <w:bottom w:val="single" w:color="auto" w:sz="4" w:space="0"/>
              <w:right w:val="single" w:color="auto" w:sz="4" w:space="0"/>
            </w:tcBorders>
            <w:noWrap w:val="0"/>
            <w:vAlign w:val="center"/>
          </w:tcPr>
          <w:p w14:paraId="3E419C4C">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c>
          <w:tcPr>
            <w:tcW w:w="895" w:type="dxa"/>
            <w:vMerge w:val="continue"/>
            <w:tcBorders>
              <w:top w:val="single" w:color="auto" w:sz="4" w:space="0"/>
              <w:left w:val="single" w:color="auto" w:sz="4" w:space="0"/>
              <w:bottom w:val="single" w:color="auto" w:sz="4" w:space="0"/>
              <w:right w:val="single" w:color="auto" w:sz="4" w:space="0"/>
            </w:tcBorders>
            <w:noWrap w:val="0"/>
            <w:vAlign w:val="center"/>
          </w:tcPr>
          <w:p w14:paraId="27D927FC">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c>
          <w:tcPr>
            <w:tcW w:w="1719" w:type="dxa"/>
            <w:vMerge w:val="continue"/>
            <w:tcBorders>
              <w:top w:val="single" w:color="auto" w:sz="4" w:space="0"/>
              <w:left w:val="single" w:color="auto" w:sz="4" w:space="0"/>
              <w:bottom w:val="single" w:color="auto" w:sz="4" w:space="0"/>
              <w:right w:val="single" w:color="auto" w:sz="4" w:space="0"/>
            </w:tcBorders>
            <w:noWrap w:val="0"/>
            <w:vAlign w:val="center"/>
          </w:tcPr>
          <w:p w14:paraId="139667D4">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c>
          <w:tcPr>
            <w:tcW w:w="1211" w:type="dxa"/>
            <w:vMerge w:val="continue"/>
            <w:tcBorders>
              <w:top w:val="single" w:color="auto" w:sz="4" w:space="0"/>
              <w:left w:val="single" w:color="auto" w:sz="4" w:space="0"/>
              <w:bottom w:val="single" w:color="auto" w:sz="4" w:space="0"/>
              <w:right w:val="single" w:color="auto" w:sz="4" w:space="0"/>
            </w:tcBorders>
            <w:noWrap w:val="0"/>
            <w:vAlign w:val="center"/>
          </w:tcPr>
          <w:p w14:paraId="68508B38">
            <w:pPr>
              <w:widowControl/>
              <w:spacing w:line="360" w:lineRule="auto"/>
              <w:jc w:val="left"/>
              <w:rPr>
                <w:rFonts w:hint="eastAsia" w:ascii="宋体" w:hAnsi="宋体" w:eastAsia="宋体" w:cs="宋体"/>
                <w:color w:val="000000" w:themeColor="text1"/>
                <w:highlight w:val="none"/>
                <w14:textFill>
                  <w14:solidFill>
                    <w14:schemeClr w14:val="tx1"/>
                  </w14:solidFill>
                </w14:textFill>
              </w:rPr>
            </w:pPr>
          </w:p>
        </w:tc>
      </w:tr>
      <w:tr w14:paraId="6938E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89" w:type="dxa"/>
            <w:tcBorders>
              <w:top w:val="single" w:color="auto" w:sz="4" w:space="0"/>
              <w:left w:val="single" w:color="auto" w:sz="4" w:space="0"/>
              <w:bottom w:val="single" w:color="auto" w:sz="4" w:space="0"/>
              <w:right w:val="single" w:color="auto" w:sz="4" w:space="0"/>
            </w:tcBorders>
            <w:noWrap w:val="0"/>
            <w:vAlign w:val="center"/>
          </w:tcPr>
          <w:p w14:paraId="5AC7388D">
            <w:pPr>
              <w:spacing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p>
        </w:tc>
        <w:tc>
          <w:tcPr>
            <w:tcW w:w="1468" w:type="dxa"/>
            <w:tcBorders>
              <w:top w:val="single" w:color="auto" w:sz="4" w:space="0"/>
              <w:left w:val="single" w:color="auto" w:sz="4" w:space="0"/>
              <w:bottom w:val="single" w:color="auto" w:sz="4" w:space="0"/>
              <w:right w:val="single" w:color="auto" w:sz="4" w:space="0"/>
            </w:tcBorders>
            <w:noWrap w:val="0"/>
            <w:vAlign w:val="center"/>
          </w:tcPr>
          <w:p w14:paraId="77A302EF">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343" w:type="dxa"/>
            <w:tcBorders>
              <w:top w:val="single" w:color="auto" w:sz="4" w:space="0"/>
              <w:left w:val="single" w:color="auto" w:sz="4" w:space="0"/>
              <w:bottom w:val="single" w:color="auto" w:sz="4" w:space="0"/>
              <w:right w:val="single" w:color="auto" w:sz="4" w:space="0"/>
            </w:tcBorders>
            <w:noWrap w:val="0"/>
            <w:vAlign w:val="center"/>
          </w:tcPr>
          <w:p w14:paraId="126CDB4D">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2295" w:type="dxa"/>
            <w:tcBorders>
              <w:top w:val="single" w:color="auto" w:sz="4" w:space="0"/>
              <w:left w:val="single" w:color="auto" w:sz="4" w:space="0"/>
              <w:bottom w:val="single" w:color="auto" w:sz="4" w:space="0"/>
              <w:right w:val="single" w:color="auto" w:sz="4" w:space="0"/>
            </w:tcBorders>
            <w:noWrap w:val="0"/>
            <w:vAlign w:val="center"/>
          </w:tcPr>
          <w:p w14:paraId="0BC904B1">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895" w:type="dxa"/>
            <w:tcBorders>
              <w:top w:val="single" w:color="auto" w:sz="4" w:space="0"/>
              <w:left w:val="single" w:color="auto" w:sz="4" w:space="0"/>
              <w:bottom w:val="single" w:color="auto" w:sz="4" w:space="0"/>
              <w:right w:val="single" w:color="auto" w:sz="4" w:space="0"/>
            </w:tcBorders>
            <w:noWrap w:val="0"/>
            <w:vAlign w:val="center"/>
          </w:tcPr>
          <w:p w14:paraId="1058615D">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719" w:type="dxa"/>
            <w:tcBorders>
              <w:top w:val="single" w:color="auto" w:sz="4" w:space="0"/>
              <w:left w:val="single" w:color="auto" w:sz="4" w:space="0"/>
              <w:bottom w:val="single" w:color="auto" w:sz="4" w:space="0"/>
              <w:right w:val="single" w:color="auto" w:sz="4" w:space="0"/>
            </w:tcBorders>
            <w:noWrap w:val="0"/>
            <w:vAlign w:val="center"/>
          </w:tcPr>
          <w:p w14:paraId="1628CEA0">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211" w:type="dxa"/>
            <w:tcBorders>
              <w:top w:val="single" w:color="auto" w:sz="4" w:space="0"/>
              <w:left w:val="single" w:color="auto" w:sz="4" w:space="0"/>
              <w:bottom w:val="single" w:color="auto" w:sz="4" w:space="0"/>
              <w:right w:val="single" w:color="auto" w:sz="4" w:space="0"/>
            </w:tcBorders>
            <w:noWrap w:val="0"/>
            <w:vAlign w:val="center"/>
          </w:tcPr>
          <w:p w14:paraId="5DEEF2B1">
            <w:pPr>
              <w:spacing w:line="360" w:lineRule="auto"/>
              <w:jc w:val="center"/>
              <w:rPr>
                <w:rFonts w:hint="eastAsia" w:ascii="宋体" w:hAnsi="宋体" w:eastAsia="宋体" w:cs="宋体"/>
                <w:color w:val="000000" w:themeColor="text1"/>
                <w:highlight w:val="none"/>
                <w14:textFill>
                  <w14:solidFill>
                    <w14:schemeClr w14:val="tx1"/>
                  </w14:solidFill>
                </w14:textFill>
              </w:rPr>
            </w:pPr>
          </w:p>
        </w:tc>
      </w:tr>
      <w:tr w14:paraId="56CDE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89" w:type="dxa"/>
            <w:tcBorders>
              <w:top w:val="single" w:color="auto" w:sz="4" w:space="0"/>
              <w:left w:val="single" w:color="auto" w:sz="4" w:space="0"/>
              <w:bottom w:val="single" w:color="auto" w:sz="4" w:space="0"/>
              <w:right w:val="single" w:color="auto" w:sz="4" w:space="0"/>
            </w:tcBorders>
            <w:noWrap w:val="0"/>
            <w:vAlign w:val="center"/>
          </w:tcPr>
          <w:p w14:paraId="1B1CE405">
            <w:pPr>
              <w:spacing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p>
        </w:tc>
        <w:tc>
          <w:tcPr>
            <w:tcW w:w="1468" w:type="dxa"/>
            <w:tcBorders>
              <w:top w:val="single" w:color="auto" w:sz="4" w:space="0"/>
              <w:left w:val="single" w:color="auto" w:sz="4" w:space="0"/>
              <w:bottom w:val="single" w:color="auto" w:sz="4" w:space="0"/>
              <w:right w:val="single" w:color="auto" w:sz="4" w:space="0"/>
            </w:tcBorders>
            <w:noWrap w:val="0"/>
            <w:vAlign w:val="center"/>
          </w:tcPr>
          <w:p w14:paraId="304F7E1E">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343" w:type="dxa"/>
            <w:tcBorders>
              <w:top w:val="single" w:color="auto" w:sz="4" w:space="0"/>
              <w:left w:val="single" w:color="auto" w:sz="4" w:space="0"/>
              <w:bottom w:val="single" w:color="auto" w:sz="4" w:space="0"/>
              <w:right w:val="single" w:color="auto" w:sz="4" w:space="0"/>
            </w:tcBorders>
            <w:noWrap w:val="0"/>
            <w:vAlign w:val="center"/>
          </w:tcPr>
          <w:p w14:paraId="7A7F1BDD">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2295" w:type="dxa"/>
            <w:tcBorders>
              <w:top w:val="single" w:color="auto" w:sz="4" w:space="0"/>
              <w:left w:val="single" w:color="auto" w:sz="4" w:space="0"/>
              <w:bottom w:val="single" w:color="auto" w:sz="4" w:space="0"/>
              <w:right w:val="single" w:color="auto" w:sz="4" w:space="0"/>
            </w:tcBorders>
            <w:noWrap w:val="0"/>
            <w:vAlign w:val="center"/>
          </w:tcPr>
          <w:p w14:paraId="787E4B12">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895" w:type="dxa"/>
            <w:tcBorders>
              <w:top w:val="single" w:color="auto" w:sz="4" w:space="0"/>
              <w:left w:val="single" w:color="auto" w:sz="4" w:space="0"/>
              <w:bottom w:val="single" w:color="auto" w:sz="4" w:space="0"/>
              <w:right w:val="single" w:color="auto" w:sz="4" w:space="0"/>
            </w:tcBorders>
            <w:noWrap w:val="0"/>
            <w:vAlign w:val="center"/>
          </w:tcPr>
          <w:p w14:paraId="0AC1B896">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719" w:type="dxa"/>
            <w:tcBorders>
              <w:top w:val="single" w:color="auto" w:sz="4" w:space="0"/>
              <w:left w:val="single" w:color="auto" w:sz="4" w:space="0"/>
              <w:bottom w:val="single" w:color="auto" w:sz="4" w:space="0"/>
              <w:right w:val="single" w:color="auto" w:sz="4" w:space="0"/>
            </w:tcBorders>
            <w:noWrap w:val="0"/>
            <w:vAlign w:val="center"/>
          </w:tcPr>
          <w:p w14:paraId="09E19724">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211" w:type="dxa"/>
            <w:tcBorders>
              <w:top w:val="single" w:color="auto" w:sz="4" w:space="0"/>
              <w:left w:val="single" w:color="auto" w:sz="4" w:space="0"/>
              <w:bottom w:val="single" w:color="auto" w:sz="4" w:space="0"/>
              <w:right w:val="single" w:color="auto" w:sz="4" w:space="0"/>
            </w:tcBorders>
            <w:noWrap w:val="0"/>
            <w:vAlign w:val="center"/>
          </w:tcPr>
          <w:p w14:paraId="294899E1">
            <w:pPr>
              <w:spacing w:line="360" w:lineRule="auto"/>
              <w:jc w:val="center"/>
              <w:rPr>
                <w:rFonts w:hint="eastAsia" w:ascii="宋体" w:hAnsi="宋体" w:eastAsia="宋体" w:cs="宋体"/>
                <w:color w:val="000000" w:themeColor="text1"/>
                <w:highlight w:val="none"/>
                <w14:textFill>
                  <w14:solidFill>
                    <w14:schemeClr w14:val="tx1"/>
                  </w14:solidFill>
                </w14:textFill>
              </w:rPr>
            </w:pPr>
          </w:p>
        </w:tc>
      </w:tr>
      <w:tr w14:paraId="111EA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89" w:type="dxa"/>
            <w:tcBorders>
              <w:top w:val="single" w:color="auto" w:sz="4" w:space="0"/>
              <w:left w:val="single" w:color="auto" w:sz="4" w:space="0"/>
              <w:bottom w:val="single" w:color="auto" w:sz="4" w:space="0"/>
              <w:right w:val="single" w:color="auto" w:sz="4" w:space="0"/>
            </w:tcBorders>
            <w:noWrap w:val="0"/>
            <w:vAlign w:val="center"/>
          </w:tcPr>
          <w:p w14:paraId="4DA0250D">
            <w:pPr>
              <w:spacing w:line="36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p>
        </w:tc>
        <w:tc>
          <w:tcPr>
            <w:tcW w:w="1468" w:type="dxa"/>
            <w:tcBorders>
              <w:top w:val="single" w:color="auto" w:sz="4" w:space="0"/>
              <w:left w:val="single" w:color="auto" w:sz="4" w:space="0"/>
              <w:bottom w:val="single" w:color="auto" w:sz="4" w:space="0"/>
              <w:right w:val="single" w:color="auto" w:sz="4" w:space="0"/>
            </w:tcBorders>
            <w:noWrap w:val="0"/>
            <w:vAlign w:val="center"/>
          </w:tcPr>
          <w:p w14:paraId="01BCC6FB">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343" w:type="dxa"/>
            <w:tcBorders>
              <w:top w:val="single" w:color="auto" w:sz="4" w:space="0"/>
              <w:left w:val="single" w:color="auto" w:sz="4" w:space="0"/>
              <w:bottom w:val="single" w:color="auto" w:sz="4" w:space="0"/>
              <w:right w:val="single" w:color="auto" w:sz="4" w:space="0"/>
            </w:tcBorders>
            <w:noWrap w:val="0"/>
            <w:vAlign w:val="center"/>
          </w:tcPr>
          <w:p w14:paraId="60CA07AC">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2295" w:type="dxa"/>
            <w:tcBorders>
              <w:top w:val="single" w:color="auto" w:sz="4" w:space="0"/>
              <w:left w:val="single" w:color="auto" w:sz="4" w:space="0"/>
              <w:bottom w:val="single" w:color="auto" w:sz="4" w:space="0"/>
              <w:right w:val="single" w:color="auto" w:sz="4" w:space="0"/>
            </w:tcBorders>
            <w:noWrap w:val="0"/>
            <w:vAlign w:val="center"/>
          </w:tcPr>
          <w:p w14:paraId="27AF0FB5">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895" w:type="dxa"/>
            <w:tcBorders>
              <w:top w:val="single" w:color="auto" w:sz="4" w:space="0"/>
              <w:left w:val="single" w:color="auto" w:sz="4" w:space="0"/>
              <w:bottom w:val="single" w:color="auto" w:sz="4" w:space="0"/>
              <w:right w:val="single" w:color="auto" w:sz="4" w:space="0"/>
            </w:tcBorders>
            <w:noWrap w:val="0"/>
            <w:vAlign w:val="center"/>
          </w:tcPr>
          <w:p w14:paraId="24AF260B">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719" w:type="dxa"/>
            <w:tcBorders>
              <w:top w:val="single" w:color="auto" w:sz="4" w:space="0"/>
              <w:left w:val="single" w:color="auto" w:sz="4" w:space="0"/>
              <w:bottom w:val="single" w:color="auto" w:sz="4" w:space="0"/>
              <w:right w:val="single" w:color="auto" w:sz="4" w:space="0"/>
            </w:tcBorders>
            <w:noWrap w:val="0"/>
            <w:vAlign w:val="center"/>
          </w:tcPr>
          <w:p w14:paraId="2A16AF9C">
            <w:pPr>
              <w:spacing w:line="360" w:lineRule="auto"/>
              <w:jc w:val="center"/>
              <w:rPr>
                <w:rFonts w:hint="eastAsia" w:ascii="宋体" w:hAnsi="宋体" w:eastAsia="宋体" w:cs="宋体"/>
                <w:color w:val="000000" w:themeColor="text1"/>
                <w:highlight w:val="none"/>
                <w14:textFill>
                  <w14:solidFill>
                    <w14:schemeClr w14:val="tx1"/>
                  </w14:solidFill>
                </w14:textFill>
              </w:rPr>
            </w:pPr>
          </w:p>
        </w:tc>
        <w:tc>
          <w:tcPr>
            <w:tcW w:w="1211" w:type="dxa"/>
            <w:tcBorders>
              <w:top w:val="single" w:color="auto" w:sz="4" w:space="0"/>
              <w:left w:val="single" w:color="auto" w:sz="4" w:space="0"/>
              <w:bottom w:val="single" w:color="auto" w:sz="4" w:space="0"/>
              <w:right w:val="single" w:color="auto" w:sz="4" w:space="0"/>
            </w:tcBorders>
            <w:noWrap w:val="0"/>
            <w:vAlign w:val="center"/>
          </w:tcPr>
          <w:p w14:paraId="43099C47">
            <w:pPr>
              <w:spacing w:line="360" w:lineRule="auto"/>
              <w:jc w:val="center"/>
              <w:rPr>
                <w:rFonts w:hint="eastAsia" w:ascii="宋体" w:hAnsi="宋体" w:eastAsia="宋体" w:cs="宋体"/>
                <w:color w:val="000000" w:themeColor="text1"/>
                <w:highlight w:val="none"/>
                <w14:textFill>
                  <w14:solidFill>
                    <w14:schemeClr w14:val="tx1"/>
                  </w14:solidFill>
                </w14:textFill>
              </w:rPr>
            </w:pPr>
          </w:p>
        </w:tc>
      </w:tr>
      <w:tr w14:paraId="708D8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5795" w:type="dxa"/>
            <w:gridSpan w:val="4"/>
            <w:tcBorders>
              <w:top w:val="single" w:color="auto" w:sz="4" w:space="0"/>
              <w:left w:val="single" w:color="auto" w:sz="4" w:space="0"/>
              <w:bottom w:val="single" w:color="auto" w:sz="4" w:space="0"/>
              <w:right w:val="single" w:color="auto" w:sz="4" w:space="0"/>
            </w:tcBorders>
            <w:noWrap w:val="0"/>
            <w:vAlign w:val="center"/>
          </w:tcPr>
          <w:p w14:paraId="182D0E17">
            <w:pPr>
              <w:spacing w:line="360" w:lineRule="auto"/>
              <w:jc w:val="cente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优先采购的节能产品总价（元）</w:t>
            </w:r>
          </w:p>
        </w:tc>
        <w:tc>
          <w:tcPr>
            <w:tcW w:w="3825" w:type="dxa"/>
            <w:gridSpan w:val="3"/>
            <w:tcBorders>
              <w:top w:val="single" w:color="auto" w:sz="4" w:space="0"/>
              <w:left w:val="single" w:color="auto" w:sz="4" w:space="0"/>
              <w:bottom w:val="single" w:color="auto" w:sz="4" w:space="0"/>
              <w:right w:val="single" w:color="auto" w:sz="4" w:space="0"/>
            </w:tcBorders>
            <w:noWrap w:val="0"/>
            <w:vAlign w:val="center"/>
          </w:tcPr>
          <w:p w14:paraId="270A46D2">
            <w:pPr>
              <w:spacing w:line="360" w:lineRule="auto"/>
              <w:jc w:val="center"/>
              <w:rPr>
                <w:rFonts w:hint="eastAsia" w:ascii="宋体" w:hAnsi="宋体" w:eastAsia="宋体" w:cs="宋体"/>
                <w:color w:val="000000" w:themeColor="text1"/>
                <w:highlight w:val="none"/>
                <w14:textFill>
                  <w14:solidFill>
                    <w14:schemeClr w14:val="tx1"/>
                  </w14:solidFill>
                </w14:textFill>
              </w:rPr>
            </w:pPr>
          </w:p>
        </w:tc>
      </w:tr>
    </w:tbl>
    <w:p w14:paraId="065053D6">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说明：</w:t>
      </w:r>
    </w:p>
    <w:p w14:paraId="5D7ACC11">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1、投标人所报节能产品根据财库〔2019〕19号《节能产品政府采购品目清单》确定。（品目清单中以“★”标注的为政府强制采购产品，其他为优先采购产品。）</w:t>
      </w:r>
    </w:p>
    <w:p w14:paraId="09088B20">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本项目采购的产品中如有属于《节能产品政府采购品目清单》中的优先采购节能产品，须按要求填写《优先采购节能产品明细表》，并提供所投产品由国家确定的认证机构出具的、处于有效期之内的节能产品认证证书，否则评审时不予认可，</w:t>
      </w:r>
      <w:r>
        <w:rPr>
          <w:rFonts w:hint="eastAsia" w:ascii="宋体" w:hAnsi="宋体" w:eastAsia="宋体" w:cs="宋体"/>
          <w:color w:val="000000" w:themeColor="text1"/>
          <w:sz w:val="24"/>
          <w:highlight w:val="none"/>
          <w:lang w:val="zh-CN"/>
          <w14:textFill>
            <w14:solidFill>
              <w14:schemeClr w14:val="tx1"/>
            </w14:solidFill>
          </w14:textFill>
        </w:rPr>
        <w:t>将不享受节能产品价格折扣或加分。</w:t>
      </w:r>
    </w:p>
    <w:p w14:paraId="13767CE7">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本项目采购的产品中如有属于《节能产品政府采购品目清单》中的政府强制采购节能产品，投标人必须按要求填写《强制采购节能产品明细表》，同时提供所投产品由国家确定的认证机构出具的、处于有效期之内的节能产品认证证书，否则按无效投标处理。</w:t>
      </w:r>
    </w:p>
    <w:p w14:paraId="5A99BCCD">
      <w:pPr>
        <w:rPr>
          <w:rFonts w:hint="eastAsia" w:ascii="宋体" w:hAnsi="宋体" w:eastAsia="宋体" w:cs="宋体"/>
          <w:color w:val="000000" w:themeColor="text1"/>
          <w:highlight w:val="none"/>
          <w14:textFill>
            <w14:solidFill>
              <w14:schemeClr w14:val="tx1"/>
            </w14:solidFill>
          </w14:textFill>
        </w:rPr>
      </w:pPr>
    </w:p>
    <w:p w14:paraId="49FBCE32">
      <w:pPr>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br w:type="page"/>
      </w:r>
    </w:p>
    <w:p w14:paraId="0FF2DA3D">
      <w:pPr>
        <w:jc w:val="center"/>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3.环境标志产品明细表</w:t>
      </w:r>
    </w:p>
    <w:tbl>
      <w:tblPr>
        <w:tblStyle w:val="76"/>
        <w:tblW w:w="9620" w:type="dxa"/>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738"/>
        <w:gridCol w:w="1520"/>
        <w:gridCol w:w="2267"/>
        <w:gridCol w:w="1005"/>
        <w:gridCol w:w="1117"/>
        <w:gridCol w:w="1198"/>
      </w:tblGrid>
      <w:tr w14:paraId="14B72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775" w:type="dxa"/>
            <w:vMerge w:val="restart"/>
            <w:tcBorders>
              <w:top w:val="single" w:color="auto" w:sz="4" w:space="0"/>
              <w:left w:val="single" w:color="auto" w:sz="4" w:space="0"/>
              <w:bottom w:val="single" w:color="auto" w:sz="4" w:space="0"/>
              <w:right w:val="single" w:color="auto" w:sz="4" w:space="0"/>
            </w:tcBorders>
            <w:noWrap w:val="0"/>
            <w:vAlign w:val="center"/>
          </w:tcPr>
          <w:p w14:paraId="06AD4D08">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序号</w:t>
            </w:r>
          </w:p>
        </w:tc>
        <w:tc>
          <w:tcPr>
            <w:tcW w:w="1738" w:type="dxa"/>
            <w:vMerge w:val="restart"/>
            <w:tcBorders>
              <w:top w:val="single" w:color="auto" w:sz="4" w:space="0"/>
              <w:left w:val="single" w:color="auto" w:sz="4" w:space="0"/>
              <w:bottom w:val="single" w:color="auto" w:sz="4" w:space="0"/>
              <w:right w:val="single" w:color="auto" w:sz="4" w:space="0"/>
            </w:tcBorders>
            <w:noWrap w:val="0"/>
            <w:vAlign w:val="center"/>
          </w:tcPr>
          <w:p w14:paraId="20C24FD8">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货物名称</w:t>
            </w:r>
          </w:p>
        </w:tc>
        <w:tc>
          <w:tcPr>
            <w:tcW w:w="1520" w:type="dxa"/>
            <w:vMerge w:val="restart"/>
            <w:tcBorders>
              <w:top w:val="single" w:color="auto" w:sz="4" w:space="0"/>
              <w:left w:val="single" w:color="auto" w:sz="4" w:space="0"/>
              <w:bottom w:val="single" w:color="auto" w:sz="4" w:space="0"/>
              <w:right w:val="single" w:color="auto" w:sz="4" w:space="0"/>
            </w:tcBorders>
            <w:noWrap w:val="0"/>
            <w:vAlign w:val="center"/>
          </w:tcPr>
          <w:p w14:paraId="586B0994">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型号/规格</w:t>
            </w:r>
          </w:p>
        </w:tc>
        <w:tc>
          <w:tcPr>
            <w:tcW w:w="2267" w:type="dxa"/>
            <w:vMerge w:val="restart"/>
            <w:tcBorders>
              <w:top w:val="single" w:color="auto" w:sz="4" w:space="0"/>
              <w:left w:val="single" w:color="auto" w:sz="4" w:space="0"/>
              <w:bottom w:val="single" w:color="auto" w:sz="4" w:space="0"/>
              <w:right w:val="single" w:color="auto" w:sz="4" w:space="0"/>
            </w:tcBorders>
            <w:noWrap w:val="0"/>
            <w:vAlign w:val="center"/>
          </w:tcPr>
          <w:p w14:paraId="0870AE9C">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中国环境标志</w:t>
            </w:r>
          </w:p>
          <w:p w14:paraId="56ADB5DC">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认证证书编号</w:t>
            </w:r>
          </w:p>
        </w:tc>
        <w:tc>
          <w:tcPr>
            <w:tcW w:w="1005" w:type="dxa"/>
            <w:vMerge w:val="restart"/>
            <w:tcBorders>
              <w:top w:val="single" w:color="auto" w:sz="4" w:space="0"/>
              <w:left w:val="single" w:color="auto" w:sz="4" w:space="0"/>
              <w:bottom w:val="single" w:color="auto" w:sz="4" w:space="0"/>
              <w:right w:val="single" w:color="auto" w:sz="4" w:space="0"/>
            </w:tcBorders>
            <w:noWrap w:val="0"/>
            <w:vAlign w:val="center"/>
          </w:tcPr>
          <w:p w14:paraId="642C01C1">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数量</w:t>
            </w:r>
          </w:p>
        </w:tc>
        <w:tc>
          <w:tcPr>
            <w:tcW w:w="1117" w:type="dxa"/>
            <w:vMerge w:val="restart"/>
            <w:tcBorders>
              <w:top w:val="single" w:color="auto" w:sz="4" w:space="0"/>
              <w:left w:val="single" w:color="auto" w:sz="4" w:space="0"/>
              <w:bottom w:val="single" w:color="auto" w:sz="4" w:space="0"/>
              <w:right w:val="single" w:color="auto" w:sz="4" w:space="0"/>
            </w:tcBorders>
            <w:noWrap w:val="0"/>
            <w:vAlign w:val="center"/>
          </w:tcPr>
          <w:p w14:paraId="22728492">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单价</w:t>
            </w:r>
          </w:p>
          <w:p w14:paraId="7572D3C8">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（元）</w:t>
            </w:r>
          </w:p>
        </w:tc>
        <w:tc>
          <w:tcPr>
            <w:tcW w:w="1198" w:type="dxa"/>
            <w:vMerge w:val="restart"/>
            <w:tcBorders>
              <w:top w:val="single" w:color="auto" w:sz="4" w:space="0"/>
              <w:left w:val="single" w:color="auto" w:sz="4" w:space="0"/>
              <w:bottom w:val="single" w:color="auto" w:sz="4" w:space="0"/>
              <w:right w:val="single" w:color="auto" w:sz="4" w:space="0"/>
            </w:tcBorders>
            <w:noWrap w:val="0"/>
            <w:vAlign w:val="center"/>
          </w:tcPr>
          <w:p w14:paraId="66BB7402">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合价</w:t>
            </w:r>
          </w:p>
          <w:p w14:paraId="7FE95E64">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（元）</w:t>
            </w:r>
          </w:p>
        </w:tc>
      </w:tr>
      <w:tr w14:paraId="5A0BF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75" w:type="dxa"/>
            <w:vMerge w:val="continue"/>
            <w:tcBorders>
              <w:top w:val="single" w:color="auto" w:sz="4" w:space="0"/>
              <w:left w:val="single" w:color="auto" w:sz="4" w:space="0"/>
              <w:bottom w:val="single" w:color="auto" w:sz="4" w:space="0"/>
              <w:right w:val="single" w:color="auto" w:sz="4" w:space="0"/>
            </w:tcBorders>
            <w:noWrap w:val="0"/>
            <w:vAlign w:val="center"/>
          </w:tcPr>
          <w:p w14:paraId="181E883B">
            <w:pPr>
              <w:widowControl/>
              <w:jc w:val="left"/>
              <w:rPr>
                <w:rFonts w:hint="eastAsia" w:ascii="宋体" w:hAnsi="宋体" w:eastAsia="宋体" w:cs="宋体"/>
                <w:color w:val="000000" w:themeColor="text1"/>
                <w:highlight w:val="none"/>
                <w14:textFill>
                  <w14:solidFill>
                    <w14:schemeClr w14:val="tx1"/>
                  </w14:solidFill>
                </w14:textFill>
              </w:rPr>
            </w:pPr>
          </w:p>
        </w:tc>
        <w:tc>
          <w:tcPr>
            <w:tcW w:w="1738" w:type="dxa"/>
            <w:vMerge w:val="continue"/>
            <w:tcBorders>
              <w:top w:val="single" w:color="auto" w:sz="4" w:space="0"/>
              <w:left w:val="single" w:color="auto" w:sz="4" w:space="0"/>
              <w:bottom w:val="single" w:color="auto" w:sz="4" w:space="0"/>
              <w:right w:val="single" w:color="auto" w:sz="4" w:space="0"/>
            </w:tcBorders>
            <w:noWrap w:val="0"/>
            <w:vAlign w:val="center"/>
          </w:tcPr>
          <w:p w14:paraId="42508F86">
            <w:pPr>
              <w:widowControl/>
              <w:jc w:val="left"/>
              <w:rPr>
                <w:rFonts w:hint="eastAsia" w:ascii="宋体" w:hAnsi="宋体" w:eastAsia="宋体" w:cs="宋体"/>
                <w:color w:val="000000" w:themeColor="text1"/>
                <w:highlight w:val="none"/>
                <w14:textFill>
                  <w14:solidFill>
                    <w14:schemeClr w14:val="tx1"/>
                  </w14:solidFill>
                </w14:textFill>
              </w:rPr>
            </w:pPr>
          </w:p>
        </w:tc>
        <w:tc>
          <w:tcPr>
            <w:tcW w:w="1520" w:type="dxa"/>
            <w:vMerge w:val="continue"/>
            <w:tcBorders>
              <w:top w:val="single" w:color="auto" w:sz="4" w:space="0"/>
              <w:left w:val="single" w:color="auto" w:sz="4" w:space="0"/>
              <w:bottom w:val="single" w:color="auto" w:sz="4" w:space="0"/>
              <w:right w:val="single" w:color="auto" w:sz="4" w:space="0"/>
            </w:tcBorders>
            <w:noWrap w:val="0"/>
            <w:vAlign w:val="center"/>
          </w:tcPr>
          <w:p w14:paraId="28D9C7A4">
            <w:pPr>
              <w:widowControl/>
              <w:jc w:val="left"/>
              <w:rPr>
                <w:rFonts w:hint="eastAsia" w:ascii="宋体" w:hAnsi="宋体" w:eastAsia="宋体" w:cs="宋体"/>
                <w:color w:val="000000" w:themeColor="text1"/>
                <w:highlight w:val="none"/>
                <w14:textFill>
                  <w14:solidFill>
                    <w14:schemeClr w14:val="tx1"/>
                  </w14:solidFill>
                </w14:textFill>
              </w:rPr>
            </w:pPr>
          </w:p>
        </w:tc>
        <w:tc>
          <w:tcPr>
            <w:tcW w:w="2267" w:type="dxa"/>
            <w:vMerge w:val="continue"/>
            <w:tcBorders>
              <w:top w:val="single" w:color="auto" w:sz="4" w:space="0"/>
              <w:left w:val="single" w:color="auto" w:sz="4" w:space="0"/>
              <w:bottom w:val="single" w:color="auto" w:sz="4" w:space="0"/>
              <w:right w:val="single" w:color="auto" w:sz="4" w:space="0"/>
            </w:tcBorders>
            <w:noWrap w:val="0"/>
            <w:vAlign w:val="center"/>
          </w:tcPr>
          <w:p w14:paraId="5AFC198C">
            <w:pPr>
              <w:widowControl/>
              <w:jc w:val="left"/>
              <w:rPr>
                <w:rFonts w:hint="eastAsia" w:ascii="宋体" w:hAnsi="宋体" w:eastAsia="宋体" w:cs="宋体"/>
                <w:color w:val="000000" w:themeColor="text1"/>
                <w:highlight w:val="none"/>
                <w14:textFill>
                  <w14:solidFill>
                    <w14:schemeClr w14:val="tx1"/>
                  </w14:solidFill>
                </w14:textFill>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07679B7B">
            <w:pPr>
              <w:widowControl/>
              <w:jc w:val="left"/>
              <w:rPr>
                <w:rFonts w:hint="eastAsia" w:ascii="宋体" w:hAnsi="宋体" w:eastAsia="宋体" w:cs="宋体"/>
                <w:color w:val="000000" w:themeColor="text1"/>
                <w:highlight w:val="none"/>
                <w14:textFill>
                  <w14:solidFill>
                    <w14:schemeClr w14:val="tx1"/>
                  </w14:solidFill>
                </w14:textFill>
              </w:rPr>
            </w:pPr>
          </w:p>
        </w:tc>
        <w:tc>
          <w:tcPr>
            <w:tcW w:w="1117" w:type="dxa"/>
            <w:vMerge w:val="continue"/>
            <w:tcBorders>
              <w:top w:val="single" w:color="auto" w:sz="4" w:space="0"/>
              <w:left w:val="single" w:color="auto" w:sz="4" w:space="0"/>
              <w:bottom w:val="single" w:color="auto" w:sz="4" w:space="0"/>
              <w:right w:val="single" w:color="auto" w:sz="4" w:space="0"/>
            </w:tcBorders>
            <w:noWrap w:val="0"/>
            <w:vAlign w:val="center"/>
          </w:tcPr>
          <w:p w14:paraId="50746B05">
            <w:pPr>
              <w:widowControl/>
              <w:jc w:val="left"/>
              <w:rPr>
                <w:rFonts w:hint="eastAsia" w:ascii="宋体" w:hAnsi="宋体" w:eastAsia="宋体" w:cs="宋体"/>
                <w:color w:val="000000" w:themeColor="text1"/>
                <w:highlight w:val="none"/>
                <w14:textFill>
                  <w14:solidFill>
                    <w14:schemeClr w14:val="tx1"/>
                  </w14:solidFill>
                </w14:textFill>
              </w:rPr>
            </w:pPr>
          </w:p>
        </w:tc>
        <w:tc>
          <w:tcPr>
            <w:tcW w:w="1198" w:type="dxa"/>
            <w:vMerge w:val="continue"/>
            <w:tcBorders>
              <w:top w:val="single" w:color="auto" w:sz="4" w:space="0"/>
              <w:left w:val="single" w:color="auto" w:sz="4" w:space="0"/>
              <w:bottom w:val="single" w:color="auto" w:sz="4" w:space="0"/>
              <w:right w:val="single" w:color="auto" w:sz="4" w:space="0"/>
            </w:tcBorders>
            <w:noWrap w:val="0"/>
            <w:vAlign w:val="center"/>
          </w:tcPr>
          <w:p w14:paraId="55D3B305">
            <w:pPr>
              <w:widowControl/>
              <w:jc w:val="left"/>
              <w:rPr>
                <w:rFonts w:hint="eastAsia" w:ascii="宋体" w:hAnsi="宋体" w:eastAsia="宋体" w:cs="宋体"/>
                <w:color w:val="000000" w:themeColor="text1"/>
                <w:highlight w:val="none"/>
                <w14:textFill>
                  <w14:solidFill>
                    <w14:schemeClr w14:val="tx1"/>
                  </w14:solidFill>
                </w14:textFill>
              </w:rPr>
            </w:pPr>
          </w:p>
        </w:tc>
      </w:tr>
      <w:tr w14:paraId="0B556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775" w:type="dxa"/>
            <w:tcBorders>
              <w:top w:val="single" w:color="auto" w:sz="4" w:space="0"/>
              <w:left w:val="single" w:color="auto" w:sz="4" w:space="0"/>
              <w:bottom w:val="single" w:color="auto" w:sz="4" w:space="0"/>
              <w:right w:val="single" w:color="auto" w:sz="4" w:space="0"/>
            </w:tcBorders>
            <w:noWrap w:val="0"/>
            <w:vAlign w:val="center"/>
          </w:tcPr>
          <w:p w14:paraId="727C6173">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675666AD">
            <w:pPr>
              <w:jc w:val="center"/>
              <w:rPr>
                <w:rFonts w:hint="eastAsia" w:ascii="宋体" w:hAnsi="宋体" w:eastAsia="宋体" w:cs="宋体"/>
                <w:color w:val="000000" w:themeColor="text1"/>
                <w:highlight w:val="none"/>
                <w14:textFill>
                  <w14:solidFill>
                    <w14:schemeClr w14:val="tx1"/>
                  </w14:solidFill>
                </w14:textFill>
              </w:rPr>
            </w:pPr>
          </w:p>
        </w:tc>
        <w:tc>
          <w:tcPr>
            <w:tcW w:w="1520" w:type="dxa"/>
            <w:tcBorders>
              <w:top w:val="single" w:color="auto" w:sz="4" w:space="0"/>
              <w:left w:val="single" w:color="auto" w:sz="4" w:space="0"/>
              <w:bottom w:val="single" w:color="auto" w:sz="4" w:space="0"/>
              <w:right w:val="single" w:color="auto" w:sz="4" w:space="0"/>
            </w:tcBorders>
            <w:noWrap w:val="0"/>
            <w:vAlign w:val="center"/>
          </w:tcPr>
          <w:p w14:paraId="4DBBA713">
            <w:pPr>
              <w:jc w:val="center"/>
              <w:rPr>
                <w:rFonts w:hint="eastAsia" w:ascii="宋体" w:hAnsi="宋体" w:eastAsia="宋体" w:cs="宋体"/>
                <w:color w:val="000000" w:themeColor="text1"/>
                <w:highlight w:val="none"/>
                <w14:textFill>
                  <w14:solidFill>
                    <w14:schemeClr w14:val="tx1"/>
                  </w14:solidFill>
                </w14:textFill>
              </w:rPr>
            </w:pPr>
          </w:p>
        </w:tc>
        <w:tc>
          <w:tcPr>
            <w:tcW w:w="2267" w:type="dxa"/>
            <w:tcBorders>
              <w:top w:val="single" w:color="auto" w:sz="4" w:space="0"/>
              <w:left w:val="single" w:color="auto" w:sz="4" w:space="0"/>
              <w:bottom w:val="single" w:color="auto" w:sz="4" w:space="0"/>
              <w:right w:val="single" w:color="auto" w:sz="4" w:space="0"/>
            </w:tcBorders>
            <w:noWrap w:val="0"/>
            <w:vAlign w:val="center"/>
          </w:tcPr>
          <w:p w14:paraId="30A0DC1F">
            <w:pPr>
              <w:jc w:val="center"/>
              <w:rPr>
                <w:rFonts w:hint="eastAsia" w:ascii="宋体" w:hAnsi="宋体" w:eastAsia="宋体" w:cs="宋体"/>
                <w:color w:val="000000" w:themeColor="text1"/>
                <w:highlight w:val="none"/>
                <w14:textFill>
                  <w14:solidFill>
                    <w14:schemeClr w14:val="tx1"/>
                  </w14:solidFill>
                </w14:textFill>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6D4A4E21">
            <w:pPr>
              <w:jc w:val="center"/>
              <w:rPr>
                <w:rFonts w:hint="eastAsia" w:ascii="宋体" w:hAnsi="宋体" w:eastAsia="宋体" w:cs="宋体"/>
                <w:color w:val="000000" w:themeColor="text1"/>
                <w:highlight w:val="none"/>
                <w14:textFill>
                  <w14:solidFill>
                    <w14:schemeClr w14:val="tx1"/>
                  </w14:solidFill>
                </w14:textFill>
              </w:rPr>
            </w:pPr>
          </w:p>
        </w:tc>
        <w:tc>
          <w:tcPr>
            <w:tcW w:w="1117" w:type="dxa"/>
            <w:tcBorders>
              <w:top w:val="single" w:color="auto" w:sz="4" w:space="0"/>
              <w:left w:val="single" w:color="auto" w:sz="4" w:space="0"/>
              <w:bottom w:val="single" w:color="auto" w:sz="4" w:space="0"/>
              <w:right w:val="single" w:color="auto" w:sz="4" w:space="0"/>
            </w:tcBorders>
            <w:noWrap w:val="0"/>
            <w:vAlign w:val="center"/>
          </w:tcPr>
          <w:p w14:paraId="1CC03636">
            <w:pPr>
              <w:jc w:val="center"/>
              <w:rPr>
                <w:rFonts w:hint="eastAsia" w:ascii="宋体" w:hAnsi="宋体" w:eastAsia="宋体" w:cs="宋体"/>
                <w:color w:val="000000" w:themeColor="text1"/>
                <w:highlight w:val="none"/>
                <w14:textFill>
                  <w14:solidFill>
                    <w14:schemeClr w14:val="tx1"/>
                  </w14:solidFill>
                </w14:textFill>
              </w:rPr>
            </w:pPr>
          </w:p>
        </w:tc>
        <w:tc>
          <w:tcPr>
            <w:tcW w:w="1198" w:type="dxa"/>
            <w:tcBorders>
              <w:top w:val="single" w:color="auto" w:sz="4" w:space="0"/>
              <w:left w:val="single" w:color="auto" w:sz="4" w:space="0"/>
              <w:bottom w:val="single" w:color="auto" w:sz="4" w:space="0"/>
              <w:right w:val="single" w:color="auto" w:sz="4" w:space="0"/>
            </w:tcBorders>
            <w:noWrap w:val="0"/>
            <w:vAlign w:val="center"/>
          </w:tcPr>
          <w:p w14:paraId="1EFAF57C">
            <w:pPr>
              <w:jc w:val="center"/>
              <w:rPr>
                <w:rFonts w:hint="eastAsia" w:ascii="宋体" w:hAnsi="宋体" w:eastAsia="宋体" w:cs="宋体"/>
                <w:color w:val="000000" w:themeColor="text1"/>
                <w:highlight w:val="none"/>
                <w14:textFill>
                  <w14:solidFill>
                    <w14:schemeClr w14:val="tx1"/>
                  </w14:solidFill>
                </w14:textFill>
              </w:rPr>
            </w:pPr>
          </w:p>
        </w:tc>
      </w:tr>
      <w:tr w14:paraId="30C07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775" w:type="dxa"/>
            <w:tcBorders>
              <w:top w:val="single" w:color="auto" w:sz="4" w:space="0"/>
              <w:left w:val="single" w:color="auto" w:sz="4" w:space="0"/>
              <w:bottom w:val="single" w:color="auto" w:sz="4" w:space="0"/>
              <w:right w:val="single" w:color="auto" w:sz="4" w:space="0"/>
            </w:tcBorders>
            <w:noWrap w:val="0"/>
            <w:vAlign w:val="center"/>
          </w:tcPr>
          <w:p w14:paraId="7A2E768A">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2CEE0F7D">
            <w:pPr>
              <w:jc w:val="center"/>
              <w:rPr>
                <w:rFonts w:hint="eastAsia" w:ascii="宋体" w:hAnsi="宋体" w:eastAsia="宋体" w:cs="宋体"/>
                <w:color w:val="000000" w:themeColor="text1"/>
                <w:highlight w:val="none"/>
                <w14:textFill>
                  <w14:solidFill>
                    <w14:schemeClr w14:val="tx1"/>
                  </w14:solidFill>
                </w14:textFill>
              </w:rPr>
            </w:pPr>
          </w:p>
        </w:tc>
        <w:tc>
          <w:tcPr>
            <w:tcW w:w="1520" w:type="dxa"/>
            <w:tcBorders>
              <w:top w:val="single" w:color="auto" w:sz="4" w:space="0"/>
              <w:left w:val="single" w:color="auto" w:sz="4" w:space="0"/>
              <w:bottom w:val="single" w:color="auto" w:sz="4" w:space="0"/>
              <w:right w:val="single" w:color="auto" w:sz="4" w:space="0"/>
            </w:tcBorders>
            <w:noWrap w:val="0"/>
            <w:vAlign w:val="center"/>
          </w:tcPr>
          <w:p w14:paraId="2A6A2DD6">
            <w:pPr>
              <w:jc w:val="center"/>
              <w:rPr>
                <w:rFonts w:hint="eastAsia" w:ascii="宋体" w:hAnsi="宋体" w:eastAsia="宋体" w:cs="宋体"/>
                <w:color w:val="000000" w:themeColor="text1"/>
                <w:highlight w:val="none"/>
                <w14:textFill>
                  <w14:solidFill>
                    <w14:schemeClr w14:val="tx1"/>
                  </w14:solidFill>
                </w14:textFill>
              </w:rPr>
            </w:pPr>
          </w:p>
        </w:tc>
        <w:tc>
          <w:tcPr>
            <w:tcW w:w="2267" w:type="dxa"/>
            <w:tcBorders>
              <w:top w:val="single" w:color="auto" w:sz="4" w:space="0"/>
              <w:left w:val="single" w:color="auto" w:sz="4" w:space="0"/>
              <w:bottom w:val="single" w:color="auto" w:sz="4" w:space="0"/>
              <w:right w:val="single" w:color="auto" w:sz="4" w:space="0"/>
            </w:tcBorders>
            <w:noWrap w:val="0"/>
            <w:vAlign w:val="center"/>
          </w:tcPr>
          <w:p w14:paraId="3E228A25">
            <w:pPr>
              <w:jc w:val="center"/>
              <w:rPr>
                <w:rFonts w:hint="eastAsia" w:ascii="宋体" w:hAnsi="宋体" w:eastAsia="宋体" w:cs="宋体"/>
                <w:color w:val="000000" w:themeColor="text1"/>
                <w:highlight w:val="none"/>
                <w14:textFill>
                  <w14:solidFill>
                    <w14:schemeClr w14:val="tx1"/>
                  </w14:solidFill>
                </w14:textFill>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606E1C14">
            <w:pPr>
              <w:jc w:val="center"/>
              <w:rPr>
                <w:rFonts w:hint="eastAsia" w:ascii="宋体" w:hAnsi="宋体" w:eastAsia="宋体" w:cs="宋体"/>
                <w:color w:val="000000" w:themeColor="text1"/>
                <w:highlight w:val="none"/>
                <w14:textFill>
                  <w14:solidFill>
                    <w14:schemeClr w14:val="tx1"/>
                  </w14:solidFill>
                </w14:textFill>
              </w:rPr>
            </w:pPr>
          </w:p>
        </w:tc>
        <w:tc>
          <w:tcPr>
            <w:tcW w:w="1117" w:type="dxa"/>
            <w:tcBorders>
              <w:top w:val="single" w:color="auto" w:sz="4" w:space="0"/>
              <w:left w:val="single" w:color="auto" w:sz="4" w:space="0"/>
              <w:bottom w:val="single" w:color="auto" w:sz="4" w:space="0"/>
              <w:right w:val="single" w:color="auto" w:sz="4" w:space="0"/>
            </w:tcBorders>
            <w:noWrap w:val="0"/>
            <w:vAlign w:val="center"/>
          </w:tcPr>
          <w:p w14:paraId="4C23E1E0">
            <w:pPr>
              <w:jc w:val="center"/>
              <w:rPr>
                <w:rFonts w:hint="eastAsia" w:ascii="宋体" w:hAnsi="宋体" w:eastAsia="宋体" w:cs="宋体"/>
                <w:color w:val="000000" w:themeColor="text1"/>
                <w:highlight w:val="none"/>
                <w14:textFill>
                  <w14:solidFill>
                    <w14:schemeClr w14:val="tx1"/>
                  </w14:solidFill>
                </w14:textFill>
              </w:rPr>
            </w:pPr>
          </w:p>
        </w:tc>
        <w:tc>
          <w:tcPr>
            <w:tcW w:w="1198" w:type="dxa"/>
            <w:tcBorders>
              <w:top w:val="single" w:color="auto" w:sz="4" w:space="0"/>
              <w:left w:val="single" w:color="auto" w:sz="4" w:space="0"/>
              <w:bottom w:val="single" w:color="auto" w:sz="4" w:space="0"/>
              <w:right w:val="single" w:color="auto" w:sz="4" w:space="0"/>
            </w:tcBorders>
            <w:noWrap w:val="0"/>
            <w:vAlign w:val="center"/>
          </w:tcPr>
          <w:p w14:paraId="722E8F6F">
            <w:pPr>
              <w:jc w:val="center"/>
              <w:rPr>
                <w:rFonts w:hint="eastAsia" w:ascii="宋体" w:hAnsi="宋体" w:eastAsia="宋体" w:cs="宋体"/>
                <w:color w:val="000000" w:themeColor="text1"/>
                <w:highlight w:val="none"/>
                <w14:textFill>
                  <w14:solidFill>
                    <w14:schemeClr w14:val="tx1"/>
                  </w14:solidFill>
                </w14:textFill>
              </w:rPr>
            </w:pPr>
          </w:p>
        </w:tc>
      </w:tr>
      <w:tr w14:paraId="38BF5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775" w:type="dxa"/>
            <w:tcBorders>
              <w:top w:val="single" w:color="auto" w:sz="4" w:space="0"/>
              <w:left w:val="single" w:color="auto" w:sz="4" w:space="0"/>
              <w:bottom w:val="single" w:color="auto" w:sz="4" w:space="0"/>
              <w:right w:val="single" w:color="auto" w:sz="4" w:space="0"/>
            </w:tcBorders>
            <w:noWrap w:val="0"/>
            <w:vAlign w:val="center"/>
          </w:tcPr>
          <w:p w14:paraId="3B46476B">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p>
        </w:tc>
        <w:tc>
          <w:tcPr>
            <w:tcW w:w="1738" w:type="dxa"/>
            <w:tcBorders>
              <w:top w:val="single" w:color="auto" w:sz="4" w:space="0"/>
              <w:left w:val="single" w:color="auto" w:sz="4" w:space="0"/>
              <w:bottom w:val="single" w:color="auto" w:sz="4" w:space="0"/>
              <w:right w:val="single" w:color="auto" w:sz="4" w:space="0"/>
            </w:tcBorders>
            <w:noWrap w:val="0"/>
            <w:vAlign w:val="center"/>
          </w:tcPr>
          <w:p w14:paraId="44C3B160">
            <w:pPr>
              <w:jc w:val="center"/>
              <w:rPr>
                <w:rFonts w:hint="eastAsia" w:ascii="宋体" w:hAnsi="宋体" w:eastAsia="宋体" w:cs="宋体"/>
                <w:color w:val="000000" w:themeColor="text1"/>
                <w:highlight w:val="none"/>
                <w14:textFill>
                  <w14:solidFill>
                    <w14:schemeClr w14:val="tx1"/>
                  </w14:solidFill>
                </w14:textFill>
              </w:rPr>
            </w:pPr>
          </w:p>
        </w:tc>
        <w:tc>
          <w:tcPr>
            <w:tcW w:w="1520" w:type="dxa"/>
            <w:tcBorders>
              <w:top w:val="single" w:color="auto" w:sz="4" w:space="0"/>
              <w:left w:val="single" w:color="auto" w:sz="4" w:space="0"/>
              <w:bottom w:val="single" w:color="auto" w:sz="4" w:space="0"/>
              <w:right w:val="single" w:color="auto" w:sz="4" w:space="0"/>
            </w:tcBorders>
            <w:noWrap w:val="0"/>
            <w:vAlign w:val="center"/>
          </w:tcPr>
          <w:p w14:paraId="68A62CB7">
            <w:pPr>
              <w:jc w:val="center"/>
              <w:rPr>
                <w:rFonts w:hint="eastAsia" w:ascii="宋体" w:hAnsi="宋体" w:eastAsia="宋体" w:cs="宋体"/>
                <w:color w:val="000000" w:themeColor="text1"/>
                <w:highlight w:val="none"/>
                <w14:textFill>
                  <w14:solidFill>
                    <w14:schemeClr w14:val="tx1"/>
                  </w14:solidFill>
                </w14:textFill>
              </w:rPr>
            </w:pPr>
          </w:p>
        </w:tc>
        <w:tc>
          <w:tcPr>
            <w:tcW w:w="2267" w:type="dxa"/>
            <w:tcBorders>
              <w:top w:val="single" w:color="auto" w:sz="4" w:space="0"/>
              <w:left w:val="single" w:color="auto" w:sz="4" w:space="0"/>
              <w:bottom w:val="single" w:color="auto" w:sz="4" w:space="0"/>
              <w:right w:val="single" w:color="auto" w:sz="4" w:space="0"/>
            </w:tcBorders>
            <w:noWrap w:val="0"/>
            <w:vAlign w:val="center"/>
          </w:tcPr>
          <w:p w14:paraId="0DCCD796">
            <w:pPr>
              <w:jc w:val="center"/>
              <w:rPr>
                <w:rFonts w:hint="eastAsia" w:ascii="宋体" w:hAnsi="宋体" w:eastAsia="宋体" w:cs="宋体"/>
                <w:color w:val="000000" w:themeColor="text1"/>
                <w:highlight w:val="none"/>
                <w14:textFill>
                  <w14:solidFill>
                    <w14:schemeClr w14:val="tx1"/>
                  </w14:solidFill>
                </w14:textFill>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5457C5B8">
            <w:pPr>
              <w:jc w:val="center"/>
              <w:rPr>
                <w:rFonts w:hint="eastAsia" w:ascii="宋体" w:hAnsi="宋体" w:eastAsia="宋体" w:cs="宋体"/>
                <w:color w:val="000000" w:themeColor="text1"/>
                <w:highlight w:val="none"/>
                <w14:textFill>
                  <w14:solidFill>
                    <w14:schemeClr w14:val="tx1"/>
                  </w14:solidFill>
                </w14:textFill>
              </w:rPr>
            </w:pPr>
          </w:p>
        </w:tc>
        <w:tc>
          <w:tcPr>
            <w:tcW w:w="1117" w:type="dxa"/>
            <w:tcBorders>
              <w:top w:val="single" w:color="auto" w:sz="4" w:space="0"/>
              <w:left w:val="single" w:color="auto" w:sz="4" w:space="0"/>
              <w:bottom w:val="single" w:color="auto" w:sz="4" w:space="0"/>
              <w:right w:val="single" w:color="auto" w:sz="4" w:space="0"/>
            </w:tcBorders>
            <w:noWrap w:val="0"/>
            <w:vAlign w:val="center"/>
          </w:tcPr>
          <w:p w14:paraId="235B9F9D">
            <w:pPr>
              <w:jc w:val="center"/>
              <w:rPr>
                <w:rFonts w:hint="eastAsia" w:ascii="宋体" w:hAnsi="宋体" w:eastAsia="宋体" w:cs="宋体"/>
                <w:color w:val="000000" w:themeColor="text1"/>
                <w:highlight w:val="none"/>
                <w14:textFill>
                  <w14:solidFill>
                    <w14:schemeClr w14:val="tx1"/>
                  </w14:solidFill>
                </w14:textFill>
              </w:rPr>
            </w:pPr>
          </w:p>
        </w:tc>
        <w:tc>
          <w:tcPr>
            <w:tcW w:w="1198" w:type="dxa"/>
            <w:tcBorders>
              <w:top w:val="single" w:color="auto" w:sz="4" w:space="0"/>
              <w:left w:val="single" w:color="auto" w:sz="4" w:space="0"/>
              <w:bottom w:val="single" w:color="auto" w:sz="4" w:space="0"/>
              <w:right w:val="single" w:color="auto" w:sz="4" w:space="0"/>
            </w:tcBorders>
            <w:noWrap w:val="0"/>
            <w:vAlign w:val="center"/>
          </w:tcPr>
          <w:p w14:paraId="056D18EE">
            <w:pPr>
              <w:jc w:val="center"/>
              <w:rPr>
                <w:rFonts w:hint="eastAsia" w:ascii="宋体" w:hAnsi="宋体" w:eastAsia="宋体" w:cs="宋体"/>
                <w:color w:val="000000" w:themeColor="text1"/>
                <w:highlight w:val="none"/>
                <w14:textFill>
                  <w14:solidFill>
                    <w14:schemeClr w14:val="tx1"/>
                  </w14:solidFill>
                </w14:textFill>
              </w:rPr>
            </w:pPr>
          </w:p>
        </w:tc>
      </w:tr>
      <w:tr w14:paraId="0F248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2513" w:type="dxa"/>
            <w:gridSpan w:val="2"/>
            <w:tcBorders>
              <w:top w:val="single" w:color="auto" w:sz="4" w:space="0"/>
              <w:left w:val="single" w:color="auto" w:sz="4" w:space="0"/>
              <w:bottom w:val="single" w:color="auto" w:sz="4" w:space="0"/>
              <w:right w:val="single" w:color="auto" w:sz="4" w:space="0"/>
            </w:tcBorders>
            <w:noWrap w:val="0"/>
            <w:vAlign w:val="center"/>
          </w:tcPr>
          <w:p w14:paraId="4E41D4B9">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总价（元）</w:t>
            </w:r>
          </w:p>
        </w:tc>
        <w:tc>
          <w:tcPr>
            <w:tcW w:w="7107" w:type="dxa"/>
            <w:gridSpan w:val="5"/>
            <w:tcBorders>
              <w:top w:val="single" w:color="auto" w:sz="4" w:space="0"/>
              <w:left w:val="single" w:color="auto" w:sz="4" w:space="0"/>
              <w:bottom w:val="single" w:color="auto" w:sz="4" w:space="0"/>
              <w:right w:val="single" w:color="auto" w:sz="4" w:space="0"/>
            </w:tcBorders>
            <w:noWrap w:val="0"/>
            <w:vAlign w:val="center"/>
          </w:tcPr>
          <w:p w14:paraId="685B943C">
            <w:pPr>
              <w:jc w:val="center"/>
              <w:rPr>
                <w:rFonts w:hint="eastAsia" w:ascii="宋体" w:hAnsi="宋体" w:eastAsia="宋体" w:cs="宋体"/>
                <w:color w:val="000000" w:themeColor="text1"/>
                <w:highlight w:val="none"/>
                <w14:textFill>
                  <w14:solidFill>
                    <w14:schemeClr w14:val="tx1"/>
                  </w14:solidFill>
                </w14:textFill>
              </w:rPr>
            </w:pPr>
          </w:p>
        </w:tc>
      </w:tr>
    </w:tbl>
    <w:p w14:paraId="53E74775">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说明：投标人所报产品属于财政部、生态环境部发布的《环境标志产品政府采购品目清单》(财库〔2019〕18 号)内产品的，需按要求填写《环境标志产品明细表》，并提供所投产品由国家确定的认证机构出具的、处于有效期之内的环境标志产品认证证书，否则评审时不予认可，</w:t>
      </w:r>
      <w:r>
        <w:rPr>
          <w:rFonts w:hint="eastAsia" w:ascii="宋体" w:hAnsi="宋体" w:eastAsia="宋体" w:cs="宋体"/>
          <w:color w:val="000000" w:themeColor="text1"/>
          <w:sz w:val="24"/>
          <w:highlight w:val="none"/>
          <w:lang w:val="zh-CN"/>
          <w14:textFill>
            <w14:solidFill>
              <w14:schemeClr w14:val="tx1"/>
            </w14:solidFill>
          </w14:textFill>
        </w:rPr>
        <w:t>将不享受环保产品价格折扣或加分。</w:t>
      </w:r>
    </w:p>
    <w:p w14:paraId="72848E12">
      <w:pPr>
        <w:spacing w:line="500" w:lineRule="exact"/>
        <w:rPr>
          <w:rFonts w:hint="eastAsia" w:ascii="宋体" w:hAnsi="宋体" w:eastAsia="宋体" w:cs="宋体"/>
          <w:color w:val="000000" w:themeColor="text1"/>
          <w:sz w:val="24"/>
          <w:highlight w:val="none"/>
          <w14:textFill>
            <w14:solidFill>
              <w14:schemeClr w14:val="tx1"/>
            </w14:solidFill>
          </w14:textFill>
        </w:rPr>
      </w:pPr>
    </w:p>
    <w:p w14:paraId="5CD78F22">
      <w:pPr>
        <w:spacing w:line="500" w:lineRule="exact"/>
        <w:rPr>
          <w:rFonts w:hint="eastAsia" w:ascii="宋体" w:hAnsi="宋体" w:eastAsia="宋体" w:cs="宋体"/>
          <w:color w:val="000000" w:themeColor="text1"/>
          <w:sz w:val="24"/>
          <w:highlight w:val="none"/>
          <w14:textFill>
            <w14:solidFill>
              <w14:schemeClr w14:val="tx1"/>
            </w14:solidFill>
          </w14:textFill>
        </w:rPr>
      </w:pPr>
    </w:p>
    <w:p w14:paraId="1E0BF661">
      <w:pPr>
        <w:spacing w:line="500" w:lineRule="exact"/>
        <w:rPr>
          <w:rFonts w:hint="eastAsia" w:ascii="宋体" w:hAnsi="宋体" w:eastAsia="宋体" w:cs="宋体"/>
          <w:color w:val="000000" w:themeColor="text1"/>
          <w:sz w:val="24"/>
          <w:highlight w:val="none"/>
          <w14:textFill>
            <w14:solidFill>
              <w14:schemeClr w14:val="tx1"/>
            </w14:solidFill>
          </w14:textFill>
        </w:rPr>
      </w:pPr>
    </w:p>
    <w:p w14:paraId="52FBE66E">
      <w:pPr>
        <w:spacing w:line="500" w:lineRule="exact"/>
        <w:rPr>
          <w:rFonts w:hint="eastAsia" w:ascii="宋体" w:hAnsi="宋体" w:eastAsia="宋体" w:cs="宋体"/>
          <w:color w:val="000000" w:themeColor="text1"/>
          <w:sz w:val="24"/>
          <w:highlight w:val="none"/>
          <w14:textFill>
            <w14:solidFill>
              <w14:schemeClr w14:val="tx1"/>
            </w14:solidFill>
          </w14:textFill>
        </w:rPr>
      </w:pPr>
    </w:p>
    <w:p w14:paraId="3D454E9E">
      <w:pPr>
        <w:spacing w:line="500" w:lineRule="exact"/>
        <w:rPr>
          <w:rFonts w:hint="eastAsia" w:ascii="宋体" w:hAnsi="宋体" w:eastAsia="宋体" w:cs="宋体"/>
          <w:color w:val="000000" w:themeColor="text1"/>
          <w:sz w:val="24"/>
          <w:highlight w:val="none"/>
          <w14:textFill>
            <w14:solidFill>
              <w14:schemeClr w14:val="tx1"/>
            </w14:solidFill>
          </w14:textFill>
        </w:rPr>
      </w:pPr>
    </w:p>
    <w:p w14:paraId="161B7F7C">
      <w:pPr>
        <w:spacing w:line="500" w:lineRule="exact"/>
        <w:rPr>
          <w:rFonts w:hint="eastAsia" w:ascii="宋体" w:hAnsi="宋体" w:eastAsia="宋体" w:cs="宋体"/>
          <w:color w:val="000000" w:themeColor="text1"/>
          <w:sz w:val="24"/>
          <w:highlight w:val="none"/>
          <w14:textFill>
            <w14:solidFill>
              <w14:schemeClr w14:val="tx1"/>
            </w14:solidFill>
          </w14:textFill>
        </w:rPr>
      </w:pPr>
    </w:p>
    <w:p w14:paraId="26B5486E">
      <w:pPr>
        <w:spacing w:line="500" w:lineRule="exact"/>
        <w:rPr>
          <w:rFonts w:hint="eastAsia" w:ascii="宋体" w:hAnsi="宋体" w:eastAsia="宋体" w:cs="宋体"/>
          <w:color w:val="000000" w:themeColor="text1"/>
          <w:sz w:val="24"/>
          <w:highlight w:val="none"/>
          <w14:textFill>
            <w14:solidFill>
              <w14:schemeClr w14:val="tx1"/>
            </w14:solidFill>
          </w14:textFill>
        </w:rPr>
      </w:pPr>
    </w:p>
    <w:p w14:paraId="63E3488A">
      <w:pPr>
        <w:spacing w:line="500" w:lineRule="exact"/>
        <w:rPr>
          <w:rFonts w:hint="eastAsia" w:ascii="宋体" w:hAnsi="宋体" w:eastAsia="宋体" w:cs="宋体"/>
          <w:color w:val="000000" w:themeColor="text1"/>
          <w:sz w:val="24"/>
          <w:highlight w:val="none"/>
          <w14:textFill>
            <w14:solidFill>
              <w14:schemeClr w14:val="tx1"/>
            </w14:solidFill>
          </w14:textFill>
        </w:rPr>
      </w:pPr>
    </w:p>
    <w:p w14:paraId="0CFAF7DE">
      <w:pPr>
        <w:spacing w:line="400" w:lineRule="exact"/>
        <w:jc w:val="left"/>
        <w:rPr>
          <w:rFonts w:hint="eastAsia" w:ascii="宋体" w:hAnsi="宋体" w:eastAsia="宋体" w:cs="宋体"/>
          <w:b/>
          <w:color w:val="000000" w:themeColor="text1"/>
          <w:sz w:val="24"/>
          <w:highlight w:val="none"/>
          <w14:textFill>
            <w14:solidFill>
              <w14:schemeClr w14:val="tx1"/>
            </w14:solidFill>
          </w14:textFill>
        </w:rPr>
      </w:pPr>
    </w:p>
    <w:p w14:paraId="0C36969F">
      <w:pPr>
        <w:spacing w:line="400" w:lineRule="exact"/>
        <w:jc w:val="left"/>
        <w:rPr>
          <w:rFonts w:hint="eastAsia" w:ascii="宋体" w:hAnsi="宋体" w:eastAsia="宋体" w:cs="宋体"/>
          <w:b/>
          <w:color w:val="000000" w:themeColor="text1"/>
          <w:sz w:val="24"/>
          <w:highlight w:val="none"/>
          <w14:textFill>
            <w14:solidFill>
              <w14:schemeClr w14:val="tx1"/>
            </w14:solidFill>
          </w14:textFill>
        </w:rPr>
      </w:pPr>
    </w:p>
    <w:p w14:paraId="436E8BB0">
      <w:pPr>
        <w:spacing w:line="400" w:lineRule="exact"/>
        <w:jc w:val="center"/>
        <w:rPr>
          <w:rFonts w:hint="eastAsia" w:ascii="宋体" w:hAnsi="宋体" w:eastAsia="宋体" w:cs="宋体"/>
          <w:b/>
          <w:color w:val="000000" w:themeColor="text1"/>
          <w:sz w:val="32"/>
          <w:highlight w:val="none"/>
          <w14:textFill>
            <w14:solidFill>
              <w14:schemeClr w14:val="tx1"/>
            </w14:solidFill>
          </w14:textFill>
        </w:rPr>
      </w:pPr>
    </w:p>
    <w:p w14:paraId="76713B56">
      <w:pPr>
        <w:spacing w:line="400" w:lineRule="exact"/>
        <w:jc w:val="center"/>
        <w:rPr>
          <w:rFonts w:hint="eastAsia" w:ascii="宋体" w:hAnsi="宋体" w:eastAsia="宋体" w:cs="宋体"/>
          <w:b/>
          <w:color w:val="000000" w:themeColor="text1"/>
          <w:sz w:val="32"/>
          <w:highlight w:val="none"/>
          <w14:textFill>
            <w14:solidFill>
              <w14:schemeClr w14:val="tx1"/>
            </w14:solidFill>
          </w14:textFill>
        </w:rPr>
      </w:pPr>
    </w:p>
    <w:p w14:paraId="1FAD7327">
      <w:pPr>
        <w:spacing w:line="400" w:lineRule="exact"/>
        <w:jc w:val="center"/>
        <w:rPr>
          <w:rFonts w:hint="eastAsia" w:ascii="宋体" w:hAnsi="宋体" w:eastAsia="宋体" w:cs="宋体"/>
          <w:b/>
          <w:color w:val="000000" w:themeColor="text1"/>
          <w:sz w:val="32"/>
          <w:highlight w:val="none"/>
          <w14:textFill>
            <w14:solidFill>
              <w14:schemeClr w14:val="tx1"/>
            </w14:solidFill>
          </w14:textFill>
        </w:rPr>
      </w:pPr>
    </w:p>
    <w:p w14:paraId="7B7DCD58">
      <w:pPr>
        <w:spacing w:line="400" w:lineRule="exact"/>
        <w:jc w:val="center"/>
        <w:rPr>
          <w:rFonts w:hint="eastAsia" w:ascii="宋体" w:hAnsi="宋体" w:eastAsia="宋体" w:cs="宋体"/>
          <w:b/>
          <w:color w:val="000000" w:themeColor="text1"/>
          <w:sz w:val="32"/>
          <w:highlight w:val="none"/>
          <w14:textFill>
            <w14:solidFill>
              <w14:schemeClr w14:val="tx1"/>
            </w14:solidFill>
          </w14:textFill>
        </w:rPr>
      </w:pPr>
    </w:p>
    <w:p w14:paraId="78B35B15">
      <w:pPr>
        <w:spacing w:line="400" w:lineRule="exact"/>
        <w:jc w:val="center"/>
        <w:rPr>
          <w:rFonts w:hint="eastAsia" w:ascii="宋体" w:hAnsi="宋体" w:eastAsia="宋体" w:cs="宋体"/>
          <w:b/>
          <w:color w:val="000000" w:themeColor="text1"/>
          <w:sz w:val="32"/>
          <w:highlight w:val="none"/>
          <w14:textFill>
            <w14:solidFill>
              <w14:schemeClr w14:val="tx1"/>
            </w14:solidFill>
          </w14:textFill>
        </w:rPr>
      </w:pPr>
    </w:p>
    <w:p w14:paraId="1822A5B2">
      <w:pPr>
        <w:pStyle w:val="93"/>
        <w:ind w:left="0" w:leftChars="0" w:firstLine="0" w:firstLineChars="0"/>
        <w:rPr>
          <w:rFonts w:hint="eastAsia" w:ascii="宋体" w:hAnsi="宋体" w:eastAsia="宋体" w:cs="宋体"/>
          <w:color w:val="000000" w:themeColor="text1"/>
          <w:highlight w:val="none"/>
          <w14:textFill>
            <w14:solidFill>
              <w14:schemeClr w14:val="tx1"/>
            </w14:solidFill>
          </w14:textFill>
        </w:rPr>
      </w:pPr>
    </w:p>
    <w:p w14:paraId="35522CEC">
      <w:pPr>
        <w:spacing w:line="400" w:lineRule="exact"/>
        <w:jc w:val="both"/>
        <w:rPr>
          <w:rFonts w:hint="eastAsia" w:ascii="宋体" w:hAnsi="宋体" w:eastAsia="宋体" w:cs="宋体"/>
          <w:b/>
          <w:color w:val="000000" w:themeColor="text1"/>
          <w:sz w:val="32"/>
          <w:highlight w:val="none"/>
          <w14:textFill>
            <w14:solidFill>
              <w14:schemeClr w14:val="tx1"/>
            </w14:solidFill>
          </w14:textFill>
        </w:rPr>
      </w:pPr>
    </w:p>
    <w:p w14:paraId="0B13C071">
      <w:pPr>
        <w:spacing w:line="400" w:lineRule="exact"/>
        <w:jc w:val="center"/>
        <w:rPr>
          <w:rFonts w:hint="eastAsia" w:ascii="宋体" w:hAnsi="宋体" w:eastAsia="宋体" w:cs="宋体"/>
          <w:b/>
          <w:color w:val="000000" w:themeColor="text1"/>
          <w:sz w:val="32"/>
          <w:highlight w:val="none"/>
          <w14:textFill>
            <w14:solidFill>
              <w14:schemeClr w14:val="tx1"/>
            </w14:solidFill>
          </w14:textFill>
        </w:rPr>
      </w:pPr>
    </w:p>
    <w:p w14:paraId="37259B64">
      <w:pPr>
        <w:spacing w:line="400" w:lineRule="exact"/>
        <w:jc w:val="center"/>
        <w:rPr>
          <w:rFonts w:hint="eastAsia" w:ascii="宋体" w:hAnsi="宋体" w:eastAsia="宋体" w:cs="宋体"/>
          <w:b/>
          <w:color w:val="000000" w:themeColor="text1"/>
          <w:sz w:val="32"/>
          <w:highlight w:val="none"/>
          <w14:textFill>
            <w14:solidFill>
              <w14:schemeClr w14:val="tx1"/>
            </w14:solidFill>
          </w14:textFill>
        </w:rPr>
      </w:pPr>
    </w:p>
    <w:p w14:paraId="02447C71">
      <w:pPr>
        <w:spacing w:line="400" w:lineRule="exact"/>
        <w:jc w:val="center"/>
        <w:rPr>
          <w:rFonts w:ascii="宋体" w:hAnsi="宋体"/>
          <w:b/>
          <w:sz w:val="30"/>
          <w:highlight w:val="none"/>
        </w:rPr>
      </w:pPr>
      <w:r>
        <w:rPr>
          <w:rFonts w:hint="eastAsia" w:ascii="宋体" w:hAnsi="宋体" w:eastAsia="宋体" w:cs="宋体"/>
          <w:b/>
          <w:color w:val="000000" w:themeColor="text1"/>
          <w:sz w:val="32"/>
          <w:highlight w:val="none"/>
          <w14:textFill>
            <w14:solidFill>
              <w14:schemeClr w14:val="tx1"/>
            </w14:solidFill>
          </w14:textFill>
        </w:rPr>
        <w:t>4</w:t>
      </w:r>
      <w:r>
        <w:rPr>
          <w:rFonts w:hint="eastAsia" w:ascii="宋体" w:hAnsi="宋体" w:cs="宋体"/>
          <w:b/>
          <w:color w:val="000000" w:themeColor="text1"/>
          <w:sz w:val="32"/>
          <w:highlight w:val="none"/>
          <w:lang w:eastAsia="zh-CN"/>
          <w14:textFill>
            <w14:solidFill>
              <w14:schemeClr w14:val="tx1"/>
            </w14:solidFill>
          </w14:textFill>
        </w:rPr>
        <w:t>.</w:t>
      </w:r>
      <w:r>
        <w:rPr>
          <w:rFonts w:ascii="宋体" w:hAnsi="宋体"/>
          <w:b/>
          <w:sz w:val="30"/>
          <w:highlight w:val="none"/>
        </w:rPr>
        <w:t>中小企业声明函（货物）</w:t>
      </w:r>
    </w:p>
    <w:p w14:paraId="76D5C414">
      <w:pPr>
        <w:pStyle w:val="30"/>
        <w:spacing w:before="77" w:line="360" w:lineRule="auto"/>
        <w:ind w:left="921"/>
        <w:rPr>
          <w:rFonts w:hint="eastAsia" w:ascii="宋体" w:hAnsi="宋体" w:cs="宋体"/>
          <w:sz w:val="24"/>
          <w:highlight w:val="none"/>
        </w:rPr>
      </w:pPr>
      <w:r>
        <w:rPr>
          <w:rFonts w:hint="eastAsia" w:ascii="宋体" w:hAnsi="宋体" w:cs="宋体"/>
          <w:sz w:val="24"/>
          <w:highlight w:val="none"/>
        </w:rPr>
        <w:t>本公司（联合体）郑重声明，根据《政府采购促进中小企业发展管理办法》（财库</w:t>
      </w:r>
    </w:p>
    <w:p w14:paraId="549EAE83">
      <w:pPr>
        <w:pStyle w:val="30"/>
        <w:tabs>
          <w:tab w:val="left" w:pos="6705"/>
          <w:tab w:val="left" w:pos="9196"/>
        </w:tabs>
        <w:spacing w:before="160" w:line="360" w:lineRule="auto"/>
        <w:ind w:left="417" w:right="467"/>
        <w:rPr>
          <w:rFonts w:hint="eastAsia" w:ascii="宋体" w:hAnsi="宋体" w:cs="宋体"/>
          <w:spacing w:val="-15"/>
          <w:sz w:val="24"/>
          <w:highlight w:val="none"/>
          <w:u w:val="single"/>
        </w:rPr>
      </w:pPr>
      <w:r>
        <w:rPr>
          <w:rFonts w:hint="eastAsia" w:ascii="宋体" w:hAnsi="宋体" w:cs="宋体"/>
          <w:sz w:val="24"/>
          <w:highlight w:val="none"/>
        </w:rPr>
        <w:t>﹝2020﹞46 号</w:t>
      </w:r>
      <w:r>
        <w:rPr>
          <w:rFonts w:hint="eastAsia" w:ascii="宋体" w:hAnsi="宋体" w:cs="宋体"/>
          <w:spacing w:val="-17"/>
          <w:sz w:val="24"/>
          <w:highlight w:val="none"/>
        </w:rPr>
        <w:t>）</w:t>
      </w:r>
      <w:r>
        <w:rPr>
          <w:rFonts w:hint="eastAsia" w:ascii="宋体" w:hAnsi="宋体" w:cs="宋体"/>
          <w:sz w:val="24"/>
          <w:highlight w:val="none"/>
        </w:rPr>
        <w:t>的规定</w:t>
      </w:r>
      <w:r>
        <w:rPr>
          <w:rFonts w:hint="eastAsia" w:ascii="宋体" w:hAnsi="宋体" w:cs="宋体"/>
          <w:spacing w:val="-15"/>
          <w:sz w:val="24"/>
          <w:highlight w:val="none"/>
        </w:rPr>
        <w:t>，</w:t>
      </w:r>
      <w:r>
        <w:rPr>
          <w:rFonts w:hint="eastAsia" w:ascii="宋体" w:hAnsi="宋体" w:cs="宋体"/>
          <w:sz w:val="24"/>
          <w:highlight w:val="none"/>
        </w:rPr>
        <w:t>本公</w:t>
      </w:r>
      <w:r>
        <w:rPr>
          <w:rFonts w:hint="eastAsia" w:ascii="宋体" w:hAnsi="宋体" w:cs="宋体"/>
          <w:spacing w:val="-15"/>
          <w:sz w:val="24"/>
          <w:highlight w:val="none"/>
        </w:rPr>
        <w:t>司</w:t>
      </w:r>
      <w:r>
        <w:rPr>
          <w:rFonts w:hint="eastAsia" w:ascii="宋体" w:hAnsi="宋体" w:cs="宋体"/>
          <w:sz w:val="24"/>
          <w:highlight w:val="none"/>
        </w:rPr>
        <w:t>（联合体</w:t>
      </w:r>
      <w:r>
        <w:rPr>
          <w:rFonts w:hint="eastAsia" w:ascii="宋体" w:hAnsi="宋体" w:cs="宋体"/>
          <w:spacing w:val="-15"/>
          <w:sz w:val="24"/>
          <w:highlight w:val="none"/>
        </w:rPr>
        <w:t>）</w:t>
      </w:r>
      <w:r>
        <w:rPr>
          <w:rFonts w:hint="eastAsia" w:ascii="宋体" w:hAnsi="宋体" w:cs="宋体"/>
          <w:sz w:val="24"/>
          <w:highlight w:val="none"/>
        </w:rPr>
        <w:t>参加</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rPr>
        <w:t>（单位名称</w:t>
      </w:r>
      <w:r>
        <w:rPr>
          <w:rFonts w:hint="eastAsia" w:ascii="宋体" w:hAnsi="宋体" w:cs="宋体"/>
          <w:spacing w:val="-15"/>
          <w:sz w:val="24"/>
          <w:highlight w:val="none"/>
        </w:rPr>
        <w:t>）</w:t>
      </w:r>
      <w:r>
        <w:rPr>
          <w:rFonts w:hint="eastAsia" w:ascii="宋体" w:hAnsi="宋体" w:cs="宋体"/>
          <w:spacing w:val="-15"/>
          <w:sz w:val="24"/>
          <w:highlight w:val="none"/>
          <w:u w:val="single"/>
        </w:rPr>
        <w:t xml:space="preserve"> </w:t>
      </w:r>
      <w:r>
        <w:rPr>
          <w:rFonts w:hint="eastAsia" w:ascii="宋体" w:hAnsi="宋体" w:cs="宋体"/>
          <w:spacing w:val="-15"/>
          <w:sz w:val="24"/>
          <w:highlight w:val="none"/>
          <w:u w:val="single"/>
        </w:rPr>
        <w:tab/>
      </w:r>
    </w:p>
    <w:p w14:paraId="4D392DA0">
      <w:pPr>
        <w:pStyle w:val="30"/>
        <w:tabs>
          <w:tab w:val="left" w:pos="6705"/>
          <w:tab w:val="left" w:pos="9196"/>
        </w:tabs>
        <w:spacing w:before="160" w:line="360" w:lineRule="auto"/>
        <w:ind w:left="417" w:right="467"/>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pacing w:val="-17"/>
          <w:sz w:val="24"/>
          <w:highlight w:val="none"/>
        </w:rPr>
        <w:t>项</w:t>
      </w:r>
      <w:r>
        <w:rPr>
          <w:rFonts w:hint="eastAsia" w:ascii="宋体" w:hAnsi="宋体" w:cs="宋体"/>
          <w:sz w:val="24"/>
          <w:highlight w:val="none"/>
        </w:rPr>
        <w:t>目名称</w:t>
      </w:r>
      <w:r>
        <w:rPr>
          <w:rFonts w:hint="eastAsia" w:ascii="宋体" w:hAnsi="宋体" w:cs="宋体"/>
          <w:spacing w:val="-27"/>
          <w:sz w:val="24"/>
          <w:highlight w:val="none"/>
        </w:rPr>
        <w:t>）</w:t>
      </w:r>
      <w:r>
        <w:rPr>
          <w:rFonts w:hint="eastAsia" w:ascii="宋体" w:hAnsi="宋体" w:cs="宋体"/>
          <w:sz w:val="24"/>
          <w:highlight w:val="none"/>
        </w:rPr>
        <w:t>采购活动</w:t>
      </w:r>
      <w:r>
        <w:rPr>
          <w:rFonts w:hint="eastAsia" w:ascii="宋体" w:hAnsi="宋体" w:cs="宋体"/>
          <w:spacing w:val="-27"/>
          <w:sz w:val="24"/>
          <w:highlight w:val="none"/>
        </w:rPr>
        <w:t>，</w:t>
      </w:r>
      <w:r>
        <w:rPr>
          <w:rFonts w:hint="eastAsia" w:ascii="宋体" w:hAnsi="宋体" w:cs="宋体"/>
          <w:sz w:val="24"/>
          <w:highlight w:val="none"/>
        </w:rPr>
        <w:t>提供的货物全部由符合政策要求的中小企业制造</w:t>
      </w:r>
      <w:r>
        <w:rPr>
          <w:rFonts w:hint="eastAsia" w:ascii="宋体" w:hAnsi="宋体" w:cs="宋体"/>
          <w:spacing w:val="-27"/>
          <w:sz w:val="24"/>
          <w:highlight w:val="none"/>
        </w:rPr>
        <w:t>。</w:t>
      </w:r>
      <w:r>
        <w:rPr>
          <w:rFonts w:hint="eastAsia" w:ascii="宋体" w:hAnsi="宋体" w:cs="宋体"/>
          <w:sz w:val="24"/>
          <w:highlight w:val="none"/>
        </w:rPr>
        <w:t>相关企</w:t>
      </w:r>
      <w:r>
        <w:rPr>
          <w:rFonts w:hint="eastAsia" w:ascii="宋体" w:hAnsi="宋体" w:cs="宋体"/>
          <w:spacing w:val="-24"/>
          <w:sz w:val="24"/>
          <w:highlight w:val="none"/>
        </w:rPr>
        <w:t>业</w:t>
      </w:r>
      <w:r>
        <w:rPr>
          <w:rFonts w:hint="eastAsia" w:ascii="宋体" w:hAnsi="宋体" w:cs="宋体"/>
          <w:sz w:val="24"/>
          <w:highlight w:val="none"/>
        </w:rPr>
        <w:t>（含联</w:t>
      </w:r>
      <w:r>
        <w:rPr>
          <w:rFonts w:hint="eastAsia" w:ascii="宋体" w:hAnsi="宋体" w:cs="宋体"/>
          <w:spacing w:val="-15"/>
          <w:sz w:val="24"/>
          <w:highlight w:val="none"/>
        </w:rPr>
        <w:t>合</w:t>
      </w:r>
      <w:r>
        <w:rPr>
          <w:rFonts w:hint="eastAsia" w:ascii="宋体" w:hAnsi="宋体" w:cs="宋体"/>
          <w:sz w:val="24"/>
          <w:highlight w:val="none"/>
        </w:rPr>
        <w:t>体中的中小企业、签订分包意向协议的中小企业）的具体情况如下：</w:t>
      </w:r>
    </w:p>
    <w:p w14:paraId="1418FF1A">
      <w:pPr>
        <w:pStyle w:val="30"/>
        <w:tabs>
          <w:tab w:val="left" w:pos="1979"/>
          <w:tab w:val="left" w:pos="4264"/>
          <w:tab w:val="left" w:pos="6789"/>
        </w:tabs>
        <w:spacing w:before="2" w:line="360" w:lineRule="auto"/>
        <w:ind w:left="417" w:right="342" w:firstLine="504"/>
        <w:rPr>
          <w:rFonts w:hint="eastAsia" w:ascii="宋体" w:hAnsi="宋体" w:cs="宋体"/>
          <w:sz w:val="24"/>
          <w:highlight w:val="none"/>
        </w:rPr>
      </w:pPr>
      <w:r>
        <w:rPr>
          <w:rFonts w:hint="eastAsia" w:ascii="宋体" w:hAnsi="宋体" w:cs="宋体"/>
          <w:sz w:val="24"/>
          <w:highlight w:val="none"/>
        </w:rPr>
        <w:t>1</w:t>
      </w:r>
      <w:r>
        <w:rPr>
          <w:rFonts w:hint="eastAsia" w:ascii="宋体" w:hAnsi="宋体" w:cs="宋体"/>
          <w:spacing w:val="-36"/>
          <w:sz w:val="24"/>
          <w:highlight w:val="none"/>
        </w:rPr>
        <w:t>、</w:t>
      </w:r>
      <w:r>
        <w:rPr>
          <w:rFonts w:hint="eastAsia" w:ascii="宋体" w:hAnsi="宋体" w:cs="宋体"/>
          <w:sz w:val="24"/>
          <w:highlight w:val="none"/>
        </w:rPr>
        <w:t>（标的名称</w:t>
      </w:r>
      <w:r>
        <w:rPr>
          <w:rFonts w:hint="eastAsia" w:ascii="宋体" w:hAnsi="宋体" w:cs="宋体"/>
          <w:spacing w:val="-17"/>
          <w:sz w:val="24"/>
          <w:highlight w:val="none"/>
        </w:rPr>
        <w:t>）</w:t>
      </w:r>
      <w:r>
        <w:rPr>
          <w:rFonts w:hint="eastAsia" w:ascii="宋体" w:hAnsi="宋体" w:cs="宋体"/>
          <w:sz w:val="24"/>
          <w:highlight w:val="none"/>
        </w:rPr>
        <w:t>属</w:t>
      </w:r>
      <w:r>
        <w:rPr>
          <w:rFonts w:hint="eastAsia" w:ascii="宋体" w:hAnsi="宋体" w:cs="宋体"/>
          <w:spacing w:val="-17"/>
          <w:sz w:val="24"/>
          <w:highlight w:val="none"/>
        </w:rPr>
        <w:t>于</w:t>
      </w:r>
      <w:r>
        <w:rPr>
          <w:rFonts w:hint="eastAsia" w:ascii="宋体" w:hAnsi="宋体" w:cs="宋体"/>
          <w:sz w:val="24"/>
          <w:highlight w:val="none"/>
        </w:rPr>
        <w:t>（</w:t>
      </w:r>
      <w:r>
        <w:rPr>
          <w:rFonts w:hint="eastAsia" w:ascii="宋体" w:hAnsi="宋体" w:cs="宋体"/>
          <w:sz w:val="24"/>
          <w:highlight w:val="none"/>
          <w:lang w:eastAsia="zh-CN"/>
        </w:rPr>
        <w:t>招标文件</w:t>
      </w:r>
      <w:r>
        <w:rPr>
          <w:rFonts w:hint="eastAsia" w:ascii="宋体" w:hAnsi="宋体" w:cs="宋体"/>
          <w:sz w:val="24"/>
          <w:highlight w:val="none"/>
        </w:rPr>
        <w:t>中明确</w:t>
      </w:r>
      <w:r>
        <w:rPr>
          <w:rFonts w:hint="eastAsia" w:ascii="宋体" w:hAnsi="宋体" w:cs="宋体"/>
          <w:spacing w:val="2"/>
          <w:sz w:val="24"/>
          <w:highlight w:val="none"/>
        </w:rPr>
        <w:t>的</w:t>
      </w:r>
      <w:r>
        <w:rPr>
          <w:rFonts w:hint="eastAsia" w:ascii="宋体" w:hAnsi="宋体" w:cs="宋体"/>
          <w:sz w:val="24"/>
          <w:highlight w:val="none"/>
        </w:rPr>
        <w:t>所属行</w:t>
      </w:r>
      <w:r>
        <w:rPr>
          <w:rFonts w:hint="eastAsia" w:ascii="宋体" w:hAnsi="宋体" w:cs="宋体"/>
          <w:spacing w:val="-3"/>
          <w:sz w:val="24"/>
          <w:highlight w:val="none"/>
        </w:rPr>
        <w:t>业</w:t>
      </w:r>
      <w:r>
        <w:rPr>
          <w:rFonts w:hint="eastAsia" w:ascii="宋体" w:hAnsi="宋体" w:cs="宋体"/>
          <w:sz w:val="24"/>
          <w:highlight w:val="none"/>
        </w:rPr>
        <w:t>）</w:t>
      </w:r>
      <w:r>
        <w:rPr>
          <w:rFonts w:hint="eastAsia" w:ascii="宋体" w:hAnsi="宋体" w:cs="宋体"/>
          <w:spacing w:val="-17"/>
          <w:sz w:val="24"/>
          <w:highlight w:val="none"/>
        </w:rPr>
        <w:t xml:space="preserve"> </w:t>
      </w:r>
      <w:r>
        <w:rPr>
          <w:rFonts w:hint="eastAsia" w:ascii="宋体" w:hAnsi="宋体" w:cs="宋体"/>
          <w:sz w:val="24"/>
          <w:highlight w:val="none"/>
        </w:rPr>
        <w:t>行业</w:t>
      </w:r>
      <w:r>
        <w:rPr>
          <w:rFonts w:hint="eastAsia" w:ascii="宋体" w:hAnsi="宋体" w:cs="宋体"/>
          <w:spacing w:val="-20"/>
          <w:sz w:val="24"/>
          <w:highlight w:val="none"/>
        </w:rPr>
        <w:t>；</w:t>
      </w:r>
      <w:r>
        <w:rPr>
          <w:rFonts w:hint="eastAsia" w:ascii="宋体" w:hAnsi="宋体" w:cs="宋体"/>
          <w:sz w:val="24"/>
          <w:highlight w:val="none"/>
        </w:rPr>
        <w:t>制造商</w:t>
      </w:r>
      <w:r>
        <w:rPr>
          <w:rFonts w:hint="eastAsia" w:ascii="宋体" w:hAnsi="宋体" w:cs="宋体"/>
          <w:spacing w:val="-17"/>
          <w:sz w:val="24"/>
          <w:highlight w:val="none"/>
        </w:rPr>
        <w:t>为</w:t>
      </w:r>
      <w:r>
        <w:rPr>
          <w:rFonts w:hint="eastAsia" w:ascii="宋体" w:hAnsi="宋体" w:cs="宋体"/>
          <w:sz w:val="24"/>
          <w:highlight w:val="none"/>
        </w:rPr>
        <w:t>（企业名称</w:t>
      </w:r>
      <w:r>
        <w:rPr>
          <w:rFonts w:hint="eastAsia" w:ascii="宋体" w:hAnsi="宋体" w:cs="宋体"/>
          <w:spacing w:val="-125"/>
          <w:sz w:val="24"/>
          <w:highlight w:val="none"/>
        </w:rPr>
        <w:t>）</w:t>
      </w:r>
      <w:r>
        <w:rPr>
          <w:rFonts w:hint="eastAsia" w:ascii="宋体" w:hAnsi="宋体" w:cs="宋体"/>
          <w:spacing w:val="-7"/>
          <w:sz w:val="24"/>
          <w:highlight w:val="none"/>
        </w:rPr>
        <w:t>，</w:t>
      </w:r>
      <w:r>
        <w:rPr>
          <w:rFonts w:hint="eastAsia" w:ascii="宋体" w:hAnsi="宋体" w:cs="宋体"/>
          <w:sz w:val="24"/>
          <w:highlight w:val="none"/>
        </w:rPr>
        <w:t>从业人员</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rPr>
        <w:t>人，营业收入为</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rPr>
        <w:t>万元，资产总额为</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rPr>
        <w:t>万元，属于（中型企业、小型企业、微型企业）；</w:t>
      </w:r>
    </w:p>
    <w:p w14:paraId="55746D68">
      <w:pPr>
        <w:pStyle w:val="30"/>
        <w:tabs>
          <w:tab w:val="left" w:pos="1979"/>
          <w:tab w:val="left" w:pos="4264"/>
          <w:tab w:val="left" w:pos="6789"/>
        </w:tabs>
        <w:spacing w:before="2" w:line="360" w:lineRule="auto"/>
        <w:ind w:left="417" w:right="342" w:firstLine="504"/>
        <w:rPr>
          <w:rFonts w:hint="eastAsia" w:ascii="宋体" w:hAnsi="宋体" w:cs="宋体"/>
          <w:sz w:val="24"/>
          <w:highlight w:val="none"/>
        </w:rPr>
      </w:pPr>
      <w:r>
        <w:rPr>
          <w:rFonts w:hint="eastAsia" w:ascii="宋体" w:hAnsi="宋体" w:cs="宋体"/>
          <w:sz w:val="24"/>
          <w:highlight w:val="none"/>
        </w:rPr>
        <w:t>2</w:t>
      </w:r>
      <w:r>
        <w:rPr>
          <w:rFonts w:hint="eastAsia" w:ascii="宋体" w:hAnsi="宋体" w:cs="宋体"/>
          <w:spacing w:val="-36"/>
          <w:sz w:val="24"/>
          <w:highlight w:val="none"/>
        </w:rPr>
        <w:t>、</w:t>
      </w:r>
      <w:r>
        <w:rPr>
          <w:rFonts w:hint="eastAsia" w:ascii="宋体" w:hAnsi="宋体" w:cs="宋体"/>
          <w:sz w:val="24"/>
          <w:highlight w:val="none"/>
        </w:rPr>
        <w:t>（标的名称</w:t>
      </w:r>
      <w:r>
        <w:rPr>
          <w:rFonts w:hint="eastAsia" w:ascii="宋体" w:hAnsi="宋体" w:cs="宋体"/>
          <w:spacing w:val="-17"/>
          <w:sz w:val="24"/>
          <w:highlight w:val="none"/>
        </w:rPr>
        <w:t>）</w:t>
      </w:r>
      <w:r>
        <w:rPr>
          <w:rFonts w:hint="eastAsia" w:ascii="宋体" w:hAnsi="宋体" w:cs="宋体"/>
          <w:sz w:val="24"/>
          <w:highlight w:val="none"/>
        </w:rPr>
        <w:t>属</w:t>
      </w:r>
      <w:r>
        <w:rPr>
          <w:rFonts w:hint="eastAsia" w:ascii="宋体" w:hAnsi="宋体" w:cs="宋体"/>
          <w:spacing w:val="-17"/>
          <w:sz w:val="24"/>
          <w:highlight w:val="none"/>
        </w:rPr>
        <w:t>于</w:t>
      </w:r>
      <w:r>
        <w:rPr>
          <w:rFonts w:hint="eastAsia" w:ascii="宋体" w:hAnsi="宋体" w:cs="宋体"/>
          <w:sz w:val="24"/>
          <w:highlight w:val="none"/>
        </w:rPr>
        <w:t>（</w:t>
      </w:r>
      <w:r>
        <w:rPr>
          <w:rFonts w:hint="eastAsia" w:ascii="宋体" w:hAnsi="宋体" w:cs="宋体"/>
          <w:sz w:val="24"/>
          <w:highlight w:val="none"/>
          <w:lang w:eastAsia="zh-CN"/>
        </w:rPr>
        <w:t>招标文件</w:t>
      </w:r>
      <w:r>
        <w:rPr>
          <w:rFonts w:hint="eastAsia" w:ascii="宋体" w:hAnsi="宋体" w:cs="宋体"/>
          <w:sz w:val="24"/>
          <w:highlight w:val="none"/>
        </w:rPr>
        <w:t>中明确</w:t>
      </w:r>
      <w:r>
        <w:rPr>
          <w:rFonts w:hint="eastAsia" w:ascii="宋体" w:hAnsi="宋体" w:cs="宋体"/>
          <w:spacing w:val="2"/>
          <w:sz w:val="24"/>
          <w:highlight w:val="none"/>
        </w:rPr>
        <w:t>的</w:t>
      </w:r>
      <w:r>
        <w:rPr>
          <w:rFonts w:hint="eastAsia" w:ascii="宋体" w:hAnsi="宋体" w:cs="宋体"/>
          <w:sz w:val="24"/>
          <w:highlight w:val="none"/>
        </w:rPr>
        <w:t>所属行</w:t>
      </w:r>
      <w:r>
        <w:rPr>
          <w:rFonts w:hint="eastAsia" w:ascii="宋体" w:hAnsi="宋体" w:cs="宋体"/>
          <w:spacing w:val="-3"/>
          <w:sz w:val="24"/>
          <w:highlight w:val="none"/>
        </w:rPr>
        <w:t>业</w:t>
      </w:r>
      <w:r>
        <w:rPr>
          <w:rFonts w:hint="eastAsia" w:ascii="宋体" w:hAnsi="宋体" w:cs="宋体"/>
          <w:sz w:val="24"/>
          <w:highlight w:val="none"/>
        </w:rPr>
        <w:t>）</w:t>
      </w:r>
      <w:r>
        <w:rPr>
          <w:rFonts w:hint="eastAsia" w:ascii="宋体" w:hAnsi="宋体" w:cs="宋体"/>
          <w:spacing w:val="-17"/>
          <w:sz w:val="24"/>
          <w:highlight w:val="none"/>
        </w:rPr>
        <w:t xml:space="preserve"> </w:t>
      </w:r>
      <w:r>
        <w:rPr>
          <w:rFonts w:hint="eastAsia" w:ascii="宋体" w:hAnsi="宋体" w:cs="宋体"/>
          <w:sz w:val="24"/>
          <w:highlight w:val="none"/>
        </w:rPr>
        <w:t>行业</w:t>
      </w:r>
      <w:r>
        <w:rPr>
          <w:rFonts w:hint="eastAsia" w:ascii="宋体" w:hAnsi="宋体" w:cs="宋体"/>
          <w:spacing w:val="-20"/>
          <w:sz w:val="24"/>
          <w:highlight w:val="none"/>
        </w:rPr>
        <w:t>；</w:t>
      </w:r>
      <w:r>
        <w:rPr>
          <w:rFonts w:hint="eastAsia" w:ascii="宋体" w:hAnsi="宋体" w:cs="宋体"/>
          <w:sz w:val="24"/>
          <w:highlight w:val="none"/>
        </w:rPr>
        <w:t>制造商</w:t>
      </w:r>
      <w:r>
        <w:rPr>
          <w:rFonts w:hint="eastAsia" w:ascii="宋体" w:hAnsi="宋体" w:cs="宋体"/>
          <w:spacing w:val="-17"/>
          <w:sz w:val="24"/>
          <w:highlight w:val="none"/>
        </w:rPr>
        <w:t>为</w:t>
      </w:r>
      <w:r>
        <w:rPr>
          <w:rFonts w:hint="eastAsia" w:ascii="宋体" w:hAnsi="宋体" w:cs="宋体"/>
          <w:sz w:val="24"/>
          <w:highlight w:val="none"/>
        </w:rPr>
        <w:t>（企业名称</w:t>
      </w:r>
      <w:r>
        <w:rPr>
          <w:rFonts w:hint="eastAsia" w:ascii="宋体" w:hAnsi="宋体" w:cs="宋体"/>
          <w:spacing w:val="-125"/>
          <w:sz w:val="24"/>
          <w:highlight w:val="none"/>
        </w:rPr>
        <w:t>）</w:t>
      </w:r>
      <w:r>
        <w:rPr>
          <w:rFonts w:hint="eastAsia" w:ascii="宋体" w:hAnsi="宋体" w:cs="宋体"/>
          <w:spacing w:val="-7"/>
          <w:sz w:val="24"/>
          <w:highlight w:val="none"/>
        </w:rPr>
        <w:t>，</w:t>
      </w:r>
      <w:r>
        <w:rPr>
          <w:rFonts w:hint="eastAsia" w:ascii="宋体" w:hAnsi="宋体" w:cs="宋体"/>
          <w:sz w:val="24"/>
          <w:highlight w:val="none"/>
        </w:rPr>
        <w:t>从业人员</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rPr>
        <w:t>人，营业收入为</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rPr>
        <w:t>万元，资产总额为</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rPr>
        <w:t>万元，属于（中型企业、小型企业、微型企业）；</w:t>
      </w:r>
    </w:p>
    <w:p w14:paraId="5385EB39">
      <w:pPr>
        <w:pStyle w:val="30"/>
        <w:spacing w:before="2" w:line="360" w:lineRule="auto"/>
        <w:ind w:left="417" w:right="469" w:firstLine="504"/>
        <w:rPr>
          <w:rFonts w:hint="eastAsia" w:ascii="宋体" w:hAnsi="宋体" w:cs="宋体"/>
          <w:sz w:val="24"/>
          <w:highlight w:val="none"/>
        </w:rPr>
      </w:pPr>
      <w:r>
        <w:rPr>
          <w:rFonts w:hint="eastAsia" w:ascii="宋体" w:hAnsi="宋体" w:cs="宋体"/>
          <w:sz w:val="24"/>
          <w:highlight w:val="none"/>
        </w:rPr>
        <w:t>以上企业，不属于大企业的分支机构，不存在控股股东为大企业的情形，也不存在与大企业的负责人为同一人的情形。</w:t>
      </w:r>
    </w:p>
    <w:p w14:paraId="21E06E81">
      <w:pPr>
        <w:pStyle w:val="30"/>
        <w:spacing w:before="1" w:line="360" w:lineRule="auto"/>
        <w:ind w:left="921"/>
        <w:rPr>
          <w:rFonts w:hint="eastAsia" w:ascii="宋体" w:hAnsi="宋体" w:cs="宋体"/>
          <w:sz w:val="24"/>
          <w:highlight w:val="none"/>
        </w:rPr>
      </w:pPr>
      <w:r>
        <w:rPr>
          <w:rFonts w:hint="eastAsia" w:ascii="宋体" w:hAnsi="宋体" w:cs="宋体"/>
          <w:sz w:val="24"/>
          <w:highlight w:val="none"/>
        </w:rPr>
        <w:t>本企业对上述声明内容的真实性负责。如有虚假，将依法承担相应责任。</w:t>
      </w:r>
    </w:p>
    <w:p w14:paraId="14F43450">
      <w:pPr>
        <w:pStyle w:val="30"/>
        <w:spacing w:line="360" w:lineRule="auto"/>
        <w:ind w:left="5304"/>
        <w:rPr>
          <w:rFonts w:hint="eastAsia" w:ascii="宋体" w:hAnsi="宋体" w:cs="宋体"/>
          <w:sz w:val="24"/>
          <w:highlight w:val="none"/>
        </w:rPr>
      </w:pPr>
      <w:r>
        <w:rPr>
          <w:rFonts w:hint="eastAsia" w:ascii="宋体" w:hAnsi="宋体" w:cs="宋体"/>
          <w:sz w:val="24"/>
          <w:highlight w:val="none"/>
        </w:rPr>
        <w:t>企业名称（公章）：</w:t>
      </w:r>
    </w:p>
    <w:p w14:paraId="2CA8037C">
      <w:pPr>
        <w:pStyle w:val="30"/>
        <w:tabs>
          <w:tab w:val="left" w:pos="6297"/>
          <w:tab w:val="left" w:pos="6777"/>
          <w:tab w:val="left" w:pos="7257"/>
        </w:tabs>
        <w:spacing w:line="360" w:lineRule="auto"/>
        <w:ind w:firstLine="5280" w:firstLineChars="2200"/>
        <w:rPr>
          <w:rFonts w:hint="eastAsia" w:ascii="宋体" w:hAnsi="宋体" w:cs="宋体"/>
          <w:sz w:val="24"/>
          <w:highlight w:val="none"/>
        </w:rPr>
      </w:pPr>
      <w:r>
        <w:rPr>
          <w:rFonts w:hint="eastAsia" w:ascii="宋体" w:hAnsi="宋体" w:cs="宋体"/>
          <w:sz w:val="24"/>
          <w:highlight w:val="none"/>
        </w:rPr>
        <w:t>日  期：</w:t>
      </w:r>
      <w:r>
        <w:rPr>
          <w:rFonts w:hint="eastAsia" w:ascii="宋体" w:hAnsi="宋体" w:cs="宋体"/>
          <w:sz w:val="24"/>
          <w:highlight w:val="none"/>
        </w:rPr>
        <w:tab/>
      </w:r>
      <w:r>
        <w:rPr>
          <w:rFonts w:hint="eastAsia" w:ascii="宋体" w:hAnsi="宋体" w:cs="宋体"/>
          <w:sz w:val="24"/>
          <w:highlight w:val="none"/>
        </w:rPr>
        <w:t>年</w:t>
      </w:r>
      <w:r>
        <w:rPr>
          <w:rFonts w:hint="eastAsia" w:ascii="宋体" w:hAnsi="宋体" w:cs="宋体"/>
          <w:sz w:val="24"/>
          <w:highlight w:val="none"/>
        </w:rPr>
        <w:tab/>
      </w:r>
      <w:r>
        <w:rPr>
          <w:rFonts w:hint="eastAsia" w:ascii="宋体" w:hAnsi="宋体" w:cs="宋体"/>
          <w:sz w:val="24"/>
          <w:highlight w:val="none"/>
        </w:rPr>
        <w:t>月</w:t>
      </w:r>
      <w:r>
        <w:rPr>
          <w:rFonts w:hint="eastAsia" w:ascii="宋体" w:hAnsi="宋体" w:cs="宋体"/>
          <w:sz w:val="24"/>
          <w:highlight w:val="none"/>
        </w:rPr>
        <w:tab/>
      </w:r>
      <w:r>
        <w:rPr>
          <w:rFonts w:hint="eastAsia" w:ascii="宋体" w:hAnsi="宋体" w:cs="宋体"/>
          <w:sz w:val="24"/>
          <w:highlight w:val="none"/>
        </w:rPr>
        <w:t>日</w:t>
      </w:r>
    </w:p>
    <w:p w14:paraId="39ADA639">
      <w:pPr>
        <w:rPr>
          <w:rFonts w:hint="eastAsia" w:ascii="宋体" w:hAnsi="宋体" w:eastAsia="宋体" w:cs="宋体"/>
          <w:b/>
          <w:color w:val="000000" w:themeColor="text1"/>
          <w:sz w:val="30"/>
          <w:szCs w:val="30"/>
          <w:highlight w:val="none"/>
          <w14:textFill>
            <w14:solidFill>
              <w14:schemeClr w14:val="tx1"/>
            </w14:solidFill>
          </w14:textFill>
        </w:rPr>
      </w:pPr>
      <w:r>
        <w:rPr>
          <w:b/>
          <w:sz w:val="30"/>
          <w:highlight w:val="none"/>
        </w:rPr>
        <w:br w:type="page"/>
      </w:r>
    </w:p>
    <w:p w14:paraId="7186D62D">
      <w:pPr>
        <w:pStyle w:val="75"/>
        <w:rPr>
          <w:rFonts w:hint="eastAsia"/>
          <w:highlight w:val="none"/>
        </w:rPr>
      </w:pPr>
    </w:p>
    <w:p w14:paraId="055A5BA9">
      <w:pPr>
        <w:jc w:val="center"/>
        <w:outlineLvl w:val="9"/>
        <w:rPr>
          <w:rFonts w:hint="eastAsia" w:ascii="宋体" w:hAnsi="宋体" w:eastAsia="宋体" w:cs="宋体"/>
          <w:color w:val="000000" w:themeColor="text1"/>
          <w:sz w:val="24"/>
          <w:highlight w:val="none"/>
          <w14:textFill>
            <w14:solidFill>
              <w14:schemeClr w14:val="tx1"/>
            </w14:solidFill>
          </w14:textFill>
        </w:rPr>
      </w:pPr>
      <w:bookmarkStart w:id="68" w:name="_Toc15437"/>
      <w:r>
        <w:rPr>
          <w:rFonts w:hint="eastAsia" w:ascii="宋体" w:hAnsi="宋体" w:eastAsia="宋体" w:cs="宋体"/>
          <w:b/>
          <w:color w:val="000000" w:themeColor="text1"/>
          <w:sz w:val="30"/>
          <w:szCs w:val="30"/>
          <w:highlight w:val="none"/>
          <w14:textFill>
            <w14:solidFill>
              <w14:schemeClr w14:val="tx1"/>
            </w14:solidFill>
          </w14:textFill>
        </w:rPr>
        <w:t>5.残疾人福利性单位声明函</w:t>
      </w:r>
      <w:bookmarkEnd w:id="68"/>
    </w:p>
    <w:p w14:paraId="30E34048">
      <w:pPr>
        <w:spacing w:line="588" w:lineRule="exact"/>
        <w:outlineLvl w:val="9"/>
        <w:rPr>
          <w:rFonts w:hint="eastAsia" w:ascii="宋体" w:hAnsi="宋体" w:eastAsia="宋体" w:cs="宋体"/>
          <w:b/>
          <w:color w:val="000000" w:themeColor="text1"/>
          <w:spacing w:val="6"/>
          <w:sz w:val="30"/>
          <w:szCs w:val="30"/>
          <w:highlight w:val="none"/>
          <w14:textFill>
            <w14:solidFill>
              <w14:schemeClr w14:val="tx1"/>
            </w14:solidFill>
          </w14:textFill>
        </w:rPr>
      </w:pPr>
    </w:p>
    <w:p w14:paraId="477E5494">
      <w:pPr>
        <w:spacing w:line="600" w:lineRule="exact"/>
        <w:ind w:firstLine="504" w:firstLineChars="200"/>
        <w:outlineLvl w:val="9"/>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eastAsia="宋体" w:cs="宋体"/>
          <w:color w:val="000000" w:themeColor="text1"/>
          <w:sz w:val="24"/>
          <w:highlight w:val="none"/>
          <w14:textFill>
            <w14:solidFill>
              <w14:schemeClr w14:val="tx1"/>
            </w14:solidFill>
          </w14:textFill>
        </w:rPr>
        <w:t>〔2017〕 141</w:t>
      </w:r>
      <w:r>
        <w:rPr>
          <w:rFonts w:hint="eastAsia" w:ascii="宋体" w:hAnsi="宋体" w:eastAsia="宋体" w:cs="宋体"/>
          <w:color w:val="000000" w:themeColor="text1"/>
          <w:spacing w:val="6"/>
          <w:sz w:val="24"/>
          <w:highlight w:val="none"/>
          <w14:textFill>
            <w14:solidFill>
              <w14:schemeClr w14:val="tx1"/>
            </w14:solidFill>
          </w14:textFill>
        </w:rPr>
        <w:t>号）的规定，本单位为符合条件的残疾人福利性单位，且本单位参加</w:t>
      </w:r>
      <w:r>
        <w:rPr>
          <w:rFonts w:hint="eastAsia" w:ascii="宋体" w:hAnsi="宋体" w:eastAsia="宋体" w:cs="宋体"/>
          <w:color w:val="000000" w:themeColor="text1"/>
          <w:spacing w:val="6"/>
          <w:sz w:val="24"/>
          <w:highlight w:val="none"/>
          <w:u w:val="single"/>
          <w14:textFill>
            <w14:solidFill>
              <w14:schemeClr w14:val="tx1"/>
            </w14:solidFill>
          </w14:textFill>
        </w:rPr>
        <w:t xml:space="preserve">       </w:t>
      </w:r>
      <w:r>
        <w:rPr>
          <w:rFonts w:hint="eastAsia" w:ascii="宋体" w:hAnsi="宋体" w:eastAsia="宋体" w:cs="宋体"/>
          <w:color w:val="000000" w:themeColor="text1"/>
          <w:spacing w:val="6"/>
          <w:sz w:val="24"/>
          <w:highlight w:val="none"/>
          <w14:textFill>
            <w14:solidFill>
              <w14:schemeClr w14:val="tx1"/>
            </w14:solidFill>
          </w14:textFill>
        </w:rPr>
        <w:t>单位的</w:t>
      </w:r>
      <w:r>
        <w:rPr>
          <w:rFonts w:hint="eastAsia" w:ascii="宋体" w:hAnsi="宋体" w:eastAsia="宋体" w:cs="宋体"/>
          <w:color w:val="000000" w:themeColor="text1"/>
          <w:spacing w:val="6"/>
          <w:sz w:val="24"/>
          <w:highlight w:val="none"/>
          <w:u w:val="single"/>
          <w14:textFill>
            <w14:solidFill>
              <w14:schemeClr w14:val="tx1"/>
            </w14:solidFill>
          </w14:textFill>
        </w:rPr>
        <w:t xml:space="preserve">                   </w:t>
      </w:r>
      <w:r>
        <w:rPr>
          <w:rFonts w:hint="eastAsia" w:ascii="宋体" w:hAnsi="宋体" w:eastAsia="宋体" w:cs="宋体"/>
          <w:color w:val="000000" w:themeColor="text1"/>
          <w:spacing w:val="6"/>
          <w:sz w:val="24"/>
          <w:highlight w:val="none"/>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5A81077A">
      <w:pPr>
        <w:spacing w:line="600" w:lineRule="exact"/>
        <w:ind w:firstLine="504" w:firstLineChars="200"/>
        <w:outlineLvl w:val="9"/>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本单位对上述声明的真实性负责。如有虚假，将依法承担相应责任。</w:t>
      </w:r>
    </w:p>
    <w:p w14:paraId="6D1F8ADF">
      <w:pPr>
        <w:spacing w:line="500" w:lineRule="exact"/>
        <w:ind w:firstLine="480" w:firstLineChars="200"/>
        <w:outlineLvl w:val="9"/>
        <w:rPr>
          <w:rFonts w:hint="eastAsia" w:ascii="宋体" w:hAnsi="宋体" w:eastAsia="宋体" w:cs="宋体"/>
          <w:color w:val="000000" w:themeColor="text1"/>
          <w:sz w:val="24"/>
          <w:highlight w:val="none"/>
          <w:lang w:val="zh-CN"/>
          <w14:textFill>
            <w14:solidFill>
              <w14:schemeClr w14:val="tx1"/>
            </w14:solidFill>
          </w14:textFill>
        </w:rPr>
      </w:pPr>
    </w:p>
    <w:p w14:paraId="2AB0EFDE">
      <w:pPr>
        <w:tabs>
          <w:tab w:val="left" w:pos="4860"/>
        </w:tabs>
        <w:autoSpaceDE w:val="0"/>
        <w:autoSpaceDN w:val="0"/>
        <w:spacing w:line="588" w:lineRule="exact"/>
        <w:ind w:right="1560" w:firstLine="504"/>
        <w:jc w:val="center"/>
        <w:outlineLvl w:val="9"/>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                 </w:t>
      </w:r>
      <w:bookmarkStart w:id="69" w:name="_Toc8543"/>
      <w:bookmarkStart w:id="70" w:name="_Toc31971"/>
      <w:r>
        <w:rPr>
          <w:rFonts w:hint="eastAsia" w:ascii="宋体" w:hAnsi="宋体" w:eastAsia="宋体" w:cs="宋体"/>
          <w:color w:val="000000" w:themeColor="text1"/>
          <w:sz w:val="24"/>
          <w:highlight w:val="none"/>
          <w:lang w:val="zh-CN"/>
          <w14:textFill>
            <w14:solidFill>
              <w14:schemeClr w14:val="tx1"/>
            </w14:solidFill>
          </w14:textFill>
        </w:rPr>
        <w:t>企业名称（公章）：</w:t>
      </w:r>
      <w:bookmarkEnd w:id="69"/>
      <w:bookmarkEnd w:id="70"/>
      <w:r>
        <w:rPr>
          <w:rFonts w:hint="eastAsia" w:ascii="宋体" w:hAnsi="宋体" w:eastAsia="宋体" w:cs="宋体"/>
          <w:color w:val="000000" w:themeColor="text1"/>
          <w:sz w:val="24"/>
          <w:highlight w:val="none"/>
          <w:lang w:val="zh-CN"/>
          <w14:textFill>
            <w14:solidFill>
              <w14:schemeClr w14:val="tx1"/>
            </w14:solidFill>
          </w14:textFill>
        </w:rPr>
        <w:t xml:space="preserve"> </w:t>
      </w:r>
    </w:p>
    <w:p w14:paraId="416A83C1">
      <w:pPr>
        <w:tabs>
          <w:tab w:val="left" w:pos="4860"/>
        </w:tabs>
        <w:spacing w:line="500" w:lineRule="exact"/>
        <w:ind w:right="1560" w:firstLine="480" w:firstLineChars="200"/>
        <w:jc w:val="center"/>
        <w:outlineLvl w:val="9"/>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bookmarkStart w:id="71" w:name="_Toc13193"/>
      <w:bookmarkStart w:id="72" w:name="_Toc2346"/>
      <w:r>
        <w:rPr>
          <w:rFonts w:hint="eastAsia" w:ascii="宋体" w:hAnsi="宋体" w:eastAsia="宋体" w:cs="宋体"/>
          <w:color w:val="000000" w:themeColor="text1"/>
          <w:sz w:val="24"/>
          <w:highlight w:val="none"/>
          <w:lang w:val="zh-CN"/>
          <w14:textFill>
            <w14:solidFill>
              <w14:schemeClr w14:val="tx1"/>
            </w14:solidFill>
          </w14:textFill>
        </w:rPr>
        <w:t xml:space="preserve">日期：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年</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月</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zh-CN"/>
          <w14:textFill>
            <w14:solidFill>
              <w14:schemeClr w14:val="tx1"/>
            </w14:solidFill>
          </w14:textFill>
        </w:rPr>
        <w:t>日</w:t>
      </w:r>
      <w:bookmarkEnd w:id="71"/>
      <w:bookmarkEnd w:id="72"/>
    </w:p>
    <w:p w14:paraId="44A7DF71">
      <w:pPr>
        <w:pStyle w:val="93"/>
        <w:outlineLvl w:val="9"/>
        <w:rPr>
          <w:rFonts w:hint="eastAsia" w:ascii="宋体" w:hAnsi="宋体" w:eastAsia="宋体" w:cs="宋体"/>
          <w:color w:val="000000" w:themeColor="text1"/>
          <w:highlight w:val="none"/>
          <w14:textFill>
            <w14:solidFill>
              <w14:schemeClr w14:val="tx1"/>
            </w14:solidFill>
          </w14:textFill>
        </w:rPr>
      </w:pPr>
    </w:p>
    <w:p w14:paraId="2B591259">
      <w:pPr>
        <w:pStyle w:val="93"/>
        <w:outlineLvl w:val="9"/>
        <w:rPr>
          <w:rFonts w:hint="eastAsia" w:ascii="宋体" w:hAnsi="宋体" w:eastAsia="宋体" w:cs="宋体"/>
          <w:color w:val="000000" w:themeColor="text1"/>
          <w:highlight w:val="none"/>
          <w14:textFill>
            <w14:solidFill>
              <w14:schemeClr w14:val="tx1"/>
            </w14:solidFill>
          </w14:textFill>
        </w:rPr>
      </w:pPr>
    </w:p>
    <w:p w14:paraId="4AEA9B6D">
      <w:pPr>
        <w:pStyle w:val="93"/>
        <w:outlineLvl w:val="9"/>
        <w:rPr>
          <w:rFonts w:hint="eastAsia" w:ascii="宋体" w:hAnsi="宋体" w:eastAsia="宋体" w:cs="宋体"/>
          <w:color w:val="000000" w:themeColor="text1"/>
          <w:highlight w:val="none"/>
          <w14:textFill>
            <w14:solidFill>
              <w14:schemeClr w14:val="tx1"/>
            </w14:solidFill>
          </w14:textFill>
        </w:rPr>
      </w:pPr>
    </w:p>
    <w:p w14:paraId="1A45C784">
      <w:pPr>
        <w:pStyle w:val="93"/>
        <w:outlineLvl w:val="9"/>
        <w:rPr>
          <w:rFonts w:hint="eastAsia" w:ascii="宋体" w:hAnsi="宋体" w:eastAsia="宋体" w:cs="宋体"/>
          <w:color w:val="000000" w:themeColor="text1"/>
          <w:highlight w:val="none"/>
          <w14:textFill>
            <w14:solidFill>
              <w14:schemeClr w14:val="tx1"/>
            </w14:solidFill>
          </w14:textFill>
        </w:rPr>
      </w:pPr>
    </w:p>
    <w:p w14:paraId="40151731">
      <w:pPr>
        <w:pStyle w:val="93"/>
        <w:outlineLvl w:val="9"/>
        <w:rPr>
          <w:rFonts w:hint="eastAsia" w:ascii="宋体" w:hAnsi="宋体" w:eastAsia="宋体" w:cs="宋体"/>
          <w:color w:val="000000" w:themeColor="text1"/>
          <w:highlight w:val="none"/>
          <w14:textFill>
            <w14:solidFill>
              <w14:schemeClr w14:val="tx1"/>
            </w14:solidFill>
          </w14:textFill>
        </w:rPr>
      </w:pPr>
    </w:p>
    <w:p w14:paraId="343C64F6">
      <w:pPr>
        <w:pStyle w:val="93"/>
        <w:outlineLvl w:val="9"/>
        <w:rPr>
          <w:rFonts w:hint="eastAsia" w:ascii="宋体" w:hAnsi="宋体" w:eastAsia="宋体" w:cs="宋体"/>
          <w:color w:val="000000" w:themeColor="text1"/>
          <w:highlight w:val="none"/>
          <w14:textFill>
            <w14:solidFill>
              <w14:schemeClr w14:val="tx1"/>
            </w14:solidFill>
          </w14:textFill>
        </w:rPr>
      </w:pPr>
    </w:p>
    <w:p w14:paraId="6E3A1DBE">
      <w:pPr>
        <w:pStyle w:val="93"/>
        <w:outlineLvl w:val="9"/>
        <w:rPr>
          <w:rFonts w:hint="eastAsia" w:ascii="宋体" w:hAnsi="宋体" w:eastAsia="宋体" w:cs="宋体"/>
          <w:color w:val="000000" w:themeColor="text1"/>
          <w:highlight w:val="none"/>
          <w14:textFill>
            <w14:solidFill>
              <w14:schemeClr w14:val="tx1"/>
            </w14:solidFill>
          </w14:textFill>
        </w:rPr>
      </w:pPr>
    </w:p>
    <w:p w14:paraId="7C5A8AE5">
      <w:pPr>
        <w:pStyle w:val="93"/>
        <w:outlineLvl w:val="9"/>
        <w:rPr>
          <w:rFonts w:hint="eastAsia" w:ascii="宋体" w:hAnsi="宋体" w:eastAsia="宋体" w:cs="宋体"/>
          <w:color w:val="000000" w:themeColor="text1"/>
          <w:highlight w:val="none"/>
          <w14:textFill>
            <w14:solidFill>
              <w14:schemeClr w14:val="tx1"/>
            </w14:solidFill>
          </w14:textFill>
        </w:rPr>
      </w:pPr>
    </w:p>
    <w:p w14:paraId="2A982795">
      <w:pPr>
        <w:pStyle w:val="93"/>
        <w:outlineLvl w:val="9"/>
        <w:rPr>
          <w:rFonts w:hint="eastAsia" w:ascii="宋体" w:hAnsi="宋体" w:eastAsia="宋体" w:cs="宋体"/>
          <w:color w:val="000000" w:themeColor="text1"/>
          <w:highlight w:val="none"/>
          <w14:textFill>
            <w14:solidFill>
              <w14:schemeClr w14:val="tx1"/>
            </w14:solidFill>
          </w14:textFill>
        </w:rPr>
      </w:pPr>
    </w:p>
    <w:p w14:paraId="2C335F6A">
      <w:pPr>
        <w:pStyle w:val="93"/>
        <w:outlineLvl w:val="9"/>
        <w:rPr>
          <w:rFonts w:hint="eastAsia" w:ascii="宋体" w:hAnsi="宋体" w:eastAsia="宋体" w:cs="宋体"/>
          <w:color w:val="000000" w:themeColor="text1"/>
          <w:highlight w:val="none"/>
          <w14:textFill>
            <w14:solidFill>
              <w14:schemeClr w14:val="tx1"/>
            </w14:solidFill>
          </w14:textFill>
        </w:rPr>
      </w:pPr>
    </w:p>
    <w:p w14:paraId="473B593F">
      <w:pPr>
        <w:pStyle w:val="93"/>
        <w:outlineLvl w:val="9"/>
        <w:rPr>
          <w:rFonts w:hint="eastAsia" w:ascii="宋体" w:hAnsi="宋体" w:eastAsia="宋体" w:cs="宋体"/>
          <w:color w:val="000000" w:themeColor="text1"/>
          <w:highlight w:val="none"/>
          <w14:textFill>
            <w14:solidFill>
              <w14:schemeClr w14:val="tx1"/>
            </w14:solidFill>
          </w14:textFill>
        </w:rPr>
      </w:pPr>
    </w:p>
    <w:p w14:paraId="4D5ADC73">
      <w:pPr>
        <w:pStyle w:val="93"/>
        <w:outlineLvl w:val="9"/>
        <w:rPr>
          <w:rFonts w:hint="eastAsia" w:ascii="宋体" w:hAnsi="宋体" w:eastAsia="宋体" w:cs="宋体"/>
          <w:color w:val="000000" w:themeColor="text1"/>
          <w:highlight w:val="none"/>
          <w14:textFill>
            <w14:solidFill>
              <w14:schemeClr w14:val="tx1"/>
            </w14:solidFill>
          </w14:textFill>
        </w:rPr>
      </w:pPr>
    </w:p>
    <w:p w14:paraId="1CFF45B0">
      <w:pPr>
        <w:pStyle w:val="93"/>
        <w:outlineLvl w:val="9"/>
        <w:rPr>
          <w:rFonts w:hint="eastAsia" w:ascii="宋体" w:hAnsi="宋体" w:eastAsia="宋体" w:cs="宋体"/>
          <w:color w:val="000000" w:themeColor="text1"/>
          <w:highlight w:val="none"/>
          <w14:textFill>
            <w14:solidFill>
              <w14:schemeClr w14:val="tx1"/>
            </w14:solidFill>
          </w14:textFill>
        </w:rPr>
      </w:pPr>
    </w:p>
    <w:p w14:paraId="2B6C11CA">
      <w:pPr>
        <w:pStyle w:val="93"/>
        <w:outlineLvl w:val="9"/>
        <w:rPr>
          <w:rFonts w:hint="eastAsia" w:ascii="宋体" w:hAnsi="宋体" w:eastAsia="宋体" w:cs="宋体"/>
          <w:color w:val="000000" w:themeColor="text1"/>
          <w:highlight w:val="none"/>
          <w14:textFill>
            <w14:solidFill>
              <w14:schemeClr w14:val="tx1"/>
            </w14:solidFill>
          </w14:textFill>
        </w:rPr>
      </w:pPr>
    </w:p>
    <w:p w14:paraId="33B24C0E">
      <w:pPr>
        <w:pStyle w:val="93"/>
        <w:outlineLvl w:val="9"/>
        <w:rPr>
          <w:rFonts w:hint="eastAsia" w:ascii="宋体" w:hAnsi="宋体" w:eastAsia="宋体" w:cs="宋体"/>
          <w:color w:val="000000" w:themeColor="text1"/>
          <w:highlight w:val="none"/>
          <w14:textFill>
            <w14:solidFill>
              <w14:schemeClr w14:val="tx1"/>
            </w14:solidFill>
          </w14:textFill>
        </w:rPr>
      </w:pPr>
    </w:p>
    <w:p w14:paraId="388FF9CE">
      <w:pPr>
        <w:pStyle w:val="93"/>
        <w:outlineLvl w:val="9"/>
        <w:rPr>
          <w:rFonts w:hint="eastAsia" w:ascii="宋体" w:hAnsi="宋体" w:eastAsia="宋体" w:cs="宋体"/>
          <w:color w:val="000000" w:themeColor="text1"/>
          <w:highlight w:val="none"/>
          <w14:textFill>
            <w14:solidFill>
              <w14:schemeClr w14:val="tx1"/>
            </w14:solidFill>
          </w14:textFill>
        </w:rPr>
      </w:pPr>
    </w:p>
    <w:p w14:paraId="2AC41DA2">
      <w:pPr>
        <w:spacing w:line="500" w:lineRule="exact"/>
        <w:jc w:val="center"/>
        <w:outlineLvl w:val="9"/>
        <w:rPr>
          <w:rFonts w:hint="eastAsia" w:ascii="宋体" w:hAnsi="宋体" w:eastAsia="宋体" w:cs="宋体"/>
          <w:b/>
          <w:color w:val="000000" w:themeColor="text1"/>
          <w:sz w:val="32"/>
          <w:highlight w:val="none"/>
          <w14:textFill>
            <w14:solidFill>
              <w14:schemeClr w14:val="tx1"/>
            </w14:solidFill>
          </w14:textFill>
        </w:rPr>
      </w:pPr>
    </w:p>
    <w:p w14:paraId="218BAE1A">
      <w:pPr>
        <w:spacing w:line="500" w:lineRule="exact"/>
        <w:jc w:val="center"/>
        <w:outlineLvl w:val="9"/>
        <w:rPr>
          <w:rFonts w:hint="eastAsia" w:ascii="宋体" w:hAnsi="宋体" w:eastAsia="宋体" w:cs="宋体"/>
          <w:b/>
          <w:color w:val="000000" w:themeColor="text1"/>
          <w:sz w:val="30"/>
          <w:szCs w:val="30"/>
          <w:highlight w:val="none"/>
          <w14:textFill>
            <w14:solidFill>
              <w14:schemeClr w14:val="tx1"/>
            </w14:solidFill>
          </w14:textFill>
        </w:rPr>
      </w:pPr>
      <w:bookmarkStart w:id="73" w:name="_Toc7112"/>
      <w:bookmarkStart w:id="74" w:name="_Toc29367"/>
      <w:r>
        <w:rPr>
          <w:rFonts w:hint="eastAsia" w:ascii="宋体" w:hAnsi="宋体" w:eastAsia="宋体" w:cs="宋体"/>
          <w:b/>
          <w:color w:val="000000" w:themeColor="text1"/>
          <w:sz w:val="32"/>
          <w:highlight w:val="none"/>
          <w14:textFill>
            <w14:solidFill>
              <w14:schemeClr w14:val="tx1"/>
            </w14:solidFill>
          </w14:textFill>
        </w:rPr>
        <w:t>6.小型和微型企业、监狱企业</w:t>
      </w:r>
      <w:r>
        <w:rPr>
          <w:rFonts w:hint="eastAsia" w:ascii="宋体" w:hAnsi="宋体" w:eastAsia="宋体" w:cs="宋体"/>
          <w:b/>
          <w:color w:val="000000" w:themeColor="text1"/>
          <w:sz w:val="30"/>
          <w:szCs w:val="30"/>
          <w:highlight w:val="none"/>
          <w14:textFill>
            <w14:solidFill>
              <w14:schemeClr w14:val="tx1"/>
            </w14:solidFill>
          </w14:textFill>
        </w:rPr>
        <w:t>、残疾人福利性单位</w:t>
      </w:r>
      <w:bookmarkEnd w:id="73"/>
      <w:bookmarkEnd w:id="74"/>
    </w:p>
    <w:p w14:paraId="5885C474">
      <w:pPr>
        <w:spacing w:line="360" w:lineRule="auto"/>
        <w:jc w:val="center"/>
        <w:outlineLvl w:val="9"/>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报价说明表</w:t>
      </w:r>
    </w:p>
    <w:tbl>
      <w:tblPr>
        <w:tblStyle w:val="76"/>
        <w:tblW w:w="9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6"/>
        <w:gridCol w:w="1549"/>
        <w:gridCol w:w="1255"/>
        <w:gridCol w:w="1232"/>
        <w:gridCol w:w="706"/>
        <w:gridCol w:w="866"/>
        <w:gridCol w:w="1189"/>
        <w:gridCol w:w="1237"/>
        <w:gridCol w:w="1237"/>
      </w:tblGrid>
      <w:tr w14:paraId="0C32B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516" w:type="dxa"/>
            <w:vMerge w:val="restart"/>
            <w:tcBorders>
              <w:top w:val="single" w:color="auto" w:sz="4" w:space="0"/>
              <w:left w:val="single" w:color="auto" w:sz="4" w:space="0"/>
              <w:bottom w:val="single" w:color="auto" w:sz="4" w:space="0"/>
              <w:right w:val="single" w:color="auto" w:sz="4" w:space="0"/>
            </w:tcBorders>
            <w:noWrap w:val="0"/>
            <w:vAlign w:val="center"/>
          </w:tcPr>
          <w:p w14:paraId="3FD8F20D">
            <w:pPr>
              <w:spacing w:line="360" w:lineRule="auto"/>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序号</w:t>
            </w:r>
          </w:p>
        </w:tc>
        <w:tc>
          <w:tcPr>
            <w:tcW w:w="1549" w:type="dxa"/>
            <w:vMerge w:val="restart"/>
            <w:tcBorders>
              <w:top w:val="single" w:color="auto" w:sz="4" w:space="0"/>
              <w:left w:val="single" w:color="auto" w:sz="4" w:space="0"/>
              <w:bottom w:val="single" w:color="auto" w:sz="4" w:space="0"/>
              <w:right w:val="single" w:color="auto" w:sz="4" w:space="0"/>
            </w:tcBorders>
            <w:noWrap w:val="0"/>
            <w:vAlign w:val="center"/>
          </w:tcPr>
          <w:p w14:paraId="56B65AEB">
            <w:pPr>
              <w:spacing w:line="360" w:lineRule="auto"/>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货物及服务</w:t>
            </w:r>
          </w:p>
          <w:p w14:paraId="6DF524DA">
            <w:pPr>
              <w:spacing w:line="360" w:lineRule="auto"/>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名称</w:t>
            </w:r>
          </w:p>
        </w:tc>
        <w:tc>
          <w:tcPr>
            <w:tcW w:w="1255" w:type="dxa"/>
            <w:vMerge w:val="restart"/>
            <w:tcBorders>
              <w:top w:val="single" w:color="auto" w:sz="4" w:space="0"/>
              <w:left w:val="single" w:color="auto" w:sz="4" w:space="0"/>
              <w:bottom w:val="single" w:color="auto" w:sz="4" w:space="0"/>
              <w:right w:val="single" w:color="auto" w:sz="4" w:space="0"/>
            </w:tcBorders>
            <w:noWrap w:val="0"/>
            <w:vAlign w:val="center"/>
          </w:tcPr>
          <w:p w14:paraId="7691C30C">
            <w:pPr>
              <w:spacing w:line="360" w:lineRule="auto"/>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型号/规格</w:t>
            </w:r>
          </w:p>
        </w:tc>
        <w:tc>
          <w:tcPr>
            <w:tcW w:w="1232" w:type="dxa"/>
            <w:vMerge w:val="restart"/>
            <w:tcBorders>
              <w:top w:val="single" w:color="auto" w:sz="4" w:space="0"/>
              <w:left w:val="single" w:color="auto" w:sz="4" w:space="0"/>
              <w:bottom w:val="single" w:color="auto" w:sz="4" w:space="0"/>
              <w:right w:val="single" w:color="auto" w:sz="4" w:space="0"/>
            </w:tcBorders>
            <w:noWrap w:val="0"/>
            <w:vAlign w:val="center"/>
          </w:tcPr>
          <w:p w14:paraId="5CA7A267">
            <w:pPr>
              <w:spacing w:line="360" w:lineRule="auto"/>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制造厂</w:t>
            </w:r>
          </w:p>
          <w:p w14:paraId="3E033CA9">
            <w:pPr>
              <w:spacing w:line="360" w:lineRule="auto"/>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名称</w:t>
            </w:r>
          </w:p>
        </w:tc>
        <w:tc>
          <w:tcPr>
            <w:tcW w:w="706" w:type="dxa"/>
            <w:vMerge w:val="restart"/>
            <w:tcBorders>
              <w:top w:val="single" w:color="auto" w:sz="4" w:space="0"/>
              <w:left w:val="single" w:color="auto" w:sz="4" w:space="0"/>
              <w:bottom w:val="single" w:color="auto" w:sz="4" w:space="0"/>
              <w:right w:val="single" w:color="auto" w:sz="4" w:space="0"/>
            </w:tcBorders>
            <w:noWrap w:val="0"/>
            <w:vAlign w:val="center"/>
          </w:tcPr>
          <w:p w14:paraId="360359C9">
            <w:pPr>
              <w:spacing w:line="360" w:lineRule="auto"/>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数量</w:t>
            </w:r>
          </w:p>
        </w:tc>
        <w:tc>
          <w:tcPr>
            <w:tcW w:w="866" w:type="dxa"/>
            <w:vMerge w:val="restart"/>
            <w:tcBorders>
              <w:top w:val="single" w:color="auto" w:sz="4" w:space="0"/>
              <w:left w:val="single" w:color="auto" w:sz="4" w:space="0"/>
              <w:bottom w:val="single" w:color="auto" w:sz="4" w:space="0"/>
              <w:right w:val="single" w:color="auto" w:sz="4" w:space="0"/>
            </w:tcBorders>
            <w:noWrap w:val="0"/>
            <w:vAlign w:val="center"/>
          </w:tcPr>
          <w:p w14:paraId="7CD632F1">
            <w:pPr>
              <w:spacing w:line="360" w:lineRule="auto"/>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单价</w:t>
            </w:r>
          </w:p>
        </w:tc>
        <w:tc>
          <w:tcPr>
            <w:tcW w:w="1189" w:type="dxa"/>
            <w:tcBorders>
              <w:top w:val="single" w:color="auto" w:sz="4" w:space="0"/>
              <w:left w:val="single" w:color="auto" w:sz="4" w:space="0"/>
              <w:bottom w:val="single" w:color="auto" w:sz="4" w:space="0"/>
              <w:right w:val="single" w:color="auto" w:sz="4" w:space="0"/>
            </w:tcBorders>
            <w:noWrap w:val="0"/>
            <w:vAlign w:val="center"/>
          </w:tcPr>
          <w:p w14:paraId="3B4B5C2B">
            <w:pPr>
              <w:spacing w:line="360" w:lineRule="auto"/>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监狱企业</w:t>
            </w:r>
          </w:p>
        </w:tc>
        <w:tc>
          <w:tcPr>
            <w:tcW w:w="1237" w:type="dxa"/>
            <w:tcBorders>
              <w:top w:val="single" w:color="auto" w:sz="4" w:space="0"/>
              <w:left w:val="single" w:color="auto" w:sz="4" w:space="0"/>
              <w:bottom w:val="single" w:color="auto" w:sz="4" w:space="0"/>
              <w:right w:val="single" w:color="auto" w:sz="4" w:space="0"/>
            </w:tcBorders>
            <w:noWrap w:val="0"/>
            <w:vAlign w:val="center"/>
          </w:tcPr>
          <w:p w14:paraId="0EF6636E">
            <w:pPr>
              <w:spacing w:line="360" w:lineRule="auto"/>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小型、微型企业</w:t>
            </w:r>
          </w:p>
        </w:tc>
        <w:tc>
          <w:tcPr>
            <w:tcW w:w="1237" w:type="dxa"/>
            <w:tcBorders>
              <w:top w:val="single" w:color="auto" w:sz="4" w:space="0"/>
              <w:left w:val="single" w:color="auto" w:sz="4" w:space="0"/>
              <w:bottom w:val="single" w:color="auto" w:sz="4" w:space="0"/>
              <w:right w:val="single" w:color="auto" w:sz="4" w:space="0"/>
            </w:tcBorders>
            <w:noWrap w:val="0"/>
            <w:vAlign w:val="center"/>
          </w:tcPr>
          <w:p w14:paraId="32FE1BED">
            <w:pPr>
              <w:spacing w:line="360" w:lineRule="auto"/>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残疾人福利性企业</w:t>
            </w:r>
          </w:p>
        </w:tc>
      </w:tr>
      <w:tr w14:paraId="46BBA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516" w:type="dxa"/>
            <w:vMerge w:val="continue"/>
            <w:tcBorders>
              <w:top w:val="single" w:color="auto" w:sz="4" w:space="0"/>
              <w:left w:val="single" w:color="auto" w:sz="4" w:space="0"/>
              <w:bottom w:val="single" w:color="auto" w:sz="4" w:space="0"/>
              <w:right w:val="single" w:color="auto" w:sz="4" w:space="0"/>
            </w:tcBorders>
            <w:noWrap w:val="0"/>
            <w:vAlign w:val="center"/>
          </w:tcPr>
          <w:p w14:paraId="4974DF2B">
            <w:pPr>
              <w:widowControl/>
              <w:spacing w:line="360" w:lineRule="auto"/>
              <w:jc w:val="left"/>
              <w:outlineLvl w:val="9"/>
              <w:rPr>
                <w:rFonts w:hint="eastAsia" w:ascii="宋体" w:hAnsi="宋体" w:eastAsia="宋体" w:cs="宋体"/>
                <w:color w:val="000000" w:themeColor="text1"/>
                <w:szCs w:val="21"/>
                <w:highlight w:val="none"/>
                <w14:textFill>
                  <w14:solidFill>
                    <w14:schemeClr w14:val="tx1"/>
                  </w14:solidFill>
                </w14:textFill>
              </w:rPr>
            </w:pPr>
          </w:p>
        </w:tc>
        <w:tc>
          <w:tcPr>
            <w:tcW w:w="1549" w:type="dxa"/>
            <w:vMerge w:val="continue"/>
            <w:tcBorders>
              <w:top w:val="single" w:color="auto" w:sz="4" w:space="0"/>
              <w:left w:val="single" w:color="auto" w:sz="4" w:space="0"/>
              <w:bottom w:val="single" w:color="auto" w:sz="4" w:space="0"/>
              <w:right w:val="single" w:color="auto" w:sz="4" w:space="0"/>
            </w:tcBorders>
            <w:noWrap w:val="0"/>
            <w:vAlign w:val="center"/>
          </w:tcPr>
          <w:p w14:paraId="7DAA63AF">
            <w:pPr>
              <w:widowControl/>
              <w:spacing w:line="360" w:lineRule="auto"/>
              <w:jc w:val="left"/>
              <w:outlineLvl w:val="9"/>
              <w:rPr>
                <w:rFonts w:hint="eastAsia" w:ascii="宋体" w:hAnsi="宋体" w:eastAsia="宋体" w:cs="宋体"/>
                <w:color w:val="000000" w:themeColor="text1"/>
                <w:szCs w:val="21"/>
                <w:highlight w:val="none"/>
                <w14:textFill>
                  <w14:solidFill>
                    <w14:schemeClr w14:val="tx1"/>
                  </w14:solidFill>
                </w14:textFill>
              </w:rPr>
            </w:pPr>
          </w:p>
        </w:tc>
        <w:tc>
          <w:tcPr>
            <w:tcW w:w="1255" w:type="dxa"/>
            <w:vMerge w:val="continue"/>
            <w:tcBorders>
              <w:top w:val="single" w:color="auto" w:sz="4" w:space="0"/>
              <w:left w:val="single" w:color="auto" w:sz="4" w:space="0"/>
              <w:bottom w:val="single" w:color="auto" w:sz="4" w:space="0"/>
              <w:right w:val="single" w:color="auto" w:sz="4" w:space="0"/>
            </w:tcBorders>
            <w:noWrap w:val="0"/>
            <w:vAlign w:val="center"/>
          </w:tcPr>
          <w:p w14:paraId="6E780C98">
            <w:pPr>
              <w:widowControl/>
              <w:spacing w:line="360" w:lineRule="auto"/>
              <w:jc w:val="left"/>
              <w:outlineLvl w:val="9"/>
              <w:rPr>
                <w:rFonts w:hint="eastAsia" w:ascii="宋体" w:hAnsi="宋体" w:eastAsia="宋体" w:cs="宋体"/>
                <w:color w:val="000000" w:themeColor="text1"/>
                <w:szCs w:val="21"/>
                <w:highlight w:val="none"/>
                <w14:textFill>
                  <w14:solidFill>
                    <w14:schemeClr w14:val="tx1"/>
                  </w14:solidFill>
                </w14:textFill>
              </w:rPr>
            </w:pPr>
          </w:p>
        </w:tc>
        <w:tc>
          <w:tcPr>
            <w:tcW w:w="1232" w:type="dxa"/>
            <w:vMerge w:val="continue"/>
            <w:tcBorders>
              <w:top w:val="single" w:color="auto" w:sz="4" w:space="0"/>
              <w:left w:val="single" w:color="auto" w:sz="4" w:space="0"/>
              <w:bottom w:val="single" w:color="auto" w:sz="4" w:space="0"/>
              <w:right w:val="single" w:color="auto" w:sz="4" w:space="0"/>
            </w:tcBorders>
            <w:noWrap w:val="0"/>
            <w:vAlign w:val="center"/>
          </w:tcPr>
          <w:p w14:paraId="4429F45A">
            <w:pPr>
              <w:widowControl/>
              <w:spacing w:line="360" w:lineRule="auto"/>
              <w:jc w:val="left"/>
              <w:outlineLvl w:val="9"/>
              <w:rPr>
                <w:rFonts w:hint="eastAsia" w:ascii="宋体" w:hAnsi="宋体" w:eastAsia="宋体" w:cs="宋体"/>
                <w:color w:val="000000" w:themeColor="text1"/>
                <w:szCs w:val="21"/>
                <w:highlight w:val="none"/>
                <w14:textFill>
                  <w14:solidFill>
                    <w14:schemeClr w14:val="tx1"/>
                  </w14:solidFill>
                </w14:textFill>
              </w:rPr>
            </w:pPr>
          </w:p>
        </w:tc>
        <w:tc>
          <w:tcPr>
            <w:tcW w:w="706" w:type="dxa"/>
            <w:vMerge w:val="continue"/>
            <w:tcBorders>
              <w:top w:val="single" w:color="auto" w:sz="4" w:space="0"/>
              <w:left w:val="single" w:color="auto" w:sz="4" w:space="0"/>
              <w:bottom w:val="single" w:color="auto" w:sz="4" w:space="0"/>
              <w:right w:val="single" w:color="auto" w:sz="4" w:space="0"/>
            </w:tcBorders>
            <w:noWrap w:val="0"/>
            <w:vAlign w:val="center"/>
          </w:tcPr>
          <w:p w14:paraId="1D3406C6">
            <w:pPr>
              <w:widowControl/>
              <w:spacing w:line="360" w:lineRule="auto"/>
              <w:jc w:val="left"/>
              <w:outlineLvl w:val="9"/>
              <w:rPr>
                <w:rFonts w:hint="eastAsia" w:ascii="宋体" w:hAnsi="宋体" w:eastAsia="宋体" w:cs="宋体"/>
                <w:color w:val="000000" w:themeColor="text1"/>
                <w:szCs w:val="21"/>
                <w:highlight w:val="none"/>
                <w14:textFill>
                  <w14:solidFill>
                    <w14:schemeClr w14:val="tx1"/>
                  </w14:solidFill>
                </w14:textFill>
              </w:rPr>
            </w:pPr>
          </w:p>
        </w:tc>
        <w:tc>
          <w:tcPr>
            <w:tcW w:w="866" w:type="dxa"/>
            <w:vMerge w:val="continue"/>
            <w:tcBorders>
              <w:top w:val="single" w:color="auto" w:sz="4" w:space="0"/>
              <w:left w:val="single" w:color="auto" w:sz="4" w:space="0"/>
              <w:bottom w:val="single" w:color="auto" w:sz="4" w:space="0"/>
              <w:right w:val="single" w:color="auto" w:sz="4" w:space="0"/>
            </w:tcBorders>
            <w:noWrap w:val="0"/>
            <w:vAlign w:val="center"/>
          </w:tcPr>
          <w:p w14:paraId="55649220">
            <w:pPr>
              <w:widowControl/>
              <w:spacing w:line="360" w:lineRule="auto"/>
              <w:jc w:val="left"/>
              <w:outlineLvl w:val="9"/>
              <w:rPr>
                <w:rFonts w:hint="eastAsia" w:ascii="宋体" w:hAnsi="宋体" w:eastAsia="宋体" w:cs="宋体"/>
                <w:color w:val="000000" w:themeColor="text1"/>
                <w:szCs w:val="21"/>
                <w:highlight w:val="none"/>
                <w14:textFill>
                  <w14:solidFill>
                    <w14:schemeClr w14:val="tx1"/>
                  </w14:solidFill>
                </w14:textFill>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119885BC">
            <w:pPr>
              <w:spacing w:line="360" w:lineRule="auto"/>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合计</w:t>
            </w:r>
          </w:p>
        </w:tc>
        <w:tc>
          <w:tcPr>
            <w:tcW w:w="1237" w:type="dxa"/>
            <w:tcBorders>
              <w:top w:val="single" w:color="auto" w:sz="4" w:space="0"/>
              <w:left w:val="single" w:color="auto" w:sz="4" w:space="0"/>
              <w:bottom w:val="single" w:color="auto" w:sz="4" w:space="0"/>
              <w:right w:val="single" w:color="auto" w:sz="4" w:space="0"/>
            </w:tcBorders>
            <w:noWrap w:val="0"/>
            <w:vAlign w:val="center"/>
          </w:tcPr>
          <w:p w14:paraId="0D71A476">
            <w:pPr>
              <w:spacing w:line="360" w:lineRule="auto"/>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合计</w:t>
            </w:r>
          </w:p>
        </w:tc>
        <w:tc>
          <w:tcPr>
            <w:tcW w:w="1237" w:type="dxa"/>
            <w:tcBorders>
              <w:top w:val="single" w:color="auto" w:sz="4" w:space="0"/>
              <w:left w:val="single" w:color="auto" w:sz="4" w:space="0"/>
              <w:bottom w:val="single" w:color="auto" w:sz="4" w:space="0"/>
              <w:right w:val="single" w:color="auto" w:sz="4" w:space="0"/>
            </w:tcBorders>
            <w:noWrap w:val="0"/>
            <w:vAlign w:val="center"/>
          </w:tcPr>
          <w:p w14:paraId="633B222C">
            <w:pPr>
              <w:spacing w:line="360" w:lineRule="auto"/>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合计</w:t>
            </w:r>
          </w:p>
        </w:tc>
      </w:tr>
      <w:tr w14:paraId="26142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516" w:type="dxa"/>
            <w:tcBorders>
              <w:top w:val="single" w:color="auto" w:sz="4" w:space="0"/>
              <w:left w:val="single" w:color="auto" w:sz="4" w:space="0"/>
              <w:bottom w:val="single" w:color="auto" w:sz="4" w:space="0"/>
              <w:right w:val="single" w:color="auto" w:sz="4" w:space="0"/>
            </w:tcBorders>
            <w:noWrap w:val="0"/>
            <w:vAlign w:val="center"/>
          </w:tcPr>
          <w:p w14:paraId="5BAB8A33">
            <w:pPr>
              <w:spacing w:line="360" w:lineRule="auto"/>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1549" w:type="dxa"/>
            <w:tcBorders>
              <w:top w:val="single" w:color="auto" w:sz="4" w:space="0"/>
              <w:left w:val="single" w:color="auto" w:sz="4" w:space="0"/>
              <w:bottom w:val="single" w:color="auto" w:sz="4" w:space="0"/>
              <w:right w:val="single" w:color="auto" w:sz="4" w:space="0"/>
            </w:tcBorders>
            <w:noWrap w:val="0"/>
            <w:vAlign w:val="top"/>
          </w:tcPr>
          <w:p w14:paraId="4B392AA7">
            <w:pPr>
              <w:spacing w:line="360" w:lineRule="auto"/>
              <w:outlineLvl w:val="9"/>
              <w:rPr>
                <w:rFonts w:hint="eastAsia" w:ascii="宋体" w:hAnsi="宋体" w:eastAsia="宋体" w:cs="宋体"/>
                <w:color w:val="000000" w:themeColor="text1"/>
                <w:szCs w:val="21"/>
                <w:highlight w:val="none"/>
                <w14:textFill>
                  <w14:solidFill>
                    <w14:schemeClr w14:val="tx1"/>
                  </w14:solidFill>
                </w14:textFill>
              </w:rPr>
            </w:pPr>
          </w:p>
        </w:tc>
        <w:tc>
          <w:tcPr>
            <w:tcW w:w="1255" w:type="dxa"/>
            <w:tcBorders>
              <w:top w:val="single" w:color="auto" w:sz="4" w:space="0"/>
              <w:left w:val="single" w:color="auto" w:sz="4" w:space="0"/>
              <w:bottom w:val="single" w:color="auto" w:sz="4" w:space="0"/>
              <w:right w:val="single" w:color="auto" w:sz="4" w:space="0"/>
            </w:tcBorders>
            <w:noWrap w:val="0"/>
            <w:vAlign w:val="top"/>
          </w:tcPr>
          <w:p w14:paraId="493F208D">
            <w:pPr>
              <w:spacing w:line="360" w:lineRule="auto"/>
              <w:outlineLvl w:val="9"/>
              <w:rPr>
                <w:rFonts w:hint="eastAsia" w:ascii="宋体" w:hAnsi="宋体" w:eastAsia="宋体" w:cs="宋体"/>
                <w:color w:val="000000" w:themeColor="text1"/>
                <w:szCs w:val="21"/>
                <w:highlight w:val="none"/>
                <w14:textFill>
                  <w14:solidFill>
                    <w14:schemeClr w14:val="tx1"/>
                  </w14:solidFill>
                </w14:textFill>
              </w:rPr>
            </w:pPr>
          </w:p>
        </w:tc>
        <w:tc>
          <w:tcPr>
            <w:tcW w:w="1232" w:type="dxa"/>
            <w:tcBorders>
              <w:top w:val="single" w:color="auto" w:sz="4" w:space="0"/>
              <w:left w:val="single" w:color="auto" w:sz="4" w:space="0"/>
              <w:bottom w:val="single" w:color="auto" w:sz="4" w:space="0"/>
              <w:right w:val="single" w:color="auto" w:sz="4" w:space="0"/>
            </w:tcBorders>
            <w:noWrap w:val="0"/>
            <w:vAlign w:val="top"/>
          </w:tcPr>
          <w:p w14:paraId="6C2F1A83">
            <w:pPr>
              <w:spacing w:line="360" w:lineRule="auto"/>
              <w:outlineLvl w:val="9"/>
              <w:rPr>
                <w:rFonts w:hint="eastAsia" w:ascii="宋体" w:hAnsi="宋体" w:eastAsia="宋体" w:cs="宋体"/>
                <w:color w:val="000000" w:themeColor="text1"/>
                <w:szCs w:val="21"/>
                <w:highlight w:val="none"/>
                <w14:textFill>
                  <w14:solidFill>
                    <w14:schemeClr w14:val="tx1"/>
                  </w14:solidFill>
                </w14:textFill>
              </w:rPr>
            </w:pPr>
          </w:p>
        </w:tc>
        <w:tc>
          <w:tcPr>
            <w:tcW w:w="706" w:type="dxa"/>
            <w:tcBorders>
              <w:top w:val="single" w:color="auto" w:sz="4" w:space="0"/>
              <w:left w:val="single" w:color="auto" w:sz="4" w:space="0"/>
              <w:bottom w:val="single" w:color="auto" w:sz="4" w:space="0"/>
              <w:right w:val="single" w:color="auto" w:sz="4" w:space="0"/>
            </w:tcBorders>
            <w:noWrap w:val="0"/>
            <w:vAlign w:val="top"/>
          </w:tcPr>
          <w:p w14:paraId="47BEC905">
            <w:pPr>
              <w:spacing w:line="360" w:lineRule="auto"/>
              <w:outlineLvl w:val="9"/>
              <w:rPr>
                <w:rFonts w:hint="eastAsia" w:ascii="宋体" w:hAnsi="宋体" w:eastAsia="宋体" w:cs="宋体"/>
                <w:color w:val="000000" w:themeColor="text1"/>
                <w:szCs w:val="21"/>
                <w:highlight w:val="none"/>
                <w14:textFill>
                  <w14:solidFill>
                    <w14:schemeClr w14:val="tx1"/>
                  </w14:solidFill>
                </w14:textFill>
              </w:rPr>
            </w:pPr>
          </w:p>
        </w:tc>
        <w:tc>
          <w:tcPr>
            <w:tcW w:w="866" w:type="dxa"/>
            <w:tcBorders>
              <w:top w:val="single" w:color="auto" w:sz="4" w:space="0"/>
              <w:left w:val="single" w:color="auto" w:sz="4" w:space="0"/>
              <w:bottom w:val="single" w:color="auto" w:sz="4" w:space="0"/>
              <w:right w:val="single" w:color="auto" w:sz="4" w:space="0"/>
            </w:tcBorders>
            <w:noWrap w:val="0"/>
            <w:vAlign w:val="top"/>
          </w:tcPr>
          <w:p w14:paraId="18FA52B8">
            <w:pPr>
              <w:spacing w:line="360" w:lineRule="auto"/>
              <w:outlineLvl w:val="9"/>
              <w:rPr>
                <w:rFonts w:hint="eastAsia" w:ascii="宋体" w:hAnsi="宋体" w:eastAsia="宋体" w:cs="宋体"/>
                <w:color w:val="000000" w:themeColor="text1"/>
                <w:szCs w:val="21"/>
                <w:highlight w:val="none"/>
                <w14:textFill>
                  <w14:solidFill>
                    <w14:schemeClr w14:val="tx1"/>
                  </w14:solidFill>
                </w14:textFill>
              </w:rPr>
            </w:pPr>
          </w:p>
        </w:tc>
        <w:tc>
          <w:tcPr>
            <w:tcW w:w="1189" w:type="dxa"/>
            <w:tcBorders>
              <w:top w:val="single" w:color="auto" w:sz="4" w:space="0"/>
              <w:left w:val="single" w:color="auto" w:sz="4" w:space="0"/>
              <w:bottom w:val="single" w:color="auto" w:sz="4" w:space="0"/>
              <w:right w:val="single" w:color="auto" w:sz="4" w:space="0"/>
            </w:tcBorders>
            <w:noWrap w:val="0"/>
            <w:vAlign w:val="top"/>
          </w:tcPr>
          <w:p w14:paraId="34B0F2F3">
            <w:pPr>
              <w:spacing w:line="360" w:lineRule="auto"/>
              <w:outlineLvl w:val="9"/>
              <w:rPr>
                <w:rFonts w:hint="eastAsia" w:ascii="宋体" w:hAnsi="宋体" w:eastAsia="宋体" w:cs="宋体"/>
                <w:color w:val="000000" w:themeColor="text1"/>
                <w:szCs w:val="21"/>
                <w:highlight w:val="none"/>
                <w14:textFill>
                  <w14:solidFill>
                    <w14:schemeClr w14:val="tx1"/>
                  </w14:solidFill>
                </w14:textFill>
              </w:rPr>
            </w:pPr>
          </w:p>
        </w:tc>
        <w:tc>
          <w:tcPr>
            <w:tcW w:w="1237" w:type="dxa"/>
            <w:tcBorders>
              <w:top w:val="single" w:color="auto" w:sz="4" w:space="0"/>
              <w:left w:val="single" w:color="auto" w:sz="4" w:space="0"/>
              <w:bottom w:val="single" w:color="auto" w:sz="4" w:space="0"/>
              <w:right w:val="single" w:color="auto" w:sz="4" w:space="0"/>
            </w:tcBorders>
            <w:noWrap w:val="0"/>
            <w:vAlign w:val="top"/>
          </w:tcPr>
          <w:p w14:paraId="7676604B">
            <w:pPr>
              <w:spacing w:line="360" w:lineRule="auto"/>
              <w:outlineLvl w:val="9"/>
              <w:rPr>
                <w:rFonts w:hint="eastAsia" w:ascii="宋体" w:hAnsi="宋体" w:eastAsia="宋体" w:cs="宋体"/>
                <w:color w:val="000000" w:themeColor="text1"/>
                <w:szCs w:val="21"/>
                <w:highlight w:val="none"/>
                <w14:textFill>
                  <w14:solidFill>
                    <w14:schemeClr w14:val="tx1"/>
                  </w14:solidFill>
                </w14:textFill>
              </w:rPr>
            </w:pPr>
          </w:p>
        </w:tc>
        <w:tc>
          <w:tcPr>
            <w:tcW w:w="1237" w:type="dxa"/>
            <w:tcBorders>
              <w:top w:val="single" w:color="auto" w:sz="4" w:space="0"/>
              <w:left w:val="single" w:color="auto" w:sz="4" w:space="0"/>
              <w:bottom w:val="single" w:color="auto" w:sz="4" w:space="0"/>
              <w:right w:val="single" w:color="auto" w:sz="4" w:space="0"/>
            </w:tcBorders>
            <w:noWrap w:val="0"/>
            <w:vAlign w:val="top"/>
          </w:tcPr>
          <w:p w14:paraId="53E929F4">
            <w:pPr>
              <w:spacing w:line="360" w:lineRule="auto"/>
              <w:outlineLvl w:val="9"/>
              <w:rPr>
                <w:rFonts w:hint="eastAsia" w:ascii="宋体" w:hAnsi="宋体" w:eastAsia="宋体" w:cs="宋体"/>
                <w:color w:val="000000" w:themeColor="text1"/>
                <w:szCs w:val="21"/>
                <w:highlight w:val="none"/>
                <w14:textFill>
                  <w14:solidFill>
                    <w14:schemeClr w14:val="tx1"/>
                  </w14:solidFill>
                </w14:textFill>
              </w:rPr>
            </w:pPr>
          </w:p>
        </w:tc>
      </w:tr>
      <w:tr w14:paraId="675DC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516" w:type="dxa"/>
            <w:tcBorders>
              <w:top w:val="single" w:color="auto" w:sz="4" w:space="0"/>
              <w:left w:val="single" w:color="auto" w:sz="4" w:space="0"/>
              <w:bottom w:val="single" w:color="auto" w:sz="4" w:space="0"/>
              <w:right w:val="single" w:color="auto" w:sz="4" w:space="0"/>
            </w:tcBorders>
            <w:noWrap w:val="0"/>
            <w:vAlign w:val="center"/>
          </w:tcPr>
          <w:p w14:paraId="6FF32591">
            <w:pPr>
              <w:spacing w:line="360" w:lineRule="auto"/>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p>
        </w:tc>
        <w:tc>
          <w:tcPr>
            <w:tcW w:w="1549" w:type="dxa"/>
            <w:tcBorders>
              <w:top w:val="single" w:color="auto" w:sz="4" w:space="0"/>
              <w:left w:val="single" w:color="auto" w:sz="4" w:space="0"/>
              <w:bottom w:val="single" w:color="auto" w:sz="4" w:space="0"/>
              <w:right w:val="single" w:color="auto" w:sz="4" w:space="0"/>
            </w:tcBorders>
            <w:noWrap w:val="0"/>
            <w:vAlign w:val="top"/>
          </w:tcPr>
          <w:p w14:paraId="610E57CC">
            <w:pPr>
              <w:spacing w:line="360" w:lineRule="auto"/>
              <w:outlineLvl w:val="9"/>
              <w:rPr>
                <w:rFonts w:hint="eastAsia" w:ascii="宋体" w:hAnsi="宋体" w:eastAsia="宋体" w:cs="宋体"/>
                <w:color w:val="000000" w:themeColor="text1"/>
                <w:szCs w:val="21"/>
                <w:highlight w:val="none"/>
                <w14:textFill>
                  <w14:solidFill>
                    <w14:schemeClr w14:val="tx1"/>
                  </w14:solidFill>
                </w14:textFill>
              </w:rPr>
            </w:pPr>
          </w:p>
        </w:tc>
        <w:tc>
          <w:tcPr>
            <w:tcW w:w="1255" w:type="dxa"/>
            <w:tcBorders>
              <w:top w:val="single" w:color="auto" w:sz="4" w:space="0"/>
              <w:left w:val="single" w:color="auto" w:sz="4" w:space="0"/>
              <w:bottom w:val="single" w:color="auto" w:sz="4" w:space="0"/>
              <w:right w:val="single" w:color="auto" w:sz="4" w:space="0"/>
            </w:tcBorders>
            <w:noWrap w:val="0"/>
            <w:vAlign w:val="top"/>
          </w:tcPr>
          <w:p w14:paraId="145C2594">
            <w:pPr>
              <w:spacing w:line="360" w:lineRule="auto"/>
              <w:outlineLvl w:val="9"/>
              <w:rPr>
                <w:rFonts w:hint="eastAsia" w:ascii="宋体" w:hAnsi="宋体" w:eastAsia="宋体" w:cs="宋体"/>
                <w:color w:val="000000" w:themeColor="text1"/>
                <w:szCs w:val="21"/>
                <w:highlight w:val="none"/>
                <w14:textFill>
                  <w14:solidFill>
                    <w14:schemeClr w14:val="tx1"/>
                  </w14:solidFill>
                </w14:textFill>
              </w:rPr>
            </w:pPr>
          </w:p>
        </w:tc>
        <w:tc>
          <w:tcPr>
            <w:tcW w:w="1232" w:type="dxa"/>
            <w:tcBorders>
              <w:top w:val="single" w:color="auto" w:sz="4" w:space="0"/>
              <w:left w:val="single" w:color="auto" w:sz="4" w:space="0"/>
              <w:bottom w:val="single" w:color="auto" w:sz="4" w:space="0"/>
              <w:right w:val="single" w:color="auto" w:sz="4" w:space="0"/>
            </w:tcBorders>
            <w:noWrap w:val="0"/>
            <w:vAlign w:val="top"/>
          </w:tcPr>
          <w:p w14:paraId="0C453835">
            <w:pPr>
              <w:spacing w:line="360" w:lineRule="auto"/>
              <w:outlineLvl w:val="9"/>
              <w:rPr>
                <w:rFonts w:hint="eastAsia" w:ascii="宋体" w:hAnsi="宋体" w:eastAsia="宋体" w:cs="宋体"/>
                <w:color w:val="000000" w:themeColor="text1"/>
                <w:szCs w:val="21"/>
                <w:highlight w:val="none"/>
                <w14:textFill>
                  <w14:solidFill>
                    <w14:schemeClr w14:val="tx1"/>
                  </w14:solidFill>
                </w14:textFill>
              </w:rPr>
            </w:pPr>
          </w:p>
        </w:tc>
        <w:tc>
          <w:tcPr>
            <w:tcW w:w="706" w:type="dxa"/>
            <w:tcBorders>
              <w:top w:val="single" w:color="auto" w:sz="4" w:space="0"/>
              <w:left w:val="single" w:color="auto" w:sz="4" w:space="0"/>
              <w:bottom w:val="single" w:color="auto" w:sz="4" w:space="0"/>
              <w:right w:val="single" w:color="auto" w:sz="4" w:space="0"/>
            </w:tcBorders>
            <w:noWrap w:val="0"/>
            <w:vAlign w:val="top"/>
          </w:tcPr>
          <w:p w14:paraId="5025F60F">
            <w:pPr>
              <w:spacing w:line="360" w:lineRule="auto"/>
              <w:outlineLvl w:val="9"/>
              <w:rPr>
                <w:rFonts w:hint="eastAsia" w:ascii="宋体" w:hAnsi="宋体" w:eastAsia="宋体" w:cs="宋体"/>
                <w:color w:val="000000" w:themeColor="text1"/>
                <w:szCs w:val="21"/>
                <w:highlight w:val="none"/>
                <w14:textFill>
                  <w14:solidFill>
                    <w14:schemeClr w14:val="tx1"/>
                  </w14:solidFill>
                </w14:textFill>
              </w:rPr>
            </w:pPr>
          </w:p>
        </w:tc>
        <w:tc>
          <w:tcPr>
            <w:tcW w:w="866" w:type="dxa"/>
            <w:tcBorders>
              <w:top w:val="single" w:color="auto" w:sz="4" w:space="0"/>
              <w:left w:val="single" w:color="auto" w:sz="4" w:space="0"/>
              <w:bottom w:val="single" w:color="auto" w:sz="4" w:space="0"/>
              <w:right w:val="single" w:color="auto" w:sz="4" w:space="0"/>
            </w:tcBorders>
            <w:noWrap w:val="0"/>
            <w:vAlign w:val="top"/>
          </w:tcPr>
          <w:p w14:paraId="1339F4B3">
            <w:pPr>
              <w:spacing w:line="360" w:lineRule="auto"/>
              <w:outlineLvl w:val="9"/>
              <w:rPr>
                <w:rFonts w:hint="eastAsia" w:ascii="宋体" w:hAnsi="宋体" w:eastAsia="宋体" w:cs="宋体"/>
                <w:color w:val="000000" w:themeColor="text1"/>
                <w:szCs w:val="21"/>
                <w:highlight w:val="none"/>
                <w14:textFill>
                  <w14:solidFill>
                    <w14:schemeClr w14:val="tx1"/>
                  </w14:solidFill>
                </w14:textFill>
              </w:rPr>
            </w:pPr>
          </w:p>
        </w:tc>
        <w:tc>
          <w:tcPr>
            <w:tcW w:w="1189" w:type="dxa"/>
            <w:tcBorders>
              <w:top w:val="single" w:color="auto" w:sz="4" w:space="0"/>
              <w:left w:val="single" w:color="auto" w:sz="4" w:space="0"/>
              <w:bottom w:val="single" w:color="auto" w:sz="4" w:space="0"/>
              <w:right w:val="single" w:color="auto" w:sz="4" w:space="0"/>
            </w:tcBorders>
            <w:noWrap w:val="0"/>
            <w:vAlign w:val="top"/>
          </w:tcPr>
          <w:p w14:paraId="3A7207CA">
            <w:pPr>
              <w:spacing w:line="360" w:lineRule="auto"/>
              <w:outlineLvl w:val="9"/>
              <w:rPr>
                <w:rFonts w:hint="eastAsia" w:ascii="宋体" w:hAnsi="宋体" w:eastAsia="宋体" w:cs="宋体"/>
                <w:color w:val="000000" w:themeColor="text1"/>
                <w:szCs w:val="21"/>
                <w:highlight w:val="none"/>
                <w14:textFill>
                  <w14:solidFill>
                    <w14:schemeClr w14:val="tx1"/>
                  </w14:solidFill>
                </w14:textFill>
              </w:rPr>
            </w:pPr>
          </w:p>
        </w:tc>
        <w:tc>
          <w:tcPr>
            <w:tcW w:w="1237" w:type="dxa"/>
            <w:tcBorders>
              <w:top w:val="single" w:color="auto" w:sz="4" w:space="0"/>
              <w:left w:val="single" w:color="auto" w:sz="4" w:space="0"/>
              <w:bottom w:val="single" w:color="auto" w:sz="4" w:space="0"/>
              <w:right w:val="single" w:color="auto" w:sz="4" w:space="0"/>
            </w:tcBorders>
            <w:noWrap w:val="0"/>
            <w:vAlign w:val="top"/>
          </w:tcPr>
          <w:p w14:paraId="014ABE61">
            <w:pPr>
              <w:spacing w:line="360" w:lineRule="auto"/>
              <w:outlineLvl w:val="9"/>
              <w:rPr>
                <w:rFonts w:hint="eastAsia" w:ascii="宋体" w:hAnsi="宋体" w:eastAsia="宋体" w:cs="宋体"/>
                <w:color w:val="000000" w:themeColor="text1"/>
                <w:szCs w:val="21"/>
                <w:highlight w:val="none"/>
                <w14:textFill>
                  <w14:solidFill>
                    <w14:schemeClr w14:val="tx1"/>
                  </w14:solidFill>
                </w14:textFill>
              </w:rPr>
            </w:pPr>
          </w:p>
        </w:tc>
        <w:tc>
          <w:tcPr>
            <w:tcW w:w="1237" w:type="dxa"/>
            <w:tcBorders>
              <w:top w:val="single" w:color="auto" w:sz="4" w:space="0"/>
              <w:left w:val="single" w:color="auto" w:sz="4" w:space="0"/>
              <w:bottom w:val="single" w:color="auto" w:sz="4" w:space="0"/>
              <w:right w:val="single" w:color="auto" w:sz="4" w:space="0"/>
            </w:tcBorders>
            <w:noWrap w:val="0"/>
            <w:vAlign w:val="top"/>
          </w:tcPr>
          <w:p w14:paraId="6CB3E040">
            <w:pPr>
              <w:spacing w:line="360" w:lineRule="auto"/>
              <w:outlineLvl w:val="9"/>
              <w:rPr>
                <w:rFonts w:hint="eastAsia" w:ascii="宋体" w:hAnsi="宋体" w:eastAsia="宋体" w:cs="宋体"/>
                <w:color w:val="000000" w:themeColor="text1"/>
                <w:szCs w:val="21"/>
                <w:highlight w:val="none"/>
                <w14:textFill>
                  <w14:solidFill>
                    <w14:schemeClr w14:val="tx1"/>
                  </w14:solidFill>
                </w14:textFill>
              </w:rPr>
            </w:pPr>
          </w:p>
        </w:tc>
      </w:tr>
      <w:tr w14:paraId="07897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516" w:type="dxa"/>
            <w:tcBorders>
              <w:top w:val="single" w:color="auto" w:sz="4" w:space="0"/>
              <w:left w:val="single" w:color="auto" w:sz="4" w:space="0"/>
              <w:bottom w:val="single" w:color="auto" w:sz="4" w:space="0"/>
              <w:right w:val="single" w:color="auto" w:sz="4" w:space="0"/>
            </w:tcBorders>
            <w:noWrap w:val="0"/>
            <w:vAlign w:val="center"/>
          </w:tcPr>
          <w:p w14:paraId="2674629E">
            <w:pPr>
              <w:spacing w:line="360" w:lineRule="auto"/>
              <w:jc w:val="center"/>
              <w:outlineLvl w:val="9"/>
              <w:rPr>
                <w:rFonts w:hint="eastAsia" w:ascii="宋体" w:hAnsi="宋体" w:eastAsia="宋体" w:cs="宋体"/>
                <w:color w:val="000000" w:themeColor="text1"/>
                <w:szCs w:val="21"/>
                <w:highlight w:val="none"/>
                <w14:textFill>
                  <w14:solidFill>
                    <w14:schemeClr w14:val="tx1"/>
                  </w14:solidFill>
                </w14:textFill>
              </w:rPr>
            </w:pPr>
          </w:p>
        </w:tc>
        <w:tc>
          <w:tcPr>
            <w:tcW w:w="1549" w:type="dxa"/>
            <w:tcBorders>
              <w:top w:val="single" w:color="auto" w:sz="4" w:space="0"/>
              <w:left w:val="single" w:color="auto" w:sz="4" w:space="0"/>
              <w:bottom w:val="single" w:color="auto" w:sz="4" w:space="0"/>
              <w:right w:val="single" w:color="auto" w:sz="4" w:space="0"/>
            </w:tcBorders>
            <w:noWrap w:val="0"/>
            <w:vAlign w:val="top"/>
          </w:tcPr>
          <w:p w14:paraId="59183989">
            <w:pPr>
              <w:spacing w:line="360" w:lineRule="auto"/>
              <w:outlineLvl w:val="9"/>
              <w:rPr>
                <w:rFonts w:hint="eastAsia" w:ascii="宋体" w:hAnsi="宋体" w:eastAsia="宋体" w:cs="宋体"/>
                <w:color w:val="000000" w:themeColor="text1"/>
                <w:szCs w:val="21"/>
                <w:highlight w:val="none"/>
                <w14:textFill>
                  <w14:solidFill>
                    <w14:schemeClr w14:val="tx1"/>
                  </w14:solidFill>
                </w14:textFill>
              </w:rPr>
            </w:pPr>
          </w:p>
        </w:tc>
        <w:tc>
          <w:tcPr>
            <w:tcW w:w="1255" w:type="dxa"/>
            <w:tcBorders>
              <w:top w:val="single" w:color="auto" w:sz="4" w:space="0"/>
              <w:left w:val="single" w:color="auto" w:sz="4" w:space="0"/>
              <w:bottom w:val="single" w:color="auto" w:sz="4" w:space="0"/>
              <w:right w:val="single" w:color="auto" w:sz="4" w:space="0"/>
            </w:tcBorders>
            <w:noWrap w:val="0"/>
            <w:vAlign w:val="top"/>
          </w:tcPr>
          <w:p w14:paraId="5006F33D">
            <w:pPr>
              <w:spacing w:line="360" w:lineRule="auto"/>
              <w:outlineLvl w:val="9"/>
              <w:rPr>
                <w:rFonts w:hint="eastAsia" w:ascii="宋体" w:hAnsi="宋体" w:eastAsia="宋体" w:cs="宋体"/>
                <w:color w:val="000000" w:themeColor="text1"/>
                <w:szCs w:val="21"/>
                <w:highlight w:val="none"/>
                <w14:textFill>
                  <w14:solidFill>
                    <w14:schemeClr w14:val="tx1"/>
                  </w14:solidFill>
                </w14:textFill>
              </w:rPr>
            </w:pPr>
          </w:p>
        </w:tc>
        <w:tc>
          <w:tcPr>
            <w:tcW w:w="1232" w:type="dxa"/>
            <w:tcBorders>
              <w:top w:val="single" w:color="auto" w:sz="4" w:space="0"/>
              <w:left w:val="single" w:color="auto" w:sz="4" w:space="0"/>
              <w:bottom w:val="single" w:color="auto" w:sz="4" w:space="0"/>
              <w:right w:val="single" w:color="auto" w:sz="4" w:space="0"/>
            </w:tcBorders>
            <w:noWrap w:val="0"/>
            <w:vAlign w:val="top"/>
          </w:tcPr>
          <w:p w14:paraId="5F4987FD">
            <w:pPr>
              <w:spacing w:line="360" w:lineRule="auto"/>
              <w:outlineLvl w:val="9"/>
              <w:rPr>
                <w:rFonts w:hint="eastAsia" w:ascii="宋体" w:hAnsi="宋体" w:eastAsia="宋体" w:cs="宋体"/>
                <w:color w:val="000000" w:themeColor="text1"/>
                <w:szCs w:val="21"/>
                <w:highlight w:val="none"/>
                <w14:textFill>
                  <w14:solidFill>
                    <w14:schemeClr w14:val="tx1"/>
                  </w14:solidFill>
                </w14:textFill>
              </w:rPr>
            </w:pPr>
          </w:p>
        </w:tc>
        <w:tc>
          <w:tcPr>
            <w:tcW w:w="706" w:type="dxa"/>
            <w:tcBorders>
              <w:top w:val="single" w:color="auto" w:sz="4" w:space="0"/>
              <w:left w:val="single" w:color="auto" w:sz="4" w:space="0"/>
              <w:bottom w:val="single" w:color="auto" w:sz="4" w:space="0"/>
              <w:right w:val="single" w:color="auto" w:sz="4" w:space="0"/>
            </w:tcBorders>
            <w:noWrap w:val="0"/>
            <w:vAlign w:val="top"/>
          </w:tcPr>
          <w:p w14:paraId="1365E6F3">
            <w:pPr>
              <w:spacing w:line="360" w:lineRule="auto"/>
              <w:outlineLvl w:val="9"/>
              <w:rPr>
                <w:rFonts w:hint="eastAsia" w:ascii="宋体" w:hAnsi="宋体" w:eastAsia="宋体" w:cs="宋体"/>
                <w:color w:val="000000" w:themeColor="text1"/>
                <w:szCs w:val="21"/>
                <w:highlight w:val="none"/>
                <w14:textFill>
                  <w14:solidFill>
                    <w14:schemeClr w14:val="tx1"/>
                  </w14:solidFill>
                </w14:textFill>
              </w:rPr>
            </w:pPr>
          </w:p>
        </w:tc>
        <w:tc>
          <w:tcPr>
            <w:tcW w:w="866" w:type="dxa"/>
            <w:tcBorders>
              <w:top w:val="single" w:color="auto" w:sz="4" w:space="0"/>
              <w:left w:val="single" w:color="auto" w:sz="4" w:space="0"/>
              <w:bottom w:val="single" w:color="auto" w:sz="4" w:space="0"/>
              <w:right w:val="single" w:color="auto" w:sz="4" w:space="0"/>
            </w:tcBorders>
            <w:noWrap w:val="0"/>
            <w:vAlign w:val="top"/>
          </w:tcPr>
          <w:p w14:paraId="7AD7002F">
            <w:pPr>
              <w:spacing w:line="360" w:lineRule="auto"/>
              <w:outlineLvl w:val="9"/>
              <w:rPr>
                <w:rFonts w:hint="eastAsia" w:ascii="宋体" w:hAnsi="宋体" w:eastAsia="宋体" w:cs="宋体"/>
                <w:color w:val="000000" w:themeColor="text1"/>
                <w:szCs w:val="21"/>
                <w:highlight w:val="none"/>
                <w14:textFill>
                  <w14:solidFill>
                    <w14:schemeClr w14:val="tx1"/>
                  </w14:solidFill>
                </w14:textFill>
              </w:rPr>
            </w:pPr>
          </w:p>
        </w:tc>
        <w:tc>
          <w:tcPr>
            <w:tcW w:w="1189" w:type="dxa"/>
            <w:tcBorders>
              <w:top w:val="single" w:color="auto" w:sz="4" w:space="0"/>
              <w:left w:val="single" w:color="auto" w:sz="4" w:space="0"/>
              <w:bottom w:val="single" w:color="auto" w:sz="4" w:space="0"/>
              <w:right w:val="single" w:color="auto" w:sz="4" w:space="0"/>
            </w:tcBorders>
            <w:noWrap w:val="0"/>
            <w:vAlign w:val="top"/>
          </w:tcPr>
          <w:p w14:paraId="2FA2900F">
            <w:pPr>
              <w:spacing w:line="360" w:lineRule="auto"/>
              <w:outlineLvl w:val="9"/>
              <w:rPr>
                <w:rFonts w:hint="eastAsia" w:ascii="宋体" w:hAnsi="宋体" w:eastAsia="宋体" w:cs="宋体"/>
                <w:color w:val="000000" w:themeColor="text1"/>
                <w:szCs w:val="21"/>
                <w:highlight w:val="none"/>
                <w14:textFill>
                  <w14:solidFill>
                    <w14:schemeClr w14:val="tx1"/>
                  </w14:solidFill>
                </w14:textFill>
              </w:rPr>
            </w:pPr>
          </w:p>
        </w:tc>
        <w:tc>
          <w:tcPr>
            <w:tcW w:w="1237" w:type="dxa"/>
            <w:tcBorders>
              <w:top w:val="single" w:color="auto" w:sz="4" w:space="0"/>
              <w:left w:val="single" w:color="auto" w:sz="4" w:space="0"/>
              <w:bottom w:val="single" w:color="auto" w:sz="4" w:space="0"/>
              <w:right w:val="single" w:color="auto" w:sz="4" w:space="0"/>
            </w:tcBorders>
            <w:noWrap w:val="0"/>
            <w:vAlign w:val="top"/>
          </w:tcPr>
          <w:p w14:paraId="55A6AF03">
            <w:pPr>
              <w:spacing w:line="360" w:lineRule="auto"/>
              <w:outlineLvl w:val="9"/>
              <w:rPr>
                <w:rFonts w:hint="eastAsia" w:ascii="宋体" w:hAnsi="宋体" w:eastAsia="宋体" w:cs="宋体"/>
                <w:color w:val="000000" w:themeColor="text1"/>
                <w:szCs w:val="21"/>
                <w:highlight w:val="none"/>
                <w14:textFill>
                  <w14:solidFill>
                    <w14:schemeClr w14:val="tx1"/>
                  </w14:solidFill>
                </w14:textFill>
              </w:rPr>
            </w:pPr>
          </w:p>
        </w:tc>
        <w:tc>
          <w:tcPr>
            <w:tcW w:w="1237" w:type="dxa"/>
            <w:tcBorders>
              <w:top w:val="single" w:color="auto" w:sz="4" w:space="0"/>
              <w:left w:val="single" w:color="auto" w:sz="4" w:space="0"/>
              <w:bottom w:val="single" w:color="auto" w:sz="4" w:space="0"/>
              <w:right w:val="single" w:color="auto" w:sz="4" w:space="0"/>
            </w:tcBorders>
            <w:noWrap w:val="0"/>
            <w:vAlign w:val="top"/>
          </w:tcPr>
          <w:p w14:paraId="097F03C6">
            <w:pPr>
              <w:spacing w:line="360" w:lineRule="auto"/>
              <w:outlineLvl w:val="9"/>
              <w:rPr>
                <w:rFonts w:hint="eastAsia" w:ascii="宋体" w:hAnsi="宋体" w:eastAsia="宋体" w:cs="宋体"/>
                <w:color w:val="000000" w:themeColor="text1"/>
                <w:szCs w:val="21"/>
                <w:highlight w:val="none"/>
                <w14:textFill>
                  <w14:solidFill>
                    <w14:schemeClr w14:val="tx1"/>
                  </w14:solidFill>
                </w14:textFill>
              </w:rPr>
            </w:pPr>
          </w:p>
        </w:tc>
      </w:tr>
      <w:tr w14:paraId="7E7BD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6124" w:type="dxa"/>
            <w:gridSpan w:val="6"/>
            <w:tcBorders>
              <w:top w:val="single" w:color="auto" w:sz="4" w:space="0"/>
              <w:left w:val="single" w:color="auto" w:sz="4" w:space="0"/>
              <w:bottom w:val="single" w:color="auto" w:sz="4" w:space="0"/>
              <w:right w:val="single" w:color="auto" w:sz="4" w:space="0"/>
            </w:tcBorders>
            <w:noWrap w:val="0"/>
            <w:vAlign w:val="center"/>
          </w:tcPr>
          <w:p w14:paraId="14E5EDF4">
            <w:pPr>
              <w:spacing w:line="360" w:lineRule="auto"/>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小型、微型企业、监狱企业、残疾人福利性单位报价总计</w:t>
            </w:r>
          </w:p>
        </w:tc>
        <w:tc>
          <w:tcPr>
            <w:tcW w:w="1189" w:type="dxa"/>
            <w:tcBorders>
              <w:top w:val="single" w:color="auto" w:sz="4" w:space="0"/>
              <w:left w:val="single" w:color="auto" w:sz="4" w:space="0"/>
              <w:bottom w:val="single" w:color="auto" w:sz="4" w:space="0"/>
              <w:right w:val="single" w:color="auto" w:sz="4" w:space="0"/>
            </w:tcBorders>
            <w:noWrap w:val="0"/>
            <w:vAlign w:val="center"/>
          </w:tcPr>
          <w:p w14:paraId="1677500C">
            <w:pPr>
              <w:spacing w:line="360" w:lineRule="auto"/>
              <w:jc w:val="center"/>
              <w:outlineLvl w:val="9"/>
              <w:rPr>
                <w:rFonts w:hint="eastAsia" w:ascii="宋体" w:hAnsi="宋体" w:eastAsia="宋体" w:cs="宋体"/>
                <w:color w:val="000000" w:themeColor="text1"/>
                <w:szCs w:val="21"/>
                <w:highlight w:val="none"/>
                <w14:textFill>
                  <w14:solidFill>
                    <w14:schemeClr w14:val="tx1"/>
                  </w14:solidFill>
                </w14:textFill>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661DD148">
            <w:pPr>
              <w:spacing w:line="360" w:lineRule="auto"/>
              <w:jc w:val="center"/>
              <w:outlineLvl w:val="9"/>
              <w:rPr>
                <w:rFonts w:hint="eastAsia" w:ascii="宋体" w:hAnsi="宋体" w:eastAsia="宋体" w:cs="宋体"/>
                <w:color w:val="000000" w:themeColor="text1"/>
                <w:szCs w:val="21"/>
                <w:highlight w:val="none"/>
                <w14:textFill>
                  <w14:solidFill>
                    <w14:schemeClr w14:val="tx1"/>
                  </w14:solidFill>
                </w14:textFill>
              </w:rPr>
            </w:pPr>
          </w:p>
        </w:tc>
        <w:tc>
          <w:tcPr>
            <w:tcW w:w="1237" w:type="dxa"/>
            <w:tcBorders>
              <w:top w:val="single" w:color="auto" w:sz="4" w:space="0"/>
              <w:left w:val="single" w:color="auto" w:sz="4" w:space="0"/>
              <w:bottom w:val="single" w:color="auto" w:sz="4" w:space="0"/>
              <w:right w:val="single" w:color="auto" w:sz="4" w:space="0"/>
            </w:tcBorders>
            <w:noWrap w:val="0"/>
            <w:vAlign w:val="top"/>
          </w:tcPr>
          <w:p w14:paraId="030DDA23">
            <w:pPr>
              <w:spacing w:line="360" w:lineRule="auto"/>
              <w:jc w:val="center"/>
              <w:outlineLvl w:val="9"/>
              <w:rPr>
                <w:rFonts w:hint="eastAsia" w:ascii="宋体" w:hAnsi="宋体" w:eastAsia="宋体" w:cs="宋体"/>
                <w:color w:val="000000" w:themeColor="text1"/>
                <w:szCs w:val="21"/>
                <w:highlight w:val="none"/>
                <w14:textFill>
                  <w14:solidFill>
                    <w14:schemeClr w14:val="tx1"/>
                  </w14:solidFill>
                </w14:textFill>
              </w:rPr>
            </w:pPr>
          </w:p>
        </w:tc>
      </w:tr>
    </w:tbl>
    <w:p w14:paraId="2EEA87CB">
      <w:pPr>
        <w:spacing w:line="360" w:lineRule="auto"/>
        <w:ind w:right="-512" w:rightChars="-244" w:firstLine="180" w:firstLineChars="75"/>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说明：</w:t>
      </w:r>
    </w:p>
    <w:p w14:paraId="4195973B">
      <w:pPr>
        <w:spacing w:line="360" w:lineRule="auto"/>
        <w:ind w:firstLine="180" w:firstLineChars="75"/>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填入的产品必须是本企业生产的产品、承担的工程或服务，或代理的其他监狱企业、小型企业、微型企业、残疾人福利性单位的产品；其他监狱企业、小型、微型企业的产品，须同时提供产品授权和该企业的监狱企业、小型企业、微型企业、残疾人福利性单位的证明。</w:t>
      </w:r>
    </w:p>
    <w:p w14:paraId="4AA41E94">
      <w:pPr>
        <w:spacing w:line="360" w:lineRule="auto"/>
        <w:ind w:firstLine="180" w:firstLineChars="75"/>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2、填写本表的小型和微型企业或残疾人福利性单位须提供“中小企业声明函” 或 “残疾人福利性单位声明函”；填写本表的监狱企业须提供</w:t>
      </w:r>
      <w:r>
        <w:rPr>
          <w:rFonts w:hint="eastAsia" w:ascii="宋体" w:hAnsi="宋体" w:eastAsia="宋体" w:cs="宋体"/>
          <w:color w:val="000000" w:themeColor="text1"/>
          <w:kern w:val="0"/>
          <w:sz w:val="24"/>
          <w:highlight w:val="none"/>
          <w14:textFill>
            <w14:solidFill>
              <w14:schemeClr w14:val="tx1"/>
            </w14:solidFill>
          </w14:textFill>
        </w:rPr>
        <w:t>由省级以上监狱管理局、戒毒管理局（含新疆生产建设兵团）出具的属于监狱企业证明文件。</w:t>
      </w:r>
      <w:r>
        <w:rPr>
          <w:rFonts w:hint="eastAsia" w:ascii="宋体" w:hAnsi="宋体" w:eastAsia="宋体" w:cs="宋体"/>
          <w:color w:val="000000" w:themeColor="text1"/>
          <w:sz w:val="24"/>
          <w:highlight w:val="none"/>
          <w14:textFill>
            <w14:solidFill>
              <w14:schemeClr w14:val="tx1"/>
            </w14:solidFill>
          </w14:textFill>
        </w:rPr>
        <w:t>如提供虚假信息，中标（成交）无效，并承担法律责任。</w:t>
      </w:r>
    </w:p>
    <w:p w14:paraId="1FD6B20C">
      <w:pPr>
        <w:spacing w:line="360" w:lineRule="auto"/>
        <w:ind w:firstLine="180" w:firstLineChars="75"/>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3、不填报本报价表，不提供“中小企业声明函”或 “残疾人福利性单位声明函”和证明文件或经评委认定与标准不符的，评审时有权不对其产品报价给予评审价格折扣。</w:t>
      </w:r>
    </w:p>
    <w:p w14:paraId="5D26C06B">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p>
    <w:p w14:paraId="3AF70886">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p>
    <w:p w14:paraId="664981DD">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p>
    <w:p w14:paraId="73976ADB">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p>
    <w:p w14:paraId="23932F7F">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p>
    <w:p w14:paraId="6B918DD8">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p>
    <w:p w14:paraId="31521504">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p>
    <w:p w14:paraId="447A32D8">
      <w:pPr>
        <w:pStyle w:val="378"/>
        <w:ind w:firstLine="480"/>
        <w:outlineLvl w:val="9"/>
        <w:rPr>
          <w:rFonts w:hint="eastAsia" w:ascii="宋体" w:hAnsi="宋体" w:eastAsia="宋体" w:cs="宋体"/>
          <w:color w:val="000000" w:themeColor="text1"/>
          <w:sz w:val="24"/>
          <w:highlight w:val="none"/>
          <w14:textFill>
            <w14:solidFill>
              <w14:schemeClr w14:val="tx1"/>
            </w14:solidFill>
          </w14:textFill>
        </w:rPr>
      </w:pPr>
    </w:p>
    <w:p w14:paraId="0E3249AB">
      <w:pPr>
        <w:pStyle w:val="378"/>
        <w:ind w:firstLine="480"/>
        <w:outlineLvl w:val="9"/>
        <w:rPr>
          <w:rFonts w:hint="eastAsia" w:ascii="宋体" w:hAnsi="宋体" w:eastAsia="宋体" w:cs="宋体"/>
          <w:color w:val="000000" w:themeColor="text1"/>
          <w:sz w:val="24"/>
          <w:highlight w:val="none"/>
          <w14:textFill>
            <w14:solidFill>
              <w14:schemeClr w14:val="tx1"/>
            </w14:solidFill>
          </w14:textFill>
        </w:rPr>
      </w:pPr>
    </w:p>
    <w:p w14:paraId="3CBA7D37">
      <w:pPr>
        <w:pStyle w:val="378"/>
        <w:ind w:firstLine="480"/>
        <w:outlineLvl w:val="9"/>
        <w:rPr>
          <w:rFonts w:hint="eastAsia" w:ascii="宋体" w:hAnsi="宋体" w:eastAsia="宋体" w:cs="宋体"/>
          <w:color w:val="000000" w:themeColor="text1"/>
          <w:sz w:val="24"/>
          <w:highlight w:val="none"/>
          <w14:textFill>
            <w14:solidFill>
              <w14:schemeClr w14:val="tx1"/>
            </w14:solidFill>
          </w14:textFill>
        </w:rPr>
      </w:pPr>
    </w:p>
    <w:p w14:paraId="02F27FE9">
      <w:pPr>
        <w:pStyle w:val="378"/>
        <w:ind w:firstLine="480"/>
        <w:outlineLvl w:val="9"/>
        <w:rPr>
          <w:rFonts w:hint="eastAsia" w:ascii="宋体" w:hAnsi="宋体" w:eastAsia="宋体" w:cs="宋体"/>
          <w:color w:val="000000" w:themeColor="text1"/>
          <w:sz w:val="24"/>
          <w:highlight w:val="none"/>
          <w14:textFill>
            <w14:solidFill>
              <w14:schemeClr w14:val="tx1"/>
            </w14:solidFill>
          </w14:textFill>
        </w:rPr>
      </w:pPr>
    </w:p>
    <w:p w14:paraId="42C7BDFB">
      <w:pPr>
        <w:widowControl/>
        <w:spacing w:line="360" w:lineRule="exact"/>
        <w:jc w:val="center"/>
        <w:outlineLvl w:val="9"/>
        <w:rPr>
          <w:rFonts w:hint="eastAsia" w:ascii="宋体" w:hAnsi="宋体" w:eastAsia="宋体" w:cs="宋体"/>
          <w:b/>
          <w:bCs/>
          <w:color w:val="000000" w:themeColor="text1"/>
          <w:kern w:val="0"/>
          <w:sz w:val="28"/>
          <w:szCs w:val="28"/>
          <w:highlight w:val="none"/>
          <w:lang w:bidi="ar"/>
          <w14:textFill>
            <w14:solidFill>
              <w14:schemeClr w14:val="tx1"/>
            </w14:solidFill>
          </w14:textFill>
        </w:rPr>
      </w:pPr>
      <w:bookmarkStart w:id="75" w:name="_Toc4326"/>
      <w:bookmarkStart w:id="76" w:name="_Toc24950"/>
      <w:bookmarkStart w:id="77" w:name="_Toc28846"/>
      <w:bookmarkStart w:id="78" w:name="_Toc10356"/>
      <w:r>
        <w:rPr>
          <w:rFonts w:hint="eastAsia" w:ascii="宋体" w:hAnsi="宋体" w:eastAsia="宋体" w:cs="宋体"/>
          <w:b/>
          <w:bCs/>
          <w:color w:val="000000" w:themeColor="text1"/>
          <w:kern w:val="0"/>
          <w:sz w:val="28"/>
          <w:szCs w:val="28"/>
          <w:highlight w:val="none"/>
          <w:lang w:bidi="ar"/>
          <w14:textFill>
            <w14:solidFill>
              <w14:schemeClr w14:val="tx1"/>
            </w14:solidFill>
          </w14:textFill>
        </w:rPr>
        <w:t>7.节能、环保产品及监狱、小微企业、残疾人福利性单位认定表</w:t>
      </w:r>
      <w:bookmarkEnd w:id="75"/>
      <w:bookmarkEnd w:id="76"/>
    </w:p>
    <w:p w14:paraId="586575CA">
      <w:pPr>
        <w:spacing w:line="350" w:lineRule="exact"/>
        <w:outlineLvl w:val="9"/>
        <w:rPr>
          <w:rFonts w:hint="eastAsia" w:ascii="宋体" w:hAnsi="宋体" w:eastAsia="宋体" w:cs="宋体"/>
          <w:color w:val="000000" w:themeColor="text1"/>
          <w:sz w:val="24"/>
          <w:highlight w:val="none"/>
          <w14:textFill>
            <w14:solidFill>
              <w14:schemeClr w14:val="tx1"/>
            </w14:solidFill>
          </w14:textFill>
        </w:rPr>
      </w:pPr>
    </w:p>
    <w:p w14:paraId="609AF8C4">
      <w:pPr>
        <w:spacing w:line="350" w:lineRule="exac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投标人名称：</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p>
    <w:tbl>
      <w:tblPr>
        <w:tblStyle w:val="76"/>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23"/>
        <w:gridCol w:w="4084"/>
        <w:gridCol w:w="3135"/>
        <w:gridCol w:w="90"/>
        <w:gridCol w:w="1627"/>
      </w:tblGrid>
      <w:tr w14:paraId="37458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4" w:hRule="atLeast"/>
          <w:jc w:val="center"/>
        </w:trPr>
        <w:tc>
          <w:tcPr>
            <w:tcW w:w="721" w:type="dxa"/>
            <w:vMerge w:val="restart"/>
            <w:noWrap w:val="0"/>
            <w:vAlign w:val="center"/>
          </w:tcPr>
          <w:p w14:paraId="2F471C9A">
            <w:pPr>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序号</w:t>
            </w:r>
          </w:p>
        </w:tc>
        <w:tc>
          <w:tcPr>
            <w:tcW w:w="7242" w:type="dxa"/>
            <w:gridSpan w:val="3"/>
            <w:vMerge w:val="restart"/>
            <w:noWrap w:val="0"/>
            <w:vAlign w:val="center"/>
          </w:tcPr>
          <w:p w14:paraId="757A05C1">
            <w:pPr>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内容</w:t>
            </w:r>
          </w:p>
        </w:tc>
        <w:tc>
          <w:tcPr>
            <w:tcW w:w="1717" w:type="dxa"/>
            <w:gridSpan w:val="2"/>
            <w:noWrap w:val="0"/>
            <w:vAlign w:val="center"/>
          </w:tcPr>
          <w:p w14:paraId="70D35995">
            <w:pPr>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核验结果</w:t>
            </w:r>
          </w:p>
        </w:tc>
      </w:tr>
      <w:tr w14:paraId="5A223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9" w:hRule="atLeast"/>
          <w:jc w:val="center"/>
        </w:trPr>
        <w:tc>
          <w:tcPr>
            <w:tcW w:w="721" w:type="dxa"/>
            <w:vMerge w:val="continue"/>
            <w:noWrap w:val="0"/>
            <w:vAlign w:val="center"/>
          </w:tcPr>
          <w:p w14:paraId="410039FB">
            <w:pPr>
              <w:jc w:val="center"/>
              <w:outlineLvl w:val="9"/>
              <w:rPr>
                <w:rFonts w:hint="eastAsia" w:ascii="宋体" w:hAnsi="宋体" w:eastAsia="宋体" w:cs="宋体"/>
                <w:color w:val="000000" w:themeColor="text1"/>
                <w:szCs w:val="21"/>
                <w:highlight w:val="none"/>
                <w14:textFill>
                  <w14:solidFill>
                    <w14:schemeClr w14:val="tx1"/>
                  </w14:solidFill>
                </w14:textFill>
              </w:rPr>
            </w:pPr>
          </w:p>
        </w:tc>
        <w:tc>
          <w:tcPr>
            <w:tcW w:w="7242" w:type="dxa"/>
            <w:gridSpan w:val="3"/>
            <w:vMerge w:val="continue"/>
            <w:noWrap w:val="0"/>
            <w:vAlign w:val="center"/>
          </w:tcPr>
          <w:p w14:paraId="60E0C15D">
            <w:pPr>
              <w:jc w:val="center"/>
              <w:outlineLvl w:val="9"/>
              <w:rPr>
                <w:rFonts w:hint="eastAsia" w:ascii="宋体" w:hAnsi="宋体" w:eastAsia="宋体" w:cs="宋体"/>
                <w:color w:val="000000" w:themeColor="text1"/>
                <w:szCs w:val="21"/>
                <w:highlight w:val="none"/>
                <w14:textFill>
                  <w14:solidFill>
                    <w14:schemeClr w14:val="tx1"/>
                  </w14:solidFill>
                </w14:textFill>
              </w:rPr>
            </w:pPr>
          </w:p>
        </w:tc>
        <w:tc>
          <w:tcPr>
            <w:tcW w:w="1717" w:type="dxa"/>
            <w:gridSpan w:val="2"/>
            <w:noWrap w:val="0"/>
            <w:vAlign w:val="center"/>
          </w:tcPr>
          <w:p w14:paraId="701B696D">
            <w:pPr>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有效√无效划X</w:t>
            </w:r>
          </w:p>
        </w:tc>
      </w:tr>
      <w:tr w14:paraId="79863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9680" w:type="dxa"/>
            <w:gridSpan w:val="6"/>
            <w:noWrap w:val="0"/>
            <w:vAlign w:val="center"/>
          </w:tcPr>
          <w:p w14:paraId="6428AE0F">
            <w:pPr>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节能产品</w:t>
            </w:r>
          </w:p>
        </w:tc>
      </w:tr>
      <w:tr w14:paraId="52678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721" w:type="dxa"/>
            <w:noWrap w:val="0"/>
            <w:vAlign w:val="center"/>
          </w:tcPr>
          <w:p w14:paraId="7A94C6E9">
            <w:pPr>
              <w:jc w:val="center"/>
              <w:outlineLvl w:val="9"/>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4107" w:type="dxa"/>
            <w:gridSpan w:val="2"/>
            <w:noWrap w:val="0"/>
            <w:vAlign w:val="center"/>
          </w:tcPr>
          <w:p w14:paraId="72DD6ED3">
            <w:pPr>
              <w:outlineLvl w:val="9"/>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节能产品明细表</w:t>
            </w:r>
          </w:p>
        </w:tc>
        <w:tc>
          <w:tcPr>
            <w:tcW w:w="3225" w:type="dxa"/>
            <w:gridSpan w:val="2"/>
            <w:noWrap w:val="0"/>
            <w:vAlign w:val="center"/>
          </w:tcPr>
          <w:p w14:paraId="32BA5D91">
            <w:pPr>
              <w:outlineLvl w:val="9"/>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强制节能 □ 报价：</w:t>
            </w:r>
            <w:r>
              <w:rPr>
                <w:rFonts w:hint="eastAsia" w:ascii="宋体" w:hAnsi="宋体" w:eastAsia="宋体" w:cs="宋体"/>
                <w:color w:val="000000" w:themeColor="text1"/>
                <w:szCs w:val="21"/>
                <w:highlight w:val="none"/>
                <w:u w:val="single"/>
                <w14:textFill>
                  <w14:solidFill>
                    <w14:schemeClr w14:val="tx1"/>
                  </w14:solidFill>
                </w14:textFill>
              </w:rPr>
              <w:t xml:space="preserve">           </w:t>
            </w:r>
          </w:p>
          <w:p w14:paraId="04DB7D49">
            <w:pP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优先采购 □ 报价：</w:t>
            </w:r>
            <w:r>
              <w:rPr>
                <w:rFonts w:hint="eastAsia" w:ascii="宋体" w:hAnsi="宋体" w:eastAsia="宋体" w:cs="宋体"/>
                <w:color w:val="000000" w:themeColor="text1"/>
                <w:szCs w:val="21"/>
                <w:highlight w:val="none"/>
                <w:u w:val="single"/>
                <w14:textFill>
                  <w14:solidFill>
                    <w14:schemeClr w14:val="tx1"/>
                  </w14:solidFill>
                </w14:textFill>
              </w:rPr>
              <w:t xml:space="preserve">            </w:t>
            </w:r>
          </w:p>
        </w:tc>
        <w:tc>
          <w:tcPr>
            <w:tcW w:w="1627" w:type="dxa"/>
            <w:noWrap w:val="0"/>
            <w:vAlign w:val="center"/>
          </w:tcPr>
          <w:p w14:paraId="2B6AE9B3">
            <w:pPr>
              <w:jc w:val="center"/>
              <w:outlineLvl w:val="9"/>
              <w:rPr>
                <w:rFonts w:hint="eastAsia" w:ascii="宋体" w:hAnsi="宋体" w:eastAsia="宋体" w:cs="宋体"/>
                <w:b/>
                <w:bCs/>
                <w:color w:val="000000" w:themeColor="text1"/>
                <w:szCs w:val="21"/>
                <w:highlight w:val="none"/>
                <w14:textFill>
                  <w14:solidFill>
                    <w14:schemeClr w14:val="tx1"/>
                  </w14:solidFill>
                </w14:textFill>
              </w:rPr>
            </w:pPr>
          </w:p>
        </w:tc>
      </w:tr>
      <w:tr w14:paraId="0CFC8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721" w:type="dxa"/>
            <w:noWrap w:val="0"/>
            <w:vAlign w:val="center"/>
          </w:tcPr>
          <w:p w14:paraId="28B567F2">
            <w:pPr>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p>
        </w:tc>
        <w:tc>
          <w:tcPr>
            <w:tcW w:w="4107" w:type="dxa"/>
            <w:gridSpan w:val="2"/>
            <w:noWrap w:val="0"/>
            <w:vAlign w:val="center"/>
          </w:tcPr>
          <w:p w14:paraId="4C01576C">
            <w:pPr>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所投产品由国家确定的认证机构出具的、处于有效期之内的节能产品认证证书</w:t>
            </w:r>
          </w:p>
        </w:tc>
        <w:tc>
          <w:tcPr>
            <w:tcW w:w="3225" w:type="dxa"/>
            <w:gridSpan w:val="2"/>
            <w:noWrap w:val="0"/>
            <w:vAlign w:val="center"/>
          </w:tcPr>
          <w:p w14:paraId="08525B04">
            <w:pP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是否提供 □</w:t>
            </w:r>
          </w:p>
        </w:tc>
        <w:tc>
          <w:tcPr>
            <w:tcW w:w="1627" w:type="dxa"/>
            <w:noWrap w:val="0"/>
            <w:vAlign w:val="center"/>
          </w:tcPr>
          <w:p w14:paraId="03FF0973">
            <w:pPr>
              <w:jc w:val="center"/>
              <w:outlineLvl w:val="9"/>
              <w:rPr>
                <w:rFonts w:hint="eastAsia" w:ascii="宋体" w:hAnsi="宋体" w:eastAsia="宋体" w:cs="宋体"/>
                <w:b/>
                <w:bCs/>
                <w:color w:val="000000" w:themeColor="text1"/>
                <w:szCs w:val="21"/>
                <w:highlight w:val="none"/>
                <w14:textFill>
                  <w14:solidFill>
                    <w14:schemeClr w14:val="tx1"/>
                  </w14:solidFill>
                </w14:textFill>
              </w:rPr>
            </w:pPr>
          </w:p>
        </w:tc>
      </w:tr>
      <w:tr w14:paraId="17BC2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9680" w:type="dxa"/>
            <w:gridSpan w:val="6"/>
            <w:noWrap w:val="0"/>
            <w:vAlign w:val="center"/>
          </w:tcPr>
          <w:p w14:paraId="6D75C68E">
            <w:pPr>
              <w:jc w:val="center"/>
              <w:outlineLvl w:val="9"/>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环保产品</w:t>
            </w:r>
          </w:p>
        </w:tc>
      </w:tr>
      <w:tr w14:paraId="4215B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21" w:type="dxa"/>
            <w:noWrap w:val="0"/>
            <w:vAlign w:val="center"/>
          </w:tcPr>
          <w:p w14:paraId="6632F48F">
            <w:pPr>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4107" w:type="dxa"/>
            <w:gridSpan w:val="2"/>
            <w:noWrap w:val="0"/>
            <w:vAlign w:val="center"/>
          </w:tcPr>
          <w:p w14:paraId="728FEAC3">
            <w:pP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环境标志产品明细表</w:t>
            </w:r>
          </w:p>
        </w:tc>
        <w:tc>
          <w:tcPr>
            <w:tcW w:w="3225" w:type="dxa"/>
            <w:gridSpan w:val="2"/>
            <w:noWrap w:val="0"/>
            <w:vAlign w:val="center"/>
          </w:tcPr>
          <w:p w14:paraId="3976AAE3">
            <w:pP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是否提供 □ 报价：</w:t>
            </w:r>
            <w:r>
              <w:rPr>
                <w:rFonts w:hint="eastAsia" w:ascii="宋体" w:hAnsi="宋体" w:eastAsia="宋体" w:cs="宋体"/>
                <w:color w:val="000000" w:themeColor="text1"/>
                <w:szCs w:val="21"/>
                <w:highlight w:val="none"/>
                <w:u w:val="single"/>
                <w14:textFill>
                  <w14:solidFill>
                    <w14:schemeClr w14:val="tx1"/>
                  </w14:solidFill>
                </w14:textFill>
              </w:rPr>
              <w:t xml:space="preserve">           </w:t>
            </w:r>
          </w:p>
        </w:tc>
        <w:tc>
          <w:tcPr>
            <w:tcW w:w="1627" w:type="dxa"/>
            <w:noWrap w:val="0"/>
            <w:vAlign w:val="center"/>
          </w:tcPr>
          <w:p w14:paraId="18DFE8DF">
            <w:pPr>
              <w:jc w:val="center"/>
              <w:outlineLvl w:val="9"/>
              <w:rPr>
                <w:rFonts w:hint="eastAsia" w:ascii="宋体" w:hAnsi="宋体" w:eastAsia="宋体" w:cs="宋体"/>
                <w:b/>
                <w:bCs/>
                <w:color w:val="000000" w:themeColor="text1"/>
                <w:szCs w:val="21"/>
                <w:highlight w:val="none"/>
                <w14:textFill>
                  <w14:solidFill>
                    <w14:schemeClr w14:val="tx1"/>
                  </w14:solidFill>
                </w14:textFill>
              </w:rPr>
            </w:pPr>
          </w:p>
        </w:tc>
      </w:tr>
      <w:tr w14:paraId="38A68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721" w:type="dxa"/>
            <w:noWrap w:val="0"/>
            <w:vAlign w:val="center"/>
          </w:tcPr>
          <w:p w14:paraId="70AF2254">
            <w:pPr>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p>
        </w:tc>
        <w:tc>
          <w:tcPr>
            <w:tcW w:w="4107" w:type="dxa"/>
            <w:gridSpan w:val="2"/>
            <w:noWrap w:val="0"/>
            <w:vAlign w:val="center"/>
          </w:tcPr>
          <w:p w14:paraId="47136564">
            <w:pP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所投产品由国家确定的认证机构出具的、处于有效期之内的环境标志产品认证证书</w:t>
            </w:r>
          </w:p>
        </w:tc>
        <w:tc>
          <w:tcPr>
            <w:tcW w:w="3225" w:type="dxa"/>
            <w:gridSpan w:val="2"/>
            <w:noWrap w:val="0"/>
            <w:vAlign w:val="center"/>
          </w:tcPr>
          <w:p w14:paraId="67EFD591">
            <w:pP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是否提供 □</w:t>
            </w:r>
          </w:p>
        </w:tc>
        <w:tc>
          <w:tcPr>
            <w:tcW w:w="1627" w:type="dxa"/>
            <w:noWrap w:val="0"/>
            <w:vAlign w:val="center"/>
          </w:tcPr>
          <w:p w14:paraId="135088B1">
            <w:pPr>
              <w:jc w:val="center"/>
              <w:outlineLvl w:val="9"/>
              <w:rPr>
                <w:rFonts w:hint="eastAsia" w:ascii="宋体" w:hAnsi="宋体" w:eastAsia="宋体" w:cs="宋体"/>
                <w:b/>
                <w:bCs/>
                <w:color w:val="000000" w:themeColor="text1"/>
                <w:szCs w:val="21"/>
                <w:highlight w:val="none"/>
                <w14:textFill>
                  <w14:solidFill>
                    <w14:schemeClr w14:val="tx1"/>
                  </w14:solidFill>
                </w14:textFill>
              </w:rPr>
            </w:pPr>
          </w:p>
        </w:tc>
      </w:tr>
      <w:tr w14:paraId="59B14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9680" w:type="dxa"/>
            <w:gridSpan w:val="6"/>
            <w:noWrap w:val="0"/>
            <w:vAlign w:val="center"/>
          </w:tcPr>
          <w:p w14:paraId="6489EF06">
            <w:pPr>
              <w:jc w:val="center"/>
              <w:outlineLvl w:val="9"/>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监狱企业</w:t>
            </w:r>
          </w:p>
        </w:tc>
      </w:tr>
      <w:tr w14:paraId="619A7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744" w:type="dxa"/>
            <w:gridSpan w:val="2"/>
            <w:noWrap w:val="0"/>
            <w:vAlign w:val="center"/>
          </w:tcPr>
          <w:p w14:paraId="17A5852F">
            <w:pPr>
              <w:jc w:val="center"/>
              <w:outlineLvl w:val="9"/>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4084" w:type="dxa"/>
            <w:noWrap w:val="0"/>
            <w:vAlign w:val="center"/>
          </w:tcPr>
          <w:p w14:paraId="5DFF7FC5">
            <w:pPr>
              <w:outlineLvl w:val="9"/>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小型和微型企业、监狱企业、残疾人福利性单位报价说明表</w:t>
            </w:r>
          </w:p>
        </w:tc>
        <w:tc>
          <w:tcPr>
            <w:tcW w:w="3225" w:type="dxa"/>
            <w:gridSpan w:val="2"/>
            <w:noWrap w:val="0"/>
            <w:vAlign w:val="center"/>
          </w:tcPr>
          <w:p w14:paraId="2E221416">
            <w:pPr>
              <w:outlineLvl w:val="9"/>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是否提供 □ 报价：</w:t>
            </w:r>
            <w:r>
              <w:rPr>
                <w:rFonts w:hint="eastAsia" w:ascii="宋体" w:hAnsi="宋体" w:eastAsia="宋体" w:cs="宋体"/>
                <w:color w:val="000000" w:themeColor="text1"/>
                <w:szCs w:val="21"/>
                <w:highlight w:val="none"/>
                <w:u w:val="single"/>
                <w14:textFill>
                  <w14:solidFill>
                    <w14:schemeClr w14:val="tx1"/>
                  </w14:solidFill>
                </w14:textFill>
              </w:rPr>
              <w:t xml:space="preserve">           </w:t>
            </w:r>
          </w:p>
        </w:tc>
        <w:tc>
          <w:tcPr>
            <w:tcW w:w="1627" w:type="dxa"/>
            <w:noWrap w:val="0"/>
            <w:vAlign w:val="center"/>
          </w:tcPr>
          <w:p w14:paraId="1E7DB1FF">
            <w:pPr>
              <w:outlineLvl w:val="9"/>
              <w:rPr>
                <w:rFonts w:hint="eastAsia" w:ascii="宋体" w:hAnsi="宋体" w:eastAsia="宋体" w:cs="宋体"/>
                <w:b/>
                <w:bCs/>
                <w:color w:val="000000" w:themeColor="text1"/>
                <w:szCs w:val="21"/>
                <w:highlight w:val="none"/>
                <w14:textFill>
                  <w14:solidFill>
                    <w14:schemeClr w14:val="tx1"/>
                  </w14:solidFill>
                </w14:textFill>
              </w:rPr>
            </w:pPr>
          </w:p>
        </w:tc>
      </w:tr>
      <w:tr w14:paraId="14CD1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744" w:type="dxa"/>
            <w:gridSpan w:val="2"/>
            <w:noWrap w:val="0"/>
            <w:vAlign w:val="center"/>
          </w:tcPr>
          <w:p w14:paraId="38652A61">
            <w:pPr>
              <w:jc w:val="center"/>
              <w:outlineLvl w:val="9"/>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p>
        </w:tc>
        <w:tc>
          <w:tcPr>
            <w:tcW w:w="4084" w:type="dxa"/>
            <w:noWrap w:val="0"/>
            <w:vAlign w:val="center"/>
          </w:tcPr>
          <w:p w14:paraId="1A5F8DE5">
            <w:pPr>
              <w:outlineLvl w:val="9"/>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监狱企业证明文件</w:t>
            </w:r>
          </w:p>
        </w:tc>
        <w:tc>
          <w:tcPr>
            <w:tcW w:w="3225" w:type="dxa"/>
            <w:gridSpan w:val="2"/>
            <w:noWrap w:val="0"/>
            <w:vAlign w:val="center"/>
          </w:tcPr>
          <w:p w14:paraId="4E329059">
            <w:pPr>
              <w:outlineLvl w:val="9"/>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是否提供 □</w:t>
            </w:r>
          </w:p>
        </w:tc>
        <w:tc>
          <w:tcPr>
            <w:tcW w:w="1627" w:type="dxa"/>
            <w:noWrap w:val="0"/>
            <w:vAlign w:val="center"/>
          </w:tcPr>
          <w:p w14:paraId="62573530">
            <w:pPr>
              <w:outlineLvl w:val="9"/>
              <w:rPr>
                <w:rFonts w:hint="eastAsia" w:ascii="宋体" w:hAnsi="宋体" w:eastAsia="宋体" w:cs="宋体"/>
                <w:b/>
                <w:bCs/>
                <w:color w:val="000000" w:themeColor="text1"/>
                <w:szCs w:val="21"/>
                <w:highlight w:val="none"/>
                <w14:textFill>
                  <w14:solidFill>
                    <w14:schemeClr w14:val="tx1"/>
                  </w14:solidFill>
                </w14:textFill>
              </w:rPr>
            </w:pPr>
          </w:p>
        </w:tc>
      </w:tr>
      <w:tr w14:paraId="2B342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9680" w:type="dxa"/>
            <w:gridSpan w:val="6"/>
            <w:noWrap w:val="0"/>
            <w:vAlign w:val="center"/>
          </w:tcPr>
          <w:p w14:paraId="441EF13A">
            <w:pPr>
              <w:jc w:val="center"/>
              <w:outlineLvl w:val="9"/>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小型和微型企业</w:t>
            </w:r>
          </w:p>
        </w:tc>
      </w:tr>
      <w:tr w14:paraId="2AA8A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721" w:type="dxa"/>
            <w:noWrap w:val="0"/>
            <w:vAlign w:val="center"/>
          </w:tcPr>
          <w:p w14:paraId="3B672875">
            <w:pPr>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4107" w:type="dxa"/>
            <w:gridSpan w:val="2"/>
            <w:noWrap w:val="0"/>
            <w:vAlign w:val="center"/>
          </w:tcPr>
          <w:p w14:paraId="5CB9E75B">
            <w:pPr>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小型和微型企业、监狱企业、残疾人福利性单位报价说明表</w:t>
            </w:r>
          </w:p>
        </w:tc>
        <w:tc>
          <w:tcPr>
            <w:tcW w:w="3225" w:type="dxa"/>
            <w:gridSpan w:val="2"/>
            <w:noWrap w:val="0"/>
            <w:vAlign w:val="center"/>
          </w:tcPr>
          <w:p w14:paraId="5F82C9FF">
            <w:pP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是否提供 □ 报价：</w:t>
            </w:r>
            <w:r>
              <w:rPr>
                <w:rFonts w:hint="eastAsia" w:ascii="宋体" w:hAnsi="宋体" w:eastAsia="宋体" w:cs="宋体"/>
                <w:color w:val="000000" w:themeColor="text1"/>
                <w:szCs w:val="21"/>
                <w:highlight w:val="none"/>
                <w:u w:val="single"/>
                <w14:textFill>
                  <w14:solidFill>
                    <w14:schemeClr w14:val="tx1"/>
                  </w14:solidFill>
                </w14:textFill>
              </w:rPr>
              <w:t xml:space="preserve">           </w:t>
            </w:r>
          </w:p>
        </w:tc>
        <w:tc>
          <w:tcPr>
            <w:tcW w:w="1627" w:type="dxa"/>
            <w:noWrap w:val="0"/>
            <w:vAlign w:val="center"/>
          </w:tcPr>
          <w:p w14:paraId="7684837E">
            <w:pPr>
              <w:jc w:val="center"/>
              <w:outlineLvl w:val="9"/>
              <w:rPr>
                <w:rFonts w:hint="eastAsia" w:ascii="宋体" w:hAnsi="宋体" w:eastAsia="宋体" w:cs="宋体"/>
                <w:color w:val="000000" w:themeColor="text1"/>
                <w:szCs w:val="21"/>
                <w:highlight w:val="none"/>
                <w14:textFill>
                  <w14:solidFill>
                    <w14:schemeClr w14:val="tx1"/>
                  </w14:solidFill>
                </w14:textFill>
              </w:rPr>
            </w:pPr>
          </w:p>
        </w:tc>
      </w:tr>
      <w:tr w14:paraId="06DDC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21" w:type="dxa"/>
            <w:noWrap w:val="0"/>
            <w:vAlign w:val="center"/>
          </w:tcPr>
          <w:p w14:paraId="6B30F191">
            <w:pPr>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p>
        </w:tc>
        <w:tc>
          <w:tcPr>
            <w:tcW w:w="4107" w:type="dxa"/>
            <w:gridSpan w:val="2"/>
            <w:noWrap w:val="0"/>
            <w:vAlign w:val="center"/>
          </w:tcPr>
          <w:p w14:paraId="619459BE">
            <w:pPr>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小微企业声明函</w:t>
            </w:r>
          </w:p>
        </w:tc>
        <w:tc>
          <w:tcPr>
            <w:tcW w:w="3225" w:type="dxa"/>
            <w:gridSpan w:val="2"/>
            <w:noWrap w:val="0"/>
            <w:vAlign w:val="center"/>
          </w:tcPr>
          <w:p w14:paraId="690126C2">
            <w:pP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是否提供 □</w:t>
            </w:r>
          </w:p>
          <w:p w14:paraId="5A194F26">
            <w:pP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小型□  微型□</w:t>
            </w:r>
          </w:p>
        </w:tc>
        <w:tc>
          <w:tcPr>
            <w:tcW w:w="1627" w:type="dxa"/>
            <w:noWrap w:val="0"/>
            <w:vAlign w:val="center"/>
          </w:tcPr>
          <w:p w14:paraId="16571752">
            <w:pPr>
              <w:jc w:val="center"/>
              <w:outlineLvl w:val="9"/>
              <w:rPr>
                <w:rFonts w:hint="eastAsia" w:ascii="宋体" w:hAnsi="宋体" w:eastAsia="宋体" w:cs="宋体"/>
                <w:color w:val="000000" w:themeColor="text1"/>
                <w:szCs w:val="21"/>
                <w:highlight w:val="none"/>
                <w14:textFill>
                  <w14:solidFill>
                    <w14:schemeClr w14:val="tx1"/>
                  </w14:solidFill>
                </w14:textFill>
              </w:rPr>
            </w:pPr>
          </w:p>
        </w:tc>
      </w:tr>
      <w:tr w14:paraId="3A8D3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21" w:type="dxa"/>
            <w:noWrap w:val="0"/>
            <w:vAlign w:val="center"/>
          </w:tcPr>
          <w:p w14:paraId="338CFF43">
            <w:pPr>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p>
        </w:tc>
        <w:tc>
          <w:tcPr>
            <w:tcW w:w="4107" w:type="dxa"/>
            <w:gridSpan w:val="2"/>
            <w:noWrap w:val="0"/>
            <w:vAlign w:val="center"/>
          </w:tcPr>
          <w:p w14:paraId="2F7BA223">
            <w:pPr>
              <w:jc w:val="left"/>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从业人员及年营业收入声明函</w:t>
            </w:r>
          </w:p>
        </w:tc>
        <w:tc>
          <w:tcPr>
            <w:tcW w:w="3225" w:type="dxa"/>
            <w:gridSpan w:val="2"/>
            <w:noWrap w:val="0"/>
            <w:vAlign w:val="center"/>
          </w:tcPr>
          <w:p w14:paraId="1BA6CABE">
            <w:pP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是否提供 □</w:t>
            </w:r>
          </w:p>
        </w:tc>
        <w:tc>
          <w:tcPr>
            <w:tcW w:w="1627" w:type="dxa"/>
            <w:noWrap w:val="0"/>
            <w:vAlign w:val="center"/>
          </w:tcPr>
          <w:p w14:paraId="076074B0">
            <w:pPr>
              <w:jc w:val="center"/>
              <w:outlineLvl w:val="9"/>
              <w:rPr>
                <w:rFonts w:hint="eastAsia" w:ascii="宋体" w:hAnsi="宋体" w:eastAsia="宋体" w:cs="宋体"/>
                <w:color w:val="000000" w:themeColor="text1"/>
                <w:szCs w:val="21"/>
                <w:highlight w:val="none"/>
                <w14:textFill>
                  <w14:solidFill>
                    <w14:schemeClr w14:val="tx1"/>
                  </w14:solidFill>
                </w14:textFill>
              </w:rPr>
            </w:pPr>
          </w:p>
        </w:tc>
      </w:tr>
      <w:tr w14:paraId="22626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21" w:type="dxa"/>
            <w:noWrap w:val="0"/>
            <w:vAlign w:val="center"/>
          </w:tcPr>
          <w:p w14:paraId="4A33F6C7">
            <w:pPr>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w:t>
            </w:r>
          </w:p>
        </w:tc>
        <w:tc>
          <w:tcPr>
            <w:tcW w:w="4107" w:type="dxa"/>
            <w:gridSpan w:val="2"/>
            <w:noWrap w:val="0"/>
            <w:vAlign w:val="center"/>
          </w:tcPr>
          <w:p w14:paraId="0BF20526">
            <w:pPr>
              <w:jc w:val="left"/>
              <w:outlineLvl w:val="9"/>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产品属于其他小型、微型企业的证明文件</w:t>
            </w:r>
          </w:p>
          <w:p w14:paraId="40340B78">
            <w:pPr>
              <w:jc w:val="left"/>
              <w:outlineLvl w:val="9"/>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（如提供其他小型或微型企业制造的产品）</w:t>
            </w:r>
          </w:p>
        </w:tc>
        <w:tc>
          <w:tcPr>
            <w:tcW w:w="3225" w:type="dxa"/>
            <w:gridSpan w:val="2"/>
            <w:noWrap w:val="0"/>
            <w:vAlign w:val="center"/>
          </w:tcPr>
          <w:p w14:paraId="3214E8BC">
            <w:pP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是否提供 □</w:t>
            </w:r>
          </w:p>
        </w:tc>
        <w:tc>
          <w:tcPr>
            <w:tcW w:w="1627" w:type="dxa"/>
            <w:noWrap w:val="0"/>
            <w:vAlign w:val="center"/>
          </w:tcPr>
          <w:p w14:paraId="5FE5527E">
            <w:pPr>
              <w:jc w:val="center"/>
              <w:outlineLvl w:val="9"/>
              <w:rPr>
                <w:rFonts w:hint="eastAsia" w:ascii="宋体" w:hAnsi="宋体" w:eastAsia="宋体" w:cs="宋体"/>
                <w:color w:val="000000" w:themeColor="text1"/>
                <w:szCs w:val="21"/>
                <w:highlight w:val="none"/>
                <w14:textFill>
                  <w14:solidFill>
                    <w14:schemeClr w14:val="tx1"/>
                  </w14:solidFill>
                </w14:textFill>
              </w:rPr>
            </w:pPr>
          </w:p>
        </w:tc>
      </w:tr>
      <w:tr w14:paraId="332D7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9680" w:type="dxa"/>
            <w:gridSpan w:val="6"/>
            <w:noWrap w:val="0"/>
            <w:vAlign w:val="center"/>
          </w:tcPr>
          <w:p w14:paraId="5840ABBD">
            <w:pPr>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残疾人福利性单位</w:t>
            </w:r>
          </w:p>
        </w:tc>
      </w:tr>
      <w:tr w14:paraId="16909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721" w:type="dxa"/>
            <w:noWrap w:val="0"/>
            <w:vAlign w:val="center"/>
          </w:tcPr>
          <w:p w14:paraId="621D9455">
            <w:pPr>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4107" w:type="dxa"/>
            <w:gridSpan w:val="2"/>
            <w:noWrap w:val="0"/>
            <w:vAlign w:val="center"/>
          </w:tcPr>
          <w:p w14:paraId="056545F4">
            <w:pPr>
              <w:outlineLvl w:val="9"/>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小型和微型企业、监狱企业、残疾人福利性单位报价说明表</w:t>
            </w:r>
          </w:p>
        </w:tc>
        <w:tc>
          <w:tcPr>
            <w:tcW w:w="3225" w:type="dxa"/>
            <w:gridSpan w:val="2"/>
            <w:noWrap w:val="0"/>
            <w:vAlign w:val="center"/>
          </w:tcPr>
          <w:p w14:paraId="71ADBCB8">
            <w:pP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是否提供 □ 报价：</w:t>
            </w:r>
            <w:r>
              <w:rPr>
                <w:rFonts w:hint="eastAsia" w:ascii="宋体" w:hAnsi="宋体" w:eastAsia="宋体" w:cs="宋体"/>
                <w:color w:val="000000" w:themeColor="text1"/>
                <w:szCs w:val="21"/>
                <w:highlight w:val="none"/>
                <w:u w:val="single"/>
                <w14:textFill>
                  <w14:solidFill>
                    <w14:schemeClr w14:val="tx1"/>
                  </w14:solidFill>
                </w14:textFill>
              </w:rPr>
              <w:t xml:space="preserve">           </w:t>
            </w:r>
          </w:p>
        </w:tc>
        <w:tc>
          <w:tcPr>
            <w:tcW w:w="1627" w:type="dxa"/>
            <w:noWrap w:val="0"/>
            <w:vAlign w:val="center"/>
          </w:tcPr>
          <w:p w14:paraId="4A9F5677">
            <w:pPr>
              <w:jc w:val="center"/>
              <w:outlineLvl w:val="9"/>
              <w:rPr>
                <w:rFonts w:hint="eastAsia" w:ascii="宋体" w:hAnsi="宋体" w:eastAsia="宋体" w:cs="宋体"/>
                <w:color w:val="000000" w:themeColor="text1"/>
                <w:szCs w:val="21"/>
                <w:highlight w:val="none"/>
                <w14:textFill>
                  <w14:solidFill>
                    <w14:schemeClr w14:val="tx1"/>
                  </w14:solidFill>
                </w14:textFill>
              </w:rPr>
            </w:pPr>
          </w:p>
        </w:tc>
      </w:tr>
      <w:tr w14:paraId="540E8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721" w:type="dxa"/>
            <w:noWrap w:val="0"/>
            <w:vAlign w:val="center"/>
          </w:tcPr>
          <w:p w14:paraId="49668F9D">
            <w:pPr>
              <w:jc w:val="cente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p>
        </w:tc>
        <w:tc>
          <w:tcPr>
            <w:tcW w:w="4107" w:type="dxa"/>
            <w:gridSpan w:val="2"/>
            <w:noWrap w:val="0"/>
            <w:vAlign w:val="center"/>
          </w:tcPr>
          <w:p w14:paraId="299E7F78">
            <w:pPr>
              <w:outlineLvl w:val="9"/>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残疾人福利性单位声明函</w:t>
            </w:r>
          </w:p>
        </w:tc>
        <w:tc>
          <w:tcPr>
            <w:tcW w:w="3225" w:type="dxa"/>
            <w:gridSpan w:val="2"/>
            <w:noWrap w:val="0"/>
            <w:vAlign w:val="center"/>
          </w:tcPr>
          <w:p w14:paraId="38AA30E2">
            <w:pP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是否提供 □</w:t>
            </w:r>
          </w:p>
        </w:tc>
        <w:tc>
          <w:tcPr>
            <w:tcW w:w="1627" w:type="dxa"/>
            <w:noWrap w:val="0"/>
            <w:vAlign w:val="center"/>
          </w:tcPr>
          <w:p w14:paraId="3337A824">
            <w:pPr>
              <w:jc w:val="center"/>
              <w:outlineLvl w:val="9"/>
              <w:rPr>
                <w:rFonts w:hint="eastAsia" w:ascii="宋体" w:hAnsi="宋体" w:eastAsia="宋体" w:cs="宋体"/>
                <w:color w:val="000000" w:themeColor="text1"/>
                <w:szCs w:val="21"/>
                <w:highlight w:val="none"/>
                <w14:textFill>
                  <w14:solidFill>
                    <w14:schemeClr w14:val="tx1"/>
                  </w14:solidFill>
                </w14:textFill>
              </w:rPr>
            </w:pPr>
          </w:p>
        </w:tc>
      </w:tr>
      <w:tr w14:paraId="5FDD1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9680" w:type="dxa"/>
            <w:gridSpan w:val="6"/>
            <w:noWrap w:val="0"/>
            <w:vAlign w:val="center"/>
          </w:tcPr>
          <w:p w14:paraId="52E94F01">
            <w:pP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核验人：                                           </w:t>
            </w:r>
          </w:p>
          <w:p w14:paraId="37EEE518">
            <w:pPr>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委托代理人签字确认：</w:t>
            </w:r>
          </w:p>
        </w:tc>
      </w:tr>
    </w:tbl>
    <w:p w14:paraId="119E2C14">
      <w:pPr>
        <w:spacing w:line="240" w:lineRule="exact"/>
        <w:jc w:val="left"/>
        <w:outlineLvl w:val="9"/>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注：①涉及节能环保产品及监狱、小微企业、</w:t>
      </w:r>
      <w:r>
        <w:rPr>
          <w:rFonts w:hint="eastAsia" w:ascii="宋体" w:hAnsi="宋体" w:eastAsia="宋体" w:cs="宋体"/>
          <w:b/>
          <w:bCs/>
          <w:color w:val="000000" w:themeColor="text1"/>
          <w:szCs w:val="21"/>
          <w:highlight w:val="none"/>
          <w14:textFill>
            <w14:solidFill>
              <w14:schemeClr w14:val="tx1"/>
            </w14:solidFill>
          </w14:textFill>
        </w:rPr>
        <w:t>残疾人福利性单位产品</w:t>
      </w:r>
      <w:r>
        <w:rPr>
          <w:rFonts w:hint="eastAsia" w:ascii="宋体" w:hAnsi="宋体" w:eastAsia="宋体" w:cs="宋体"/>
          <w:b/>
          <w:bCs/>
          <w:color w:val="000000" w:themeColor="text1"/>
          <w:sz w:val="22"/>
          <w:szCs w:val="22"/>
          <w:highlight w:val="none"/>
          <w14:textFill>
            <w14:solidFill>
              <w14:schemeClr w14:val="tx1"/>
            </w14:solidFill>
          </w14:textFill>
        </w:rPr>
        <w:t>投标需填写本表，本表可根据本企业提供资料的情况自行调整或扩展；②本表仅作为方便认定用，不需装订在投标文件内,随投标文件一并提交。</w:t>
      </w:r>
    </w:p>
    <w:p w14:paraId="6AADEAF4">
      <w:pPr>
        <w:spacing w:line="360" w:lineRule="auto"/>
        <w:jc w:val="center"/>
        <w:outlineLvl w:val="9"/>
        <w:rPr>
          <w:rFonts w:hint="eastAsia" w:ascii="宋体" w:hAnsi="宋体" w:eastAsia="宋体" w:cs="宋体"/>
          <w:b/>
          <w:bCs/>
          <w:color w:val="000000" w:themeColor="text1"/>
          <w:sz w:val="24"/>
          <w:szCs w:val="22"/>
          <w:highlight w:val="none"/>
          <w14:textFill>
            <w14:solidFill>
              <w14:schemeClr w14:val="tx1"/>
            </w14:solidFill>
          </w14:textFill>
        </w:rPr>
      </w:pPr>
    </w:p>
    <w:p w14:paraId="7AEA5DA3">
      <w:pPr>
        <w:spacing w:line="360" w:lineRule="auto"/>
        <w:jc w:val="center"/>
        <w:outlineLvl w:val="9"/>
        <w:rPr>
          <w:rFonts w:hint="eastAsia" w:ascii="宋体" w:hAnsi="宋体" w:eastAsia="宋体" w:cs="宋体"/>
          <w:b/>
          <w:bCs/>
          <w:color w:val="000000" w:themeColor="text1"/>
          <w:sz w:val="24"/>
          <w:szCs w:val="22"/>
          <w:highlight w:val="none"/>
          <w14:textFill>
            <w14:solidFill>
              <w14:schemeClr w14:val="tx1"/>
            </w14:solidFill>
          </w14:textFill>
        </w:rPr>
      </w:pPr>
    </w:p>
    <w:p w14:paraId="70271EC1">
      <w:pPr>
        <w:outlineLvl w:val="9"/>
        <w:rPr>
          <w:rFonts w:hint="eastAsia" w:ascii="宋体" w:hAnsi="宋体" w:eastAsia="宋体" w:cs="宋体"/>
          <w:b/>
          <w:color w:val="000000" w:themeColor="text1"/>
          <w:sz w:val="24"/>
          <w:szCs w:val="24"/>
          <w:highlight w:val="none"/>
          <w14:textFill>
            <w14:solidFill>
              <w14:schemeClr w14:val="tx1"/>
            </w14:solidFill>
          </w14:textFill>
        </w:rPr>
      </w:pPr>
    </w:p>
    <w:p w14:paraId="66E006E2">
      <w:pPr>
        <w:spacing w:line="360" w:lineRule="auto"/>
        <w:jc w:val="center"/>
        <w:outlineLvl w:val="9"/>
        <w:rPr>
          <w:rFonts w:hint="eastAsia" w:ascii="宋体" w:hAnsi="宋体" w:eastAsia="宋体" w:cs="宋体"/>
          <w:b/>
          <w:color w:val="000000" w:themeColor="text1"/>
          <w:sz w:val="28"/>
          <w:szCs w:val="28"/>
          <w:highlight w:val="none"/>
          <w14:textFill>
            <w14:solidFill>
              <w14:schemeClr w14:val="tx1"/>
            </w14:solidFill>
          </w14:textFill>
        </w:rPr>
      </w:pPr>
    </w:p>
    <w:p w14:paraId="035C89C7">
      <w:pPr>
        <w:outlineLvl w:val="9"/>
        <w:rPr>
          <w:rFonts w:hint="eastAsia" w:ascii="宋体" w:hAnsi="宋体" w:eastAsia="宋体" w:cs="宋体"/>
          <w:color w:val="000000" w:themeColor="text1"/>
          <w:sz w:val="24"/>
          <w:szCs w:val="16"/>
          <w:highlight w:val="none"/>
          <w14:textFill>
            <w14:solidFill>
              <w14:schemeClr w14:val="tx1"/>
            </w14:solidFill>
          </w14:textFill>
        </w:rPr>
      </w:pPr>
      <w:r>
        <w:rPr>
          <w:rFonts w:hint="eastAsia" w:ascii="宋体" w:hAnsi="宋体" w:eastAsia="宋体" w:cs="宋体"/>
          <w:color w:val="000000" w:themeColor="text1"/>
          <w:sz w:val="24"/>
          <w:szCs w:val="16"/>
          <w:highlight w:val="none"/>
          <w14:textFill>
            <w14:solidFill>
              <w14:schemeClr w14:val="tx1"/>
            </w14:solidFill>
          </w14:textFill>
        </w:rPr>
        <w:t>附件：</w:t>
      </w:r>
    </w:p>
    <w:p w14:paraId="0003F68C">
      <w:pPr>
        <w:spacing w:line="360" w:lineRule="auto"/>
        <w:jc w:val="center"/>
        <w:outlineLvl w:val="9"/>
        <w:rPr>
          <w:rFonts w:hint="eastAsia" w:ascii="宋体" w:hAnsi="宋体" w:eastAsia="宋体" w:cs="宋体"/>
          <w:b/>
          <w:color w:val="000000" w:themeColor="text1"/>
          <w:sz w:val="28"/>
          <w:szCs w:val="28"/>
          <w:highlight w:val="none"/>
          <w14:textFill>
            <w14:solidFill>
              <w14:schemeClr w14:val="tx1"/>
            </w14:solidFill>
          </w14:textFill>
        </w:rPr>
      </w:pPr>
    </w:p>
    <w:p w14:paraId="039439C9">
      <w:pPr>
        <w:spacing w:line="360" w:lineRule="auto"/>
        <w:jc w:val="center"/>
        <w:outlineLvl w:val="9"/>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财政部发展改革委生态环境部市场监管总局</w:t>
      </w:r>
      <w:bookmarkEnd w:id="77"/>
      <w:bookmarkEnd w:id="78"/>
    </w:p>
    <w:p w14:paraId="15B6B3E1">
      <w:pPr>
        <w:spacing w:line="360" w:lineRule="auto"/>
        <w:jc w:val="center"/>
        <w:outlineLvl w:val="9"/>
        <w:rPr>
          <w:rFonts w:hint="eastAsia" w:ascii="宋体" w:hAnsi="宋体" w:eastAsia="宋体" w:cs="宋体"/>
          <w:b/>
          <w:color w:val="000000" w:themeColor="text1"/>
          <w:sz w:val="28"/>
          <w:szCs w:val="28"/>
          <w:highlight w:val="none"/>
          <w14:textFill>
            <w14:solidFill>
              <w14:schemeClr w14:val="tx1"/>
            </w14:solidFill>
          </w14:textFill>
        </w:rPr>
      </w:pPr>
      <w:bookmarkStart w:id="79" w:name="_Toc31203"/>
      <w:bookmarkStart w:id="80" w:name="_Toc6518"/>
      <w:r>
        <w:rPr>
          <w:rFonts w:hint="eastAsia" w:ascii="宋体" w:hAnsi="宋体" w:eastAsia="宋体" w:cs="宋体"/>
          <w:b/>
          <w:color w:val="000000" w:themeColor="text1"/>
          <w:sz w:val="28"/>
          <w:szCs w:val="28"/>
          <w:highlight w:val="none"/>
          <w14:textFill>
            <w14:solidFill>
              <w14:schemeClr w14:val="tx1"/>
            </w14:solidFill>
          </w14:textFill>
        </w:rPr>
        <w:t>关于调整优化节能产品、环境标志产品政府采购执行机制的通知</w:t>
      </w:r>
      <w:bookmarkEnd w:id="79"/>
      <w:bookmarkEnd w:id="80"/>
    </w:p>
    <w:p w14:paraId="5CD4E575">
      <w:pPr>
        <w:pStyle w:val="69"/>
        <w:spacing w:before="302" w:beforeAutospacing="0" w:after="280" w:afterAutospacing="0" w:line="360" w:lineRule="auto"/>
        <w:ind w:left="100"/>
        <w:outlineLvl w:val="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有关中央预算单位，各省、自治区、直辖市、计划单列市财政厅（局）、发展改革委（经信委、工信委、工信厅、经信局）、生态环境厅（局）、市场监管部门，新疆生产建设兵团财政局、发展改革委、工信委、环境保护局、市场监管局：</w:t>
      </w:r>
    </w:p>
    <w:p w14:paraId="72F725AA">
      <w:pPr>
        <w:pStyle w:val="69"/>
        <w:spacing w:before="302" w:beforeAutospacing="0" w:after="280" w:afterAutospacing="0" w:line="360" w:lineRule="auto"/>
        <w:ind w:left="100"/>
        <w:outlineLvl w:val="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　　为落实“放管服”改革要求，完善政府绿色采购政策，简化节能（节水）产品、环境标志产品政府采购执行机制，优化</w:t>
      </w:r>
      <w:r>
        <w:rPr>
          <w:rFonts w:hint="eastAsia" w:cs="宋体"/>
          <w:color w:val="000000" w:themeColor="text1"/>
          <w:szCs w:val="24"/>
          <w:highlight w:val="none"/>
          <w:shd w:val="clear" w:color="auto" w:fill="FFFFFF"/>
          <w:lang w:eastAsia="zh-CN"/>
          <w14:textFill>
            <w14:solidFill>
              <w14:schemeClr w14:val="tx1"/>
            </w14:solidFill>
          </w14:textFill>
        </w:rPr>
        <w:t>投标人</w:t>
      </w:r>
      <w:r>
        <w:rPr>
          <w:rFonts w:hint="eastAsia" w:ascii="宋体" w:hAnsi="宋体" w:eastAsia="宋体" w:cs="宋体"/>
          <w:color w:val="000000" w:themeColor="text1"/>
          <w:szCs w:val="24"/>
          <w:highlight w:val="none"/>
          <w:shd w:val="clear" w:color="auto" w:fill="FFFFFF"/>
          <w14:textFill>
            <w14:solidFill>
              <w14:schemeClr w14:val="tx1"/>
            </w14:solidFill>
          </w14:textFill>
        </w:rPr>
        <w:t>参与政府采购活动的市场环境，现就节能产品、环境标志产品政府采购有关事项通知如下：</w:t>
      </w:r>
    </w:p>
    <w:p w14:paraId="288E57D9">
      <w:pPr>
        <w:pStyle w:val="69"/>
        <w:spacing w:before="302" w:beforeAutospacing="0" w:after="280" w:afterAutospacing="0" w:line="360" w:lineRule="auto"/>
        <w:ind w:left="100"/>
        <w:outlineLvl w:val="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　　一、对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不再发布“节能产品政府采购清单”和“环境标志产品政府采购清单”。</w:t>
      </w:r>
    </w:p>
    <w:p w14:paraId="5693984C">
      <w:pPr>
        <w:pStyle w:val="69"/>
        <w:spacing w:before="302" w:beforeAutospacing="0" w:after="280" w:afterAutospacing="0" w:line="360" w:lineRule="auto"/>
        <w:ind w:left="100"/>
        <w:outlineLvl w:val="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　　二、</w:t>
      </w:r>
      <w:r>
        <w:rPr>
          <w:rFonts w:hint="eastAsia" w:ascii="宋体" w:hAnsi="宋体" w:eastAsia="宋体" w:cs="宋体"/>
          <w:b/>
          <w:bCs/>
          <w:color w:val="000000" w:themeColor="text1"/>
          <w:szCs w:val="24"/>
          <w:highlight w:val="none"/>
          <w:shd w:val="clear" w:color="auto" w:fill="FFFFFF"/>
          <w14:textFill>
            <w14:solidFill>
              <w14:schemeClr w14:val="tx1"/>
            </w14:solidFill>
          </w14:textFill>
        </w:rPr>
        <w:t>依据品目清单和认证证书实施政府优先采购和强制采购</w:t>
      </w:r>
      <w:r>
        <w:rPr>
          <w:rFonts w:hint="eastAsia" w:ascii="宋体" w:hAnsi="宋体" w:eastAsia="宋体" w:cs="宋体"/>
          <w:color w:val="000000" w:themeColor="text1"/>
          <w:szCs w:val="24"/>
          <w:highlight w:val="none"/>
          <w:shd w:val="clear" w:color="auto" w:fill="FFFFFF"/>
          <w14:textFill>
            <w14:solidFill>
              <w14:schemeClr w14:val="tx1"/>
            </w14:solidFill>
          </w14:textFill>
        </w:rPr>
        <w:t>。</w:t>
      </w:r>
      <w:r>
        <w:rPr>
          <w:rFonts w:hint="eastAsia" w:cs="宋体"/>
          <w:color w:val="000000" w:themeColor="text1"/>
          <w:szCs w:val="24"/>
          <w:highlight w:val="none"/>
          <w:shd w:val="clear" w:color="auto" w:fill="FFFFFF"/>
          <w:lang w:eastAsia="zh-CN"/>
          <w14:textFill>
            <w14:solidFill>
              <w14:schemeClr w14:val="tx1"/>
            </w14:solidFill>
          </w14:textFill>
        </w:rPr>
        <w:t>招标人</w:t>
      </w:r>
      <w:r>
        <w:rPr>
          <w:rFonts w:hint="eastAsia" w:ascii="宋体" w:hAnsi="宋体" w:eastAsia="宋体" w:cs="宋体"/>
          <w:color w:val="000000" w:themeColor="text1"/>
          <w:szCs w:val="24"/>
          <w:highlight w:val="none"/>
          <w:shd w:val="clear" w:color="auto" w:fill="FFFFFF"/>
          <w14:textFill>
            <w14:solidFill>
              <w14:schemeClr w14:val="tx1"/>
            </w14:solidFill>
          </w14:textFill>
        </w:rPr>
        <w:t>拟采购的产品属于品目清单范围的，</w:t>
      </w:r>
      <w:r>
        <w:rPr>
          <w:rFonts w:hint="eastAsia" w:cs="宋体"/>
          <w:color w:val="000000" w:themeColor="text1"/>
          <w:szCs w:val="24"/>
          <w:highlight w:val="none"/>
          <w:shd w:val="clear" w:color="auto" w:fill="FFFFFF"/>
          <w:lang w:eastAsia="zh-CN"/>
          <w14:textFill>
            <w14:solidFill>
              <w14:schemeClr w14:val="tx1"/>
            </w14:solidFill>
          </w14:textFill>
        </w:rPr>
        <w:t>招标人</w:t>
      </w:r>
      <w:r>
        <w:rPr>
          <w:rFonts w:hint="eastAsia" w:ascii="宋体" w:hAnsi="宋体" w:eastAsia="宋体" w:cs="宋体"/>
          <w:color w:val="000000" w:themeColor="text1"/>
          <w:szCs w:val="24"/>
          <w:highlight w:val="none"/>
          <w:shd w:val="clear" w:color="auto" w:fill="FFFFFF"/>
          <w14:textFill>
            <w14:solidFill>
              <w14:schemeClr w14:val="tx1"/>
            </w14:solidFill>
          </w14:textFill>
        </w:rPr>
        <w:t>及其委托的</w:t>
      </w:r>
      <w:r>
        <w:rPr>
          <w:rFonts w:hint="eastAsia" w:cs="宋体"/>
          <w:color w:val="000000" w:themeColor="text1"/>
          <w:szCs w:val="24"/>
          <w:highlight w:val="none"/>
          <w:shd w:val="clear" w:color="auto" w:fill="FFFFFF"/>
          <w:lang w:eastAsia="zh-CN"/>
          <w14:textFill>
            <w14:solidFill>
              <w14:schemeClr w14:val="tx1"/>
            </w14:solidFill>
          </w14:textFill>
        </w:rPr>
        <w:t>招标代理机构</w:t>
      </w:r>
      <w:r>
        <w:rPr>
          <w:rFonts w:hint="eastAsia" w:ascii="宋体" w:hAnsi="宋体" w:eastAsia="宋体" w:cs="宋体"/>
          <w:color w:val="000000" w:themeColor="text1"/>
          <w:szCs w:val="24"/>
          <w:highlight w:val="none"/>
          <w:shd w:val="clear" w:color="auto" w:fill="FFFFFF"/>
          <w14:textFill>
            <w14:solidFill>
              <w14:schemeClr w14:val="tx1"/>
            </w14:solidFill>
          </w14:textFill>
        </w:rPr>
        <w:t>应当依据国家确定的认证机构出具的、处于有效期之内的节能产品、环境标志产品认证证书，对获得证书的产品实施政府优先采购或强制采购。</w:t>
      </w:r>
    </w:p>
    <w:p w14:paraId="6513B1BE">
      <w:pPr>
        <w:pStyle w:val="69"/>
        <w:spacing w:before="302" w:beforeAutospacing="0" w:after="280" w:afterAutospacing="0" w:line="360" w:lineRule="auto"/>
        <w:ind w:left="100"/>
        <w:outlineLvl w:val="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　　三、逐步扩大节能产品、环境标志产品认证机构范围。根据认证机构发展状况，市场监管总局商有关部门按照试点先行、逐步放开、有序竞争的原则，逐步增加实施节能产品、环境标志产品认证的机构。加强对相关认证市场监管力度，推行“双随机、一公开”监管，建立认证机构信用监管机制，严厉打击认证违法行为。</w:t>
      </w:r>
    </w:p>
    <w:p w14:paraId="590D68C1">
      <w:pPr>
        <w:pStyle w:val="69"/>
        <w:spacing w:before="302" w:beforeAutospacing="0" w:after="280" w:afterAutospacing="0" w:line="360" w:lineRule="auto"/>
        <w:ind w:left="100"/>
        <w:outlineLvl w:val="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　　四、发布认证机构和获证产品信息。市场监管总局组织建立节能产品、环境标志产品认证结果信息发布平台，公布相关认证机构和获证产品信息。节能产品、环境标志产品认证机构应当建立健全数据共享机制，及时向认证结果信息发布平台提供相关信息。中国政府采购网（www.ccgp.gov.cn）建立与认证结果信息发布平台的链接，方便</w:t>
      </w:r>
      <w:r>
        <w:rPr>
          <w:rFonts w:hint="eastAsia" w:cs="宋体"/>
          <w:color w:val="000000" w:themeColor="text1"/>
          <w:szCs w:val="24"/>
          <w:highlight w:val="none"/>
          <w:shd w:val="clear" w:color="auto" w:fill="FFFFFF"/>
          <w:lang w:eastAsia="zh-CN"/>
          <w14:textFill>
            <w14:solidFill>
              <w14:schemeClr w14:val="tx1"/>
            </w14:solidFill>
          </w14:textFill>
        </w:rPr>
        <w:t>招标人</w:t>
      </w:r>
      <w:r>
        <w:rPr>
          <w:rFonts w:hint="eastAsia" w:ascii="宋体" w:hAnsi="宋体" w:eastAsia="宋体" w:cs="宋体"/>
          <w:color w:val="000000" w:themeColor="text1"/>
          <w:szCs w:val="24"/>
          <w:highlight w:val="none"/>
          <w:shd w:val="clear" w:color="auto" w:fill="FFFFFF"/>
          <w14:textFill>
            <w14:solidFill>
              <w14:schemeClr w14:val="tx1"/>
            </w14:solidFill>
          </w14:textFill>
        </w:rPr>
        <w:t>和</w:t>
      </w:r>
      <w:r>
        <w:rPr>
          <w:rFonts w:hint="eastAsia" w:cs="宋体"/>
          <w:color w:val="000000" w:themeColor="text1"/>
          <w:szCs w:val="24"/>
          <w:highlight w:val="none"/>
          <w:shd w:val="clear" w:color="auto" w:fill="FFFFFF"/>
          <w:lang w:eastAsia="zh-CN"/>
          <w14:textFill>
            <w14:solidFill>
              <w14:schemeClr w14:val="tx1"/>
            </w14:solidFill>
          </w14:textFill>
        </w:rPr>
        <w:t>招标代理机构</w:t>
      </w:r>
      <w:r>
        <w:rPr>
          <w:rFonts w:hint="eastAsia" w:ascii="宋体" w:hAnsi="宋体" w:eastAsia="宋体" w:cs="宋体"/>
          <w:color w:val="000000" w:themeColor="text1"/>
          <w:szCs w:val="24"/>
          <w:highlight w:val="none"/>
          <w:shd w:val="clear" w:color="auto" w:fill="FFFFFF"/>
          <w14:textFill>
            <w14:solidFill>
              <w14:schemeClr w14:val="tx1"/>
            </w14:solidFill>
          </w14:textFill>
        </w:rPr>
        <w:t>查询、了解认证机构和获证产品相关情况。</w:t>
      </w:r>
    </w:p>
    <w:p w14:paraId="1ACEA122">
      <w:pPr>
        <w:pStyle w:val="69"/>
        <w:spacing w:before="302" w:beforeAutospacing="0" w:after="280" w:afterAutospacing="0" w:line="360" w:lineRule="auto"/>
        <w:ind w:left="100"/>
        <w:outlineLvl w:val="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　　五、加大政府绿色采购力度。对于已列入品目清单的产品类别，</w:t>
      </w:r>
      <w:r>
        <w:rPr>
          <w:rFonts w:hint="eastAsia" w:cs="宋体"/>
          <w:color w:val="000000" w:themeColor="text1"/>
          <w:szCs w:val="24"/>
          <w:highlight w:val="none"/>
          <w:shd w:val="clear" w:color="auto" w:fill="FFFFFF"/>
          <w:lang w:eastAsia="zh-CN"/>
          <w14:textFill>
            <w14:solidFill>
              <w14:schemeClr w14:val="tx1"/>
            </w14:solidFill>
          </w14:textFill>
        </w:rPr>
        <w:t>招标人</w:t>
      </w:r>
      <w:r>
        <w:rPr>
          <w:rFonts w:hint="eastAsia" w:ascii="宋体" w:hAnsi="宋体" w:eastAsia="宋体" w:cs="宋体"/>
          <w:color w:val="000000" w:themeColor="text1"/>
          <w:szCs w:val="24"/>
          <w:highlight w:val="none"/>
          <w:shd w:val="clear" w:color="auto" w:fill="FFFFFF"/>
          <w14:textFill>
            <w14:solidFill>
              <w14:schemeClr w14:val="tx1"/>
            </w14:solidFill>
          </w14:textFill>
        </w:rPr>
        <w:t>可在采购需求中提出更高的节约资源和保护环境要求，对符合条件的获证产品给予优先待遇。对于未列入品目清单的产品类别，鼓励</w:t>
      </w:r>
      <w:r>
        <w:rPr>
          <w:rFonts w:hint="eastAsia" w:cs="宋体"/>
          <w:color w:val="000000" w:themeColor="text1"/>
          <w:szCs w:val="24"/>
          <w:highlight w:val="none"/>
          <w:shd w:val="clear" w:color="auto" w:fill="FFFFFF"/>
          <w:lang w:eastAsia="zh-CN"/>
          <w14:textFill>
            <w14:solidFill>
              <w14:schemeClr w14:val="tx1"/>
            </w14:solidFill>
          </w14:textFill>
        </w:rPr>
        <w:t>招标人</w:t>
      </w:r>
      <w:r>
        <w:rPr>
          <w:rFonts w:hint="eastAsia" w:ascii="宋体" w:hAnsi="宋体" w:eastAsia="宋体" w:cs="宋体"/>
          <w:color w:val="000000" w:themeColor="text1"/>
          <w:szCs w:val="24"/>
          <w:highlight w:val="none"/>
          <w:shd w:val="clear" w:color="auto" w:fill="FFFFFF"/>
          <w14:textFill>
            <w14:solidFill>
              <w14:schemeClr w14:val="tx1"/>
            </w14:solidFill>
          </w14:textFill>
        </w:rPr>
        <w:t>综合考虑节能、节水、环保、循环、低碳、再生、有机等因素，参考相关国家标准、行业标准或团体标准，在采购需求中提出相关绿色采购要求，促进绿色产品推广应用。</w:t>
      </w:r>
    </w:p>
    <w:p w14:paraId="35A156CB">
      <w:pPr>
        <w:pStyle w:val="69"/>
        <w:spacing w:before="302" w:beforeAutospacing="0" w:after="280" w:afterAutospacing="0" w:line="360" w:lineRule="auto"/>
        <w:ind w:left="100"/>
        <w:outlineLvl w:val="9"/>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　　六、本通知自20</w:t>
      </w:r>
      <w:r>
        <w:rPr>
          <w:rFonts w:hint="eastAsia" w:ascii="宋体" w:hAnsi="宋体" w:eastAsia="宋体" w:cs="宋体"/>
          <w:color w:val="000000" w:themeColor="text1"/>
          <w:szCs w:val="24"/>
          <w:highlight w:val="none"/>
          <w:shd w:val="clear" w:color="auto" w:fill="FFFFFF"/>
          <w:lang w:val="en-US" w:eastAsia="zh-CN"/>
          <w14:textFill>
            <w14:solidFill>
              <w14:schemeClr w14:val="tx1"/>
            </w14:solidFill>
          </w14:textFill>
        </w:rPr>
        <w:t>19</w:t>
      </w:r>
      <w:r>
        <w:rPr>
          <w:rFonts w:hint="eastAsia" w:ascii="宋体" w:hAnsi="宋体" w:eastAsia="宋体" w:cs="宋体"/>
          <w:color w:val="000000" w:themeColor="text1"/>
          <w:szCs w:val="24"/>
          <w:highlight w:val="none"/>
          <w:shd w:val="clear" w:color="auto" w:fill="FFFFFF"/>
          <w14:textFill>
            <w14:solidFill>
              <w14:schemeClr w14:val="tx1"/>
            </w14:solidFill>
          </w14:textFill>
        </w:rPr>
        <w:t>年</w:t>
      </w:r>
      <w:r>
        <w:rPr>
          <w:rFonts w:hint="eastAsia" w:ascii="宋体" w:hAnsi="宋体" w:eastAsia="宋体" w:cs="宋体"/>
          <w:color w:val="000000" w:themeColor="text1"/>
          <w:szCs w:val="24"/>
          <w:highlight w:val="none"/>
          <w:shd w:val="clear" w:color="auto" w:fill="FFFFFF"/>
          <w:lang w:val="en-US" w:eastAsia="zh-CN"/>
          <w14:textFill>
            <w14:solidFill>
              <w14:schemeClr w14:val="tx1"/>
            </w14:solidFill>
          </w14:textFill>
        </w:rPr>
        <w:t>4</w:t>
      </w:r>
      <w:r>
        <w:rPr>
          <w:rFonts w:hint="eastAsia" w:ascii="宋体" w:hAnsi="宋体" w:eastAsia="宋体" w:cs="宋体"/>
          <w:color w:val="000000" w:themeColor="text1"/>
          <w:szCs w:val="24"/>
          <w:highlight w:val="none"/>
          <w:shd w:val="clear" w:color="auto" w:fill="FFFFFF"/>
          <w14:textFill>
            <w14:solidFill>
              <w14:schemeClr w14:val="tx1"/>
            </w14:solidFill>
          </w14:textFill>
        </w:rPr>
        <w:t>月1日起执行。《财政部 生态环境部关于调整公布第二十二期环境标志产品政府采购清单的通知》（财库〔2018〕70号）和《财政部 国家发展改革委关于调整公布第二十四期节能产品政府采购清单的通知》（财库〔2018〕73号）同时停止执行。</w:t>
      </w:r>
    </w:p>
    <w:p w14:paraId="6977C175">
      <w:pPr>
        <w:pStyle w:val="69"/>
        <w:spacing w:before="302" w:beforeAutospacing="0" w:afterAutospacing="0" w:line="360" w:lineRule="auto"/>
        <w:ind w:left="100"/>
        <w:jc w:val="right"/>
        <w:outlineLvl w:val="9"/>
        <w:rPr>
          <w:rFonts w:hint="eastAsia" w:ascii="宋体" w:hAnsi="宋体" w:eastAsia="宋体" w:cs="宋体"/>
          <w:color w:val="000000" w:themeColor="text1"/>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财政部 发展改革委 生态环境部 市场监管总局</w:t>
      </w:r>
    </w:p>
    <w:p w14:paraId="5B895B45">
      <w:pPr>
        <w:pStyle w:val="69"/>
        <w:spacing w:before="302" w:beforeAutospacing="0" w:afterAutospacing="0" w:line="360" w:lineRule="auto"/>
        <w:ind w:left="100"/>
        <w:jc w:val="right"/>
        <w:outlineLvl w:val="9"/>
        <w:rPr>
          <w:rFonts w:hint="eastAsia" w:ascii="宋体" w:hAnsi="宋体" w:eastAsia="宋体" w:cs="宋体"/>
          <w:color w:val="000000" w:themeColor="text1"/>
          <w:szCs w:val="24"/>
          <w:highlight w:val="none"/>
          <w:shd w:val="clear" w:color="auto" w:fill="FFFFFF"/>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20</w:t>
      </w:r>
      <w:r>
        <w:rPr>
          <w:rFonts w:hint="eastAsia" w:ascii="宋体" w:hAnsi="宋体" w:eastAsia="宋体" w:cs="宋体"/>
          <w:color w:val="000000" w:themeColor="text1"/>
          <w:szCs w:val="24"/>
          <w:highlight w:val="none"/>
          <w:shd w:val="clear" w:color="auto" w:fill="FFFFFF"/>
          <w:lang w:val="en-US" w:eastAsia="zh-CN"/>
          <w14:textFill>
            <w14:solidFill>
              <w14:schemeClr w14:val="tx1"/>
            </w14:solidFill>
          </w14:textFill>
        </w:rPr>
        <w:t>19</w:t>
      </w:r>
      <w:r>
        <w:rPr>
          <w:rFonts w:hint="eastAsia" w:ascii="宋体" w:hAnsi="宋体" w:eastAsia="宋体" w:cs="宋体"/>
          <w:color w:val="000000" w:themeColor="text1"/>
          <w:szCs w:val="24"/>
          <w:highlight w:val="none"/>
          <w:shd w:val="clear" w:color="auto" w:fill="FFFFFF"/>
          <w14:textFill>
            <w14:solidFill>
              <w14:schemeClr w14:val="tx1"/>
            </w14:solidFill>
          </w14:textFill>
        </w:rPr>
        <w:t>年2月1日</w:t>
      </w:r>
    </w:p>
    <w:p w14:paraId="06AAEF27">
      <w:pPr>
        <w:pStyle w:val="69"/>
        <w:spacing w:before="302" w:beforeAutospacing="0" w:afterAutospacing="0" w:line="560" w:lineRule="atLeast"/>
        <w:ind w:left="100"/>
        <w:jc w:val="right"/>
        <w:outlineLvl w:val="9"/>
        <w:rPr>
          <w:rFonts w:hint="eastAsia" w:ascii="宋体" w:hAnsi="宋体" w:eastAsia="宋体" w:cs="宋体"/>
          <w:color w:val="000000" w:themeColor="text1"/>
          <w:sz w:val="28"/>
          <w:szCs w:val="28"/>
          <w:highlight w:val="none"/>
          <w:shd w:val="clear" w:color="auto" w:fill="FFFFFF"/>
          <w14:textFill>
            <w14:solidFill>
              <w14:schemeClr w14:val="tx1"/>
            </w14:solidFill>
          </w14:textFill>
        </w:rPr>
      </w:pPr>
    </w:p>
    <w:p w14:paraId="6C7821EA">
      <w:pPr>
        <w:pStyle w:val="69"/>
        <w:spacing w:before="302" w:beforeAutospacing="0" w:afterAutospacing="0" w:line="560" w:lineRule="atLeast"/>
        <w:ind w:left="100"/>
        <w:jc w:val="right"/>
        <w:outlineLvl w:val="9"/>
        <w:rPr>
          <w:rFonts w:hint="eastAsia" w:ascii="宋体" w:hAnsi="宋体" w:eastAsia="宋体" w:cs="宋体"/>
          <w:color w:val="000000" w:themeColor="text1"/>
          <w:sz w:val="28"/>
          <w:szCs w:val="28"/>
          <w:highlight w:val="none"/>
          <w:shd w:val="clear" w:color="auto" w:fill="FFFFFF"/>
          <w14:textFill>
            <w14:solidFill>
              <w14:schemeClr w14:val="tx1"/>
            </w14:solidFill>
          </w14:textFill>
        </w:rPr>
      </w:pPr>
    </w:p>
    <w:p w14:paraId="5986924B">
      <w:pPr>
        <w:pStyle w:val="69"/>
        <w:spacing w:before="302" w:beforeAutospacing="0" w:afterAutospacing="0" w:line="560" w:lineRule="atLeast"/>
        <w:ind w:left="100"/>
        <w:jc w:val="right"/>
        <w:outlineLvl w:val="9"/>
        <w:rPr>
          <w:rFonts w:hint="eastAsia" w:ascii="宋体" w:hAnsi="宋体" w:eastAsia="宋体" w:cs="宋体"/>
          <w:color w:val="000000" w:themeColor="text1"/>
          <w:sz w:val="28"/>
          <w:szCs w:val="28"/>
          <w:highlight w:val="none"/>
          <w:shd w:val="clear" w:color="auto" w:fill="FFFFFF"/>
          <w14:textFill>
            <w14:solidFill>
              <w14:schemeClr w14:val="tx1"/>
            </w14:solidFill>
          </w14:textFill>
        </w:rPr>
      </w:pPr>
    </w:p>
    <w:p w14:paraId="55CB6A22">
      <w:pPr>
        <w:pStyle w:val="69"/>
        <w:spacing w:before="302" w:beforeAutospacing="0" w:afterAutospacing="0" w:line="560" w:lineRule="atLeast"/>
        <w:ind w:left="100"/>
        <w:jc w:val="right"/>
        <w:outlineLvl w:val="9"/>
        <w:rPr>
          <w:rFonts w:hint="eastAsia" w:ascii="宋体" w:hAnsi="宋体" w:eastAsia="宋体" w:cs="宋体"/>
          <w:color w:val="000000" w:themeColor="text1"/>
          <w:sz w:val="28"/>
          <w:szCs w:val="28"/>
          <w:highlight w:val="none"/>
          <w:shd w:val="clear" w:color="auto" w:fill="FFFFFF"/>
          <w14:textFill>
            <w14:solidFill>
              <w14:schemeClr w14:val="tx1"/>
            </w14:solidFill>
          </w14:textFill>
        </w:rPr>
      </w:pPr>
    </w:p>
    <w:p w14:paraId="1EDBD1ED">
      <w:pPr>
        <w:pStyle w:val="69"/>
        <w:spacing w:before="302" w:beforeAutospacing="0" w:afterAutospacing="0" w:line="560" w:lineRule="atLeast"/>
        <w:ind w:left="100"/>
        <w:jc w:val="right"/>
        <w:outlineLvl w:val="9"/>
        <w:rPr>
          <w:rFonts w:hint="eastAsia" w:ascii="宋体" w:hAnsi="宋体" w:eastAsia="宋体" w:cs="宋体"/>
          <w:color w:val="000000" w:themeColor="text1"/>
          <w:sz w:val="28"/>
          <w:szCs w:val="28"/>
          <w:highlight w:val="none"/>
          <w:shd w:val="clear" w:color="auto" w:fill="FFFFFF"/>
          <w14:textFill>
            <w14:solidFill>
              <w14:schemeClr w14:val="tx1"/>
            </w14:solidFill>
          </w14:textFill>
        </w:rPr>
      </w:pPr>
    </w:p>
    <w:p w14:paraId="01E50F4B">
      <w:pPr>
        <w:outlineLvl w:val="9"/>
        <w:rPr>
          <w:rFonts w:hint="eastAsia" w:ascii="宋体" w:hAnsi="宋体" w:eastAsia="宋体" w:cs="宋体"/>
          <w:color w:val="000000" w:themeColor="text1"/>
          <w:sz w:val="24"/>
          <w:szCs w:val="16"/>
          <w:highlight w:val="none"/>
          <w14:textFill>
            <w14:solidFill>
              <w14:schemeClr w14:val="tx1"/>
            </w14:solidFill>
          </w14:textFill>
        </w:rPr>
      </w:pPr>
    </w:p>
    <w:p w14:paraId="6AD4536F">
      <w:pPr>
        <w:outlineLvl w:val="9"/>
        <w:rPr>
          <w:rFonts w:hint="eastAsia" w:ascii="宋体" w:hAnsi="宋体" w:eastAsia="宋体" w:cs="宋体"/>
          <w:color w:val="000000" w:themeColor="text1"/>
          <w:sz w:val="24"/>
          <w:szCs w:val="16"/>
          <w:highlight w:val="none"/>
          <w14:textFill>
            <w14:solidFill>
              <w14:schemeClr w14:val="tx1"/>
            </w14:solidFill>
          </w14:textFill>
        </w:rPr>
      </w:pPr>
    </w:p>
    <w:p w14:paraId="49A20607">
      <w:pPr>
        <w:outlineLvl w:val="9"/>
        <w:rPr>
          <w:rFonts w:hint="eastAsia" w:ascii="宋体" w:hAnsi="宋体" w:eastAsia="宋体" w:cs="宋体"/>
          <w:color w:val="000000" w:themeColor="text1"/>
          <w:sz w:val="24"/>
          <w:szCs w:val="16"/>
          <w:highlight w:val="none"/>
          <w14:textFill>
            <w14:solidFill>
              <w14:schemeClr w14:val="tx1"/>
            </w14:solidFill>
          </w14:textFill>
        </w:rPr>
      </w:pPr>
    </w:p>
    <w:p w14:paraId="620AFDE4">
      <w:pPr>
        <w:outlineLvl w:val="9"/>
        <w:rPr>
          <w:rFonts w:hint="eastAsia" w:ascii="宋体" w:hAnsi="宋体" w:eastAsia="宋体" w:cs="宋体"/>
          <w:color w:val="000000" w:themeColor="text1"/>
          <w:sz w:val="24"/>
          <w:szCs w:val="16"/>
          <w:highlight w:val="none"/>
          <w14:textFill>
            <w14:solidFill>
              <w14:schemeClr w14:val="tx1"/>
            </w14:solidFill>
          </w14:textFill>
        </w:rPr>
      </w:pPr>
    </w:p>
    <w:p w14:paraId="65FC64C1">
      <w:pPr>
        <w:outlineLvl w:val="9"/>
        <w:rPr>
          <w:rFonts w:hint="eastAsia" w:ascii="宋体" w:hAnsi="宋体" w:eastAsia="宋体" w:cs="宋体"/>
          <w:color w:val="000000" w:themeColor="text1"/>
          <w:sz w:val="24"/>
          <w:szCs w:val="16"/>
          <w:highlight w:val="none"/>
          <w14:textFill>
            <w14:solidFill>
              <w14:schemeClr w14:val="tx1"/>
            </w14:solidFill>
          </w14:textFill>
        </w:rPr>
      </w:pPr>
      <w:r>
        <w:rPr>
          <w:rFonts w:hint="eastAsia" w:ascii="宋体" w:hAnsi="宋体" w:eastAsia="宋体" w:cs="宋体"/>
          <w:color w:val="000000" w:themeColor="text1"/>
          <w:sz w:val="24"/>
          <w:szCs w:val="16"/>
          <w:highlight w:val="none"/>
          <w14:textFill>
            <w14:solidFill>
              <w14:schemeClr w14:val="tx1"/>
            </w14:solidFill>
          </w14:textFill>
        </w:rPr>
        <w:br w:type="page"/>
      </w:r>
    </w:p>
    <w:p w14:paraId="5309EEEF">
      <w:pPr>
        <w:outlineLvl w:val="9"/>
        <w:rPr>
          <w:rFonts w:hint="eastAsia" w:ascii="宋体" w:hAnsi="宋体" w:eastAsia="宋体" w:cs="宋体"/>
          <w:color w:val="000000" w:themeColor="text1"/>
          <w:sz w:val="24"/>
          <w:szCs w:val="16"/>
          <w:highlight w:val="none"/>
          <w14:textFill>
            <w14:solidFill>
              <w14:schemeClr w14:val="tx1"/>
            </w14:solidFill>
          </w14:textFill>
        </w:rPr>
      </w:pPr>
      <w:r>
        <w:rPr>
          <w:rFonts w:hint="eastAsia" w:ascii="宋体" w:hAnsi="宋体" w:eastAsia="宋体" w:cs="宋体"/>
          <w:color w:val="000000" w:themeColor="text1"/>
          <w:sz w:val="24"/>
          <w:szCs w:val="16"/>
          <w:highlight w:val="none"/>
          <w14:textFill>
            <w14:solidFill>
              <w14:schemeClr w14:val="tx1"/>
            </w14:solidFill>
          </w14:textFill>
        </w:rPr>
        <w:t>附件：</w:t>
      </w:r>
    </w:p>
    <w:p w14:paraId="1B177A83">
      <w:pPr>
        <w:spacing w:line="360" w:lineRule="auto"/>
        <w:jc w:val="center"/>
        <w:outlineLvl w:val="9"/>
        <w:rPr>
          <w:rFonts w:hint="eastAsia" w:ascii="宋体" w:hAnsi="宋体" w:eastAsia="宋体" w:cs="宋体"/>
          <w:b/>
          <w:bCs/>
          <w:color w:val="000000" w:themeColor="text1"/>
          <w:sz w:val="24"/>
          <w:highlight w:val="none"/>
          <w14:textFill>
            <w14:solidFill>
              <w14:schemeClr w14:val="tx1"/>
            </w14:solidFill>
          </w14:textFill>
        </w:rPr>
      </w:pPr>
    </w:p>
    <w:p w14:paraId="2C37D1B3">
      <w:pPr>
        <w:spacing w:line="360" w:lineRule="auto"/>
        <w:jc w:val="center"/>
        <w:outlineLvl w:val="9"/>
        <w:rPr>
          <w:rFonts w:hint="eastAsia" w:ascii="宋体" w:hAnsi="宋体" w:eastAsia="宋体" w:cs="宋体"/>
          <w:b/>
          <w:bCs/>
          <w:color w:val="000000" w:themeColor="text1"/>
          <w:sz w:val="24"/>
          <w:highlight w:val="none"/>
          <w14:textFill>
            <w14:solidFill>
              <w14:schemeClr w14:val="tx1"/>
            </w14:solidFill>
          </w14:textFill>
        </w:rPr>
      </w:pPr>
      <w:bookmarkStart w:id="81" w:name="_Toc29387"/>
      <w:bookmarkStart w:id="82" w:name="_Toc13678"/>
      <w:r>
        <w:rPr>
          <w:rFonts w:hint="eastAsia" w:ascii="宋体" w:hAnsi="宋体" w:eastAsia="宋体" w:cs="宋体"/>
          <w:b/>
          <w:bCs/>
          <w:color w:val="000000" w:themeColor="text1"/>
          <w:sz w:val="24"/>
          <w:highlight w:val="none"/>
          <w14:textFill>
            <w14:solidFill>
              <w14:schemeClr w14:val="tx1"/>
            </w14:solidFill>
          </w14:textFill>
        </w:rPr>
        <w:t>关于印发中小企业划型标准规定的通知</w:t>
      </w:r>
      <w:bookmarkEnd w:id="81"/>
      <w:bookmarkEnd w:id="82"/>
    </w:p>
    <w:p w14:paraId="59C1DF7A">
      <w:pPr>
        <w:spacing w:line="360" w:lineRule="auto"/>
        <w:jc w:val="center"/>
        <w:outlineLvl w:val="9"/>
        <w:rPr>
          <w:rFonts w:hint="eastAsia" w:ascii="宋体" w:hAnsi="宋体" w:eastAsia="宋体" w:cs="宋体"/>
          <w:b/>
          <w:bCs/>
          <w:color w:val="000000" w:themeColor="text1"/>
          <w:sz w:val="24"/>
          <w:highlight w:val="none"/>
          <w14:textFill>
            <w14:solidFill>
              <w14:schemeClr w14:val="tx1"/>
            </w14:solidFill>
          </w14:textFill>
        </w:rPr>
      </w:pPr>
      <w:bookmarkStart w:id="83" w:name="_Toc24559"/>
      <w:bookmarkStart w:id="84" w:name="_Toc4540"/>
      <w:r>
        <w:rPr>
          <w:rFonts w:hint="eastAsia" w:ascii="宋体" w:hAnsi="宋体" w:eastAsia="宋体" w:cs="宋体"/>
          <w:b/>
          <w:bCs/>
          <w:color w:val="000000" w:themeColor="text1"/>
          <w:sz w:val="24"/>
          <w:highlight w:val="none"/>
          <w14:textFill>
            <w14:solidFill>
              <w14:schemeClr w14:val="tx1"/>
            </w14:solidFill>
          </w14:textFill>
        </w:rPr>
        <w:t>工信部联企业〔2011〕300号</w:t>
      </w:r>
      <w:bookmarkEnd w:id="83"/>
      <w:bookmarkEnd w:id="84"/>
    </w:p>
    <w:p w14:paraId="0D934EAF">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各省、自治区、直辖市人民政府，国务院各部委、各直属机构及有关单位：</w:t>
      </w:r>
    </w:p>
    <w:p w14:paraId="2691EBDF">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463E7C3E">
      <w:pPr>
        <w:spacing w:line="360" w:lineRule="auto"/>
        <w:jc w:val="righ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工业和信息化部　国家统计局</w:t>
      </w:r>
    </w:p>
    <w:p w14:paraId="150CC686">
      <w:pPr>
        <w:spacing w:line="360" w:lineRule="auto"/>
        <w:jc w:val="righ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国家发展和改革委员会　财政部</w:t>
      </w:r>
    </w:p>
    <w:p w14:paraId="31237B5E">
      <w:pPr>
        <w:spacing w:line="360" w:lineRule="auto"/>
        <w:jc w:val="right"/>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二○一一年六月十八日</w:t>
      </w:r>
    </w:p>
    <w:p w14:paraId="5E0C7905">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p>
    <w:p w14:paraId="35AA3411">
      <w:pPr>
        <w:spacing w:line="360" w:lineRule="auto"/>
        <w:jc w:val="center"/>
        <w:outlineLvl w:val="9"/>
        <w:rPr>
          <w:rFonts w:hint="eastAsia" w:ascii="宋体" w:hAnsi="宋体" w:eastAsia="宋体" w:cs="宋体"/>
          <w:color w:val="000000" w:themeColor="text1"/>
          <w:sz w:val="24"/>
          <w:highlight w:val="none"/>
          <w14:textFill>
            <w14:solidFill>
              <w14:schemeClr w14:val="tx1"/>
            </w14:solidFill>
          </w14:textFill>
        </w:rPr>
      </w:pPr>
      <w:bookmarkStart w:id="85" w:name="_Toc4254"/>
      <w:bookmarkStart w:id="86" w:name="_Toc13469"/>
      <w:r>
        <w:rPr>
          <w:rFonts w:hint="eastAsia" w:ascii="宋体" w:hAnsi="宋体" w:eastAsia="宋体" w:cs="宋体"/>
          <w:color w:val="000000" w:themeColor="text1"/>
          <w:sz w:val="24"/>
          <w:highlight w:val="none"/>
          <w14:textFill>
            <w14:solidFill>
              <w14:schemeClr w14:val="tx1"/>
            </w14:solidFill>
          </w14:textFill>
        </w:rPr>
        <w:t>中小企业划型标准规定</w:t>
      </w:r>
      <w:bookmarkEnd w:id="85"/>
      <w:bookmarkEnd w:id="86"/>
    </w:p>
    <w:p w14:paraId="6D55B698">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一、根据《中华人民共和国中小企业促进法》和《国务院关于进一步促进中小企业发展的若干意见》(国发〔2009〕36号)，制定本规定。</w:t>
      </w:r>
    </w:p>
    <w:p w14:paraId="254CA5AC">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二、中小企业划分为中型、小型、微型三种类型，具体标准根据企业从业人员、营业收入、资产总额等指标，结合行业特点制定。</w:t>
      </w:r>
    </w:p>
    <w:p w14:paraId="013EF212">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531643D">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四、各行业划型标准为：</w:t>
      </w:r>
    </w:p>
    <w:p w14:paraId="7F20FB58">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（一）农、林、牧、渔业。营业收入20000万元以下的为中小微型企业。其中，营业收入500万元及以上的为中型企业，营业收入50万元及以上的为小型企业，营业收入50万元以下的为微型企业。</w:t>
      </w:r>
    </w:p>
    <w:p w14:paraId="006147B6">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FA1B6BA">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F3E7244">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38114A6">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868886F">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六）交通运输业。从业人员1000人以下或营业收入30000万元以下的为中小微型企业。其中，从业人员300人及以上，且营业收入3000万元及以上的为中型企业；从业人员20人及以上，且营业收入190万元及以上的为小型企业；从业人员20人以下或营业收入190万元以下的为微型企业。</w:t>
      </w:r>
    </w:p>
    <w:p w14:paraId="73374002">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F250668">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4DDE075">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FFF29C9">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BA3A7E5">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914F4D7">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4E87E0F">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8B8B327">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C7534CE">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8F709F2">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（十六）其他未列明行业。从业人员300人以下的为中小微型企业。其中，从业人员100人及以上的为中型企业；从业人员10人及以上的为小型企业；从业人员10人以下的为微型企业。</w:t>
      </w:r>
    </w:p>
    <w:p w14:paraId="45320EF0">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五、企业类型的划分以统计部门的统计数据为依据。</w:t>
      </w:r>
    </w:p>
    <w:p w14:paraId="586A0702">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六、本规定适用于在中华人民共和国境内依法设立的各类所有制和各种组织形式的企业。个体工商户和本规定以外的行业，参照本规定进行划型。</w:t>
      </w:r>
    </w:p>
    <w:p w14:paraId="02D4523C">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七、本规定的中型企业标准上限即为大型企业标准的下限，国家统计部门据此制定大中小微型企业的统计分类。国务院有关部门据此进行相关数据分析，不得制定与本规定不一致的企业划型标准。</w:t>
      </w:r>
    </w:p>
    <w:p w14:paraId="004088A4">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八、本规定由工业和信息化部、国家统计局会同有关部门根据《国民经济行业分类》修订情况和企业发展变化情况适时修订。</w:t>
      </w:r>
    </w:p>
    <w:p w14:paraId="01BB9F9F">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九、本规定由工业和信息化部、国家统计局会同有关部门负责解释。</w:t>
      </w:r>
    </w:p>
    <w:p w14:paraId="141B5F78">
      <w:pPr>
        <w:spacing w:line="360" w:lineRule="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十、本规定自发布之日起执行，原国家经贸委、原国家计委、财政部和国家统计局2003年颁布的《中小企业标准暂行规定》同时废止。</w:t>
      </w:r>
    </w:p>
    <w:p w14:paraId="100BC4D0">
      <w:pPr>
        <w:spacing w:line="460" w:lineRule="exact"/>
        <w:outlineLvl w:val="9"/>
        <w:rPr>
          <w:rFonts w:hint="eastAsia" w:ascii="宋体" w:hAnsi="宋体" w:eastAsia="宋体" w:cs="宋体"/>
          <w:b/>
          <w:color w:val="000000" w:themeColor="text1"/>
          <w:sz w:val="24"/>
          <w:highlight w:val="none"/>
          <w14:textFill>
            <w14:solidFill>
              <w14:schemeClr w14:val="tx1"/>
            </w14:solidFill>
          </w14:textFill>
        </w:rPr>
      </w:pPr>
    </w:p>
    <w:p w14:paraId="4F55EB34">
      <w:pPr>
        <w:outlineLvl w:val="9"/>
        <w:rPr>
          <w:rFonts w:hint="eastAsia" w:ascii="宋体" w:hAnsi="宋体" w:eastAsia="宋体" w:cs="宋体"/>
          <w:color w:val="000000" w:themeColor="text1"/>
          <w:sz w:val="24"/>
          <w:szCs w:val="16"/>
          <w:highlight w:val="none"/>
          <w14:textFill>
            <w14:solidFill>
              <w14:schemeClr w14:val="tx1"/>
            </w14:solidFill>
          </w14:textFill>
        </w:rPr>
      </w:pPr>
      <w:r>
        <w:rPr>
          <w:rFonts w:hint="eastAsia" w:ascii="宋体" w:hAnsi="宋体" w:eastAsia="宋体" w:cs="宋体"/>
          <w:color w:val="000000" w:themeColor="text1"/>
          <w:sz w:val="24"/>
          <w:szCs w:val="16"/>
          <w:highlight w:val="none"/>
          <w14:textFill>
            <w14:solidFill>
              <w14:schemeClr w14:val="tx1"/>
            </w14:solidFill>
          </w14:textFill>
        </w:rPr>
        <w:br w:type="page"/>
      </w:r>
    </w:p>
    <w:p w14:paraId="7E9639F8">
      <w:pPr>
        <w:outlineLvl w:val="9"/>
        <w:rPr>
          <w:rFonts w:hint="eastAsia" w:ascii="宋体" w:hAnsi="宋体" w:eastAsia="宋体" w:cs="宋体"/>
          <w:color w:val="000000" w:themeColor="text1"/>
          <w:sz w:val="24"/>
          <w:szCs w:val="16"/>
          <w:highlight w:val="none"/>
          <w14:textFill>
            <w14:solidFill>
              <w14:schemeClr w14:val="tx1"/>
            </w14:solidFill>
          </w14:textFill>
        </w:rPr>
      </w:pPr>
      <w:r>
        <w:rPr>
          <w:rFonts w:hint="eastAsia" w:ascii="宋体" w:hAnsi="宋体" w:eastAsia="宋体" w:cs="宋体"/>
          <w:color w:val="000000" w:themeColor="text1"/>
          <w:sz w:val="24"/>
          <w:szCs w:val="16"/>
          <w:highlight w:val="none"/>
          <w14:textFill>
            <w14:solidFill>
              <w14:schemeClr w14:val="tx1"/>
            </w14:solidFill>
          </w14:textFill>
        </w:rPr>
        <w:t>附件：</w:t>
      </w:r>
    </w:p>
    <w:p w14:paraId="771BA7B7">
      <w:pPr>
        <w:spacing w:line="460" w:lineRule="exact"/>
        <w:outlineLvl w:val="9"/>
        <w:rPr>
          <w:rFonts w:hint="eastAsia" w:ascii="宋体" w:hAnsi="宋体" w:eastAsia="宋体" w:cs="宋体"/>
          <w:b/>
          <w:color w:val="000000" w:themeColor="text1"/>
          <w:sz w:val="24"/>
          <w:highlight w:val="none"/>
          <w14:textFill>
            <w14:solidFill>
              <w14:schemeClr w14:val="tx1"/>
            </w14:solidFill>
          </w14:textFill>
        </w:rPr>
      </w:pPr>
    </w:p>
    <w:p w14:paraId="07E03167">
      <w:pPr>
        <w:spacing w:line="460" w:lineRule="exact"/>
        <w:jc w:val="center"/>
        <w:outlineLvl w:val="9"/>
        <w:rPr>
          <w:rFonts w:hint="eastAsia" w:ascii="宋体" w:hAnsi="宋体" w:eastAsia="宋体" w:cs="宋体"/>
          <w:b/>
          <w:color w:val="000000" w:themeColor="text1"/>
          <w:sz w:val="24"/>
          <w:highlight w:val="none"/>
          <w14:textFill>
            <w14:solidFill>
              <w14:schemeClr w14:val="tx1"/>
            </w14:solidFill>
          </w14:textFill>
        </w:rPr>
      </w:pPr>
      <w:bookmarkStart w:id="87" w:name="_Toc2893"/>
      <w:bookmarkStart w:id="88" w:name="_Toc22317"/>
      <w:r>
        <w:rPr>
          <w:rFonts w:hint="eastAsia" w:ascii="宋体" w:hAnsi="宋体" w:eastAsia="宋体" w:cs="宋体"/>
          <w:b/>
          <w:color w:val="000000" w:themeColor="text1"/>
          <w:sz w:val="24"/>
          <w:highlight w:val="none"/>
          <w14:textFill>
            <w14:solidFill>
              <w14:schemeClr w14:val="tx1"/>
            </w14:solidFill>
          </w14:textFill>
        </w:rPr>
        <w:t>政府采购促进中小企业发展暂行办法</w:t>
      </w:r>
      <w:bookmarkEnd w:id="87"/>
      <w:bookmarkEnd w:id="88"/>
    </w:p>
    <w:p w14:paraId="75B147C0">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第一条 为了发挥政府采购的政策功能，促进中小企业健康发展，根据《中华人民共和国政府采购法》、《中华人民共和国中小企业促进法》等有关法律法规，制定本办法。</w:t>
      </w:r>
    </w:p>
    <w:p w14:paraId="7C5FB06E">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第二条 本办法所称中小企业，是指在中华人民共和国境内依法设立，依据国务院批准的中小企业划分标准确定的中型企业、小型企业和微型企业，但与大企业的  负责人为同一人，或者与大企业存在直接控股、管理关系的除外。</w:t>
      </w:r>
    </w:p>
    <w:p w14:paraId="5B423ACD">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lang w:eastAsia="zh-CN"/>
        </w:rPr>
        <w:t>第三条</w:t>
      </w:r>
      <w:r>
        <w:rPr>
          <w:rFonts w:hint="eastAsia" w:ascii="宋体" w:hAnsi="宋体" w:cs="宋体"/>
          <w:kern w:val="0"/>
          <w:sz w:val="24"/>
          <w:highlight w:val="none"/>
          <w:lang w:val="en-US" w:eastAsia="zh-CN"/>
        </w:rPr>
        <w:t xml:space="preserve"> </w:t>
      </w:r>
      <w:r>
        <w:rPr>
          <w:rFonts w:hint="eastAsia" w:ascii="宋体" w:hAnsi="宋体" w:cs="宋体"/>
          <w:kern w:val="0"/>
          <w:sz w:val="24"/>
          <w:highlight w:val="none"/>
        </w:rPr>
        <w:t xml:space="preserve">符合中小企业划分标准的个体工商户，在政府采购活动中视同中小企业。 第三条 </w:t>
      </w:r>
      <w:r>
        <w:rPr>
          <w:rFonts w:hint="eastAsia" w:ascii="宋体" w:hAnsi="宋体" w:cs="宋体"/>
          <w:kern w:val="0"/>
          <w:sz w:val="24"/>
          <w:highlight w:val="none"/>
          <w:lang w:eastAsia="zh-CN"/>
        </w:rPr>
        <w:t>招标人</w:t>
      </w:r>
      <w:r>
        <w:rPr>
          <w:rFonts w:hint="eastAsia" w:ascii="宋体" w:hAnsi="宋体" w:cs="宋体"/>
          <w:kern w:val="0"/>
          <w:sz w:val="24"/>
          <w:highlight w:val="none"/>
        </w:rPr>
        <w:t>在政府采购活动中应当通过加强采购需求管理，落实预留</w:t>
      </w:r>
    </w:p>
    <w:p w14:paraId="7C2E4803">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采购份额、价格评审优惠、优先采购等 措施，提高中小企业在政府采购中的份</w:t>
      </w:r>
    </w:p>
    <w:p w14:paraId="575E52EC">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额，支持中小企业发展。</w:t>
      </w:r>
    </w:p>
    <w:p w14:paraId="70D8753B">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第四条 在政府采购活动中，</w:t>
      </w:r>
      <w:r>
        <w:rPr>
          <w:rFonts w:hint="eastAsia" w:ascii="宋体" w:hAnsi="宋体" w:cs="宋体"/>
          <w:kern w:val="0"/>
          <w:sz w:val="24"/>
          <w:highlight w:val="none"/>
          <w:lang w:eastAsia="zh-CN"/>
        </w:rPr>
        <w:t>投标人</w:t>
      </w:r>
      <w:r>
        <w:rPr>
          <w:rFonts w:hint="eastAsia" w:ascii="宋体" w:hAnsi="宋体" w:cs="宋体"/>
          <w:kern w:val="0"/>
          <w:sz w:val="24"/>
          <w:highlight w:val="none"/>
        </w:rPr>
        <w:t>提供的货物、工程或者服务符合下列情形的，享受本办法规定的中小企业扶持政策：</w:t>
      </w:r>
    </w:p>
    <w:p w14:paraId="0B3843B6">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（一）在货物采购项目中，货物由中小企业制造，即货 物由中小企业生产且使用该中小企业商号或者注册商标；</w:t>
      </w:r>
    </w:p>
    <w:p w14:paraId="7CEEBC91">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（二）在工程采购项目中，工程由中小企业承建，即工 程施工单位为中小企业；</w:t>
      </w:r>
    </w:p>
    <w:p w14:paraId="284B4368">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（三）在服务采购项目中，服务由中小企业承接，即提供服务的人员为中小  企业依照《中华人民共和国劳动合同法》订立劳动合同的从业人员。</w:t>
      </w:r>
    </w:p>
    <w:p w14:paraId="089A0062">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在货物采购项目中，</w:t>
      </w:r>
      <w:r>
        <w:rPr>
          <w:rFonts w:hint="eastAsia" w:ascii="宋体" w:hAnsi="宋体" w:cs="宋体"/>
          <w:kern w:val="0"/>
          <w:sz w:val="24"/>
          <w:highlight w:val="none"/>
          <w:lang w:eastAsia="zh-CN"/>
        </w:rPr>
        <w:t>投标人</w:t>
      </w:r>
      <w:r>
        <w:rPr>
          <w:rFonts w:hint="eastAsia" w:ascii="宋体" w:hAnsi="宋体" w:cs="宋体"/>
          <w:kern w:val="0"/>
          <w:sz w:val="24"/>
          <w:highlight w:val="none"/>
        </w:rPr>
        <w:t>提供的货物既有中小企业制造货物，也有大型  企业制造货物的，不享受本办法规定的中小企业扶持政策。</w:t>
      </w:r>
    </w:p>
    <w:p w14:paraId="1B1892F0">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以联合体形式参加政府采购活动，联合体各方均为中小企业的，联合体视同中小企业。其中，联合体各方均为小微企业的，联合体视同小微企业。</w:t>
      </w:r>
    </w:p>
    <w:p w14:paraId="40D6D2E2">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 xml:space="preserve">第五条 </w:t>
      </w:r>
      <w:r>
        <w:rPr>
          <w:rFonts w:hint="eastAsia" w:ascii="宋体" w:hAnsi="宋体" w:cs="宋体"/>
          <w:kern w:val="0"/>
          <w:sz w:val="24"/>
          <w:highlight w:val="none"/>
          <w:lang w:eastAsia="zh-CN"/>
        </w:rPr>
        <w:t>招标人</w:t>
      </w:r>
      <w:r>
        <w:rPr>
          <w:rFonts w:hint="eastAsia" w:ascii="宋体" w:hAnsi="宋体" w:cs="宋体"/>
          <w:kern w:val="0"/>
          <w:sz w:val="24"/>
          <w:highlight w:val="none"/>
        </w:rPr>
        <w:t>在政府采购活动中应当合理确定采购项目的采购需求，不得以企业注册资本、资产总额、营业收入、从业人员、利润、纳税额等规模条件和财务指标作为</w:t>
      </w:r>
      <w:r>
        <w:rPr>
          <w:rFonts w:hint="eastAsia" w:ascii="宋体" w:hAnsi="宋体" w:cs="宋体"/>
          <w:kern w:val="0"/>
          <w:sz w:val="24"/>
          <w:highlight w:val="none"/>
          <w:lang w:eastAsia="zh-CN"/>
        </w:rPr>
        <w:t>投标人</w:t>
      </w:r>
      <w:r>
        <w:rPr>
          <w:rFonts w:hint="eastAsia" w:ascii="宋体" w:hAnsi="宋体" w:cs="宋体"/>
          <w:kern w:val="0"/>
          <w:sz w:val="24"/>
          <w:highlight w:val="none"/>
        </w:rPr>
        <w:t>的资格要求或者评审因素，不得在企业股权结构、经营 年限等方面对中小企业实行差别待遇或者歧视待遇。</w:t>
      </w:r>
    </w:p>
    <w:p w14:paraId="659B6E6C">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14:paraId="11DD03E1">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符合下列情形之一的，可不专门面向中小企业预留采购份额：</w:t>
      </w:r>
    </w:p>
    <w:p w14:paraId="09666269">
      <w:pPr>
        <w:spacing w:line="360" w:lineRule="auto"/>
        <w:ind w:firstLine="480" w:firstLineChars="200"/>
        <w:textAlignment w:val="center"/>
        <w:outlineLvl w:val="9"/>
        <w:rPr>
          <w:rFonts w:hint="eastAsia" w:ascii="宋体" w:hAnsi="宋体" w:cs="宋体"/>
          <w:kern w:val="0"/>
          <w:sz w:val="24"/>
          <w:highlight w:val="none"/>
        </w:rPr>
      </w:pPr>
    </w:p>
    <w:p w14:paraId="5E1814C8">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（一）法律法规和国家有关政策明确规定优先或者应当面向事业单位、社  会组织等非企业主体采购的；</w:t>
      </w:r>
    </w:p>
    <w:p w14:paraId="728533C6">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（二）因确需使用不可替代的专利、专有技术，基础设施限制，或者提供特  定公共服务等原因，只能从中小企业之外的</w:t>
      </w:r>
      <w:r>
        <w:rPr>
          <w:rFonts w:hint="eastAsia" w:ascii="宋体" w:hAnsi="宋体" w:cs="宋体"/>
          <w:kern w:val="0"/>
          <w:sz w:val="24"/>
          <w:highlight w:val="none"/>
          <w:lang w:eastAsia="zh-CN"/>
        </w:rPr>
        <w:t>投标人</w:t>
      </w:r>
      <w:r>
        <w:rPr>
          <w:rFonts w:hint="eastAsia" w:ascii="宋体" w:hAnsi="宋体" w:cs="宋体"/>
          <w:kern w:val="0"/>
          <w:sz w:val="24"/>
          <w:highlight w:val="none"/>
        </w:rPr>
        <w:t>处采购的；</w:t>
      </w:r>
    </w:p>
    <w:p w14:paraId="34D8CCAB">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（三）按照本办法规定预留采购份额无法确保充分供应、充分竞争，或者存  在可能影响政府采购目标实现的情形；</w:t>
      </w:r>
    </w:p>
    <w:p w14:paraId="377C9C4E">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（四）框架协议采购项目；</w:t>
      </w:r>
    </w:p>
    <w:p w14:paraId="1FF26E4E">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（五）省级以上人民政府财政部门规定的其他情形。 除上述情形外，其他均为适宜由中小企业提供的情形。</w:t>
      </w:r>
    </w:p>
    <w:p w14:paraId="50FF4007">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第七条 采购限额标准以上，200 万元以下的货物和服务采购项目、400 万元以下的工程采购项目，适宜由中小企业提供的，</w:t>
      </w:r>
      <w:r>
        <w:rPr>
          <w:rFonts w:hint="eastAsia" w:ascii="宋体" w:hAnsi="宋体" w:cs="宋体"/>
          <w:kern w:val="0"/>
          <w:sz w:val="24"/>
          <w:highlight w:val="none"/>
          <w:lang w:eastAsia="zh-CN"/>
        </w:rPr>
        <w:t>招标人</w:t>
      </w:r>
      <w:r>
        <w:rPr>
          <w:rFonts w:hint="eastAsia" w:ascii="宋体" w:hAnsi="宋体" w:cs="宋体"/>
          <w:kern w:val="0"/>
          <w:sz w:val="24"/>
          <w:highlight w:val="none"/>
        </w:rPr>
        <w:t>应当专门面向中小企业采购。</w:t>
      </w:r>
    </w:p>
    <w:p w14:paraId="6D2CB799">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第八条 超过200万元的货物和服务采购项目、超过400万元的工程采购项目中适宜由中小企业提供的，预留该部分采购项目预算总额的 30%以上专门面向中小企业采购， 其中预留给小微企业的比例不低于60%。预留份额通过下列措施进行：</w:t>
      </w:r>
    </w:p>
    <w:p w14:paraId="0AA8CE27">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（一）将采购项目整体或者设置采购包专门面向中小企业采购；</w:t>
      </w:r>
    </w:p>
    <w:p w14:paraId="353B063F">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（二）要求</w:t>
      </w:r>
      <w:r>
        <w:rPr>
          <w:rFonts w:hint="eastAsia" w:ascii="宋体" w:hAnsi="宋体" w:cs="宋体"/>
          <w:kern w:val="0"/>
          <w:sz w:val="24"/>
          <w:highlight w:val="none"/>
          <w:lang w:eastAsia="zh-CN"/>
        </w:rPr>
        <w:t>投标人</w:t>
      </w:r>
      <w:r>
        <w:rPr>
          <w:rFonts w:hint="eastAsia" w:ascii="宋体" w:hAnsi="宋体" w:cs="宋体"/>
          <w:kern w:val="0"/>
          <w:sz w:val="24"/>
          <w:highlight w:val="none"/>
        </w:rPr>
        <w:t>以联合体形式参加采购活动，且联合体中中小企业承担  的部分达到一定比例；</w:t>
      </w:r>
    </w:p>
    <w:p w14:paraId="3021FDF9">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（三）要求获得采购合同的</w:t>
      </w:r>
      <w:r>
        <w:rPr>
          <w:rFonts w:hint="eastAsia" w:ascii="宋体" w:hAnsi="宋体" w:cs="宋体"/>
          <w:kern w:val="0"/>
          <w:sz w:val="24"/>
          <w:highlight w:val="none"/>
          <w:lang w:eastAsia="zh-CN"/>
        </w:rPr>
        <w:t>投标人</w:t>
      </w:r>
      <w:r>
        <w:rPr>
          <w:rFonts w:hint="eastAsia" w:ascii="宋体" w:hAnsi="宋体" w:cs="宋体"/>
          <w:kern w:val="0"/>
          <w:sz w:val="24"/>
          <w:highlight w:val="none"/>
        </w:rPr>
        <w:t>将采购项目中的一定比例分包给一家或  者多家中小企业。</w:t>
      </w:r>
    </w:p>
    <w:p w14:paraId="738A0CCF">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组成联合体或者接受分包合同的中小企业与联合体内其他企业、分包企业之间不得存在直接控股、管理关系。</w:t>
      </w:r>
    </w:p>
    <w:p w14:paraId="78D25714">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第九条 对于经主管预算单位统筹后未预留份额专门面向中小企业采购的采购项目，以及预留份额项目中的非预留部分采购包，</w:t>
      </w:r>
      <w:r>
        <w:rPr>
          <w:rFonts w:hint="eastAsia" w:ascii="宋体" w:hAnsi="宋体" w:cs="宋体"/>
          <w:kern w:val="0"/>
          <w:sz w:val="24"/>
          <w:highlight w:val="none"/>
          <w:lang w:eastAsia="zh-CN"/>
        </w:rPr>
        <w:t>招标人</w:t>
      </w:r>
      <w:r>
        <w:rPr>
          <w:rFonts w:hint="eastAsia" w:ascii="宋体" w:hAnsi="宋体" w:cs="宋体"/>
          <w:kern w:val="0"/>
          <w:sz w:val="24"/>
          <w:highlight w:val="none"/>
        </w:rPr>
        <w:t>、</w:t>
      </w:r>
      <w:r>
        <w:rPr>
          <w:rFonts w:hint="eastAsia" w:ascii="宋体" w:hAnsi="宋体" w:cs="宋体"/>
          <w:kern w:val="0"/>
          <w:sz w:val="24"/>
          <w:highlight w:val="none"/>
          <w:lang w:eastAsia="zh-CN"/>
        </w:rPr>
        <w:t>招标代理机构</w:t>
      </w:r>
      <w:r>
        <w:rPr>
          <w:rFonts w:hint="eastAsia" w:ascii="宋体" w:hAnsi="宋体" w:cs="宋体"/>
          <w:kern w:val="0"/>
          <w:sz w:val="24"/>
          <w:highlight w:val="none"/>
        </w:rPr>
        <w:t>应当对符合本办法规定的小微企业报价给予 6%—10%（工程项目为 3%—5%）的扣除，用扣除后的价格参加评审。适用招标投标法的政府采购 工程建设项目， 采用综合评估法但未采用低价优先法计算价格分的，评标时应当在采用原报价进行评分的基础上增加其价格得分的 3%—5%作为其价格分。</w:t>
      </w:r>
    </w:p>
    <w:p w14:paraId="01CB363B">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接受大中型企业与小微企业组成联合体或者允许大中型企业向一家或者多家小微企业分包的采购项目，对于联合协议或者分包意向协议约定小微企业的合同份额占到合同 总金额 30%以上的，</w:t>
      </w:r>
      <w:r>
        <w:rPr>
          <w:rFonts w:hint="eastAsia" w:ascii="宋体" w:hAnsi="宋体" w:cs="宋体"/>
          <w:kern w:val="0"/>
          <w:sz w:val="24"/>
          <w:highlight w:val="none"/>
          <w:lang w:eastAsia="zh-CN"/>
        </w:rPr>
        <w:t>招标人</w:t>
      </w:r>
      <w:r>
        <w:rPr>
          <w:rFonts w:hint="eastAsia" w:ascii="宋体" w:hAnsi="宋体" w:cs="宋体"/>
          <w:kern w:val="0"/>
          <w:sz w:val="24"/>
          <w:highlight w:val="none"/>
        </w:rPr>
        <w:t>、</w:t>
      </w:r>
      <w:r>
        <w:rPr>
          <w:rFonts w:hint="eastAsia" w:ascii="宋体" w:hAnsi="宋体" w:cs="宋体"/>
          <w:kern w:val="0"/>
          <w:sz w:val="24"/>
          <w:highlight w:val="none"/>
          <w:lang w:eastAsia="zh-CN"/>
        </w:rPr>
        <w:t>招标代理机构</w:t>
      </w:r>
      <w:r>
        <w:rPr>
          <w:rFonts w:hint="eastAsia" w:ascii="宋体" w:hAnsi="宋体" w:cs="宋体"/>
          <w:kern w:val="0"/>
          <w:sz w:val="24"/>
          <w:highlight w:val="none"/>
        </w:rPr>
        <w:t>应当对联合体或者大中型企业的报价给予 2%-3%（工程项目为 1%—2%）的扣除，用扣除后的价格参加评审。适用招标投标法的政府采购工程建设项目，采用综合评估法但未采用低价优先法计算价格分的，评标时应当在采用原报价进行评分的基础上增加其价格得分的 1%—2%作为其价格分。组成联合体或者接受分包的小微企业与联合体内其他企业、分包企业之间存在直接控股、管理关系的，不享受价格扣除优惠政策。</w:t>
      </w:r>
    </w:p>
    <w:p w14:paraId="36BEEFAC">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价格扣除比例或者价格分加分比例对小型企业和微型企业同等对待，不作区分。具体采购项目的价格扣除比例或者价格分加分比例，由</w:t>
      </w:r>
      <w:r>
        <w:rPr>
          <w:rFonts w:hint="eastAsia" w:ascii="宋体" w:hAnsi="宋体" w:cs="宋体"/>
          <w:kern w:val="0"/>
          <w:sz w:val="24"/>
          <w:highlight w:val="none"/>
          <w:lang w:eastAsia="zh-CN"/>
        </w:rPr>
        <w:t>招标人</w:t>
      </w:r>
      <w:r>
        <w:rPr>
          <w:rFonts w:hint="eastAsia" w:ascii="宋体" w:hAnsi="宋体" w:cs="宋体"/>
          <w:kern w:val="0"/>
          <w:sz w:val="24"/>
          <w:highlight w:val="none"/>
        </w:rPr>
        <w:t>根据采购标的相关行业平均利润率、市场竞争状况等，在本办法规定的幅度内确定。</w:t>
      </w:r>
    </w:p>
    <w:p w14:paraId="4977E3D5">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 xml:space="preserve">第十条 </w:t>
      </w:r>
      <w:r>
        <w:rPr>
          <w:rFonts w:hint="eastAsia" w:ascii="宋体" w:hAnsi="宋体" w:cs="宋体"/>
          <w:kern w:val="0"/>
          <w:sz w:val="24"/>
          <w:highlight w:val="none"/>
          <w:lang w:eastAsia="zh-CN"/>
        </w:rPr>
        <w:t>招标人</w:t>
      </w:r>
      <w:r>
        <w:rPr>
          <w:rFonts w:hint="eastAsia" w:ascii="宋体" w:hAnsi="宋体" w:cs="宋体"/>
          <w:kern w:val="0"/>
          <w:sz w:val="24"/>
          <w:highlight w:val="none"/>
        </w:rPr>
        <w:t>应当严格按照本办法规定和主管预算单位制定的预留采购份额具体方案开展采购活动。预留份额的采购项目或者采购包，通过发布公告方式邀请</w:t>
      </w:r>
      <w:r>
        <w:rPr>
          <w:rFonts w:hint="eastAsia" w:ascii="宋体" w:hAnsi="宋体" w:cs="宋体"/>
          <w:kern w:val="0"/>
          <w:sz w:val="24"/>
          <w:highlight w:val="none"/>
          <w:lang w:eastAsia="zh-CN"/>
        </w:rPr>
        <w:t>投标人</w:t>
      </w:r>
      <w:r>
        <w:rPr>
          <w:rFonts w:hint="eastAsia" w:ascii="宋体" w:hAnsi="宋体" w:cs="宋体"/>
          <w:kern w:val="0"/>
          <w:sz w:val="24"/>
          <w:highlight w:val="none"/>
        </w:rPr>
        <w:t>后， 符合资格条件的中小企业数量不足 3 家的，应当中止采购活动，视同未预留份额的采购项目或者采购包，按照本办法第九条有关规定重新组织采购活动。</w:t>
      </w:r>
    </w:p>
    <w:p w14:paraId="331F5CBA">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第十一条 中小企业参加政府采购活动，应当出具本办法规定的《中小企业声明函》（附 1），否则不得享受相关中小企业扶持政策。任何单位和个人不得要求</w:t>
      </w:r>
      <w:r>
        <w:rPr>
          <w:rFonts w:hint="eastAsia" w:ascii="宋体" w:hAnsi="宋体" w:cs="宋体"/>
          <w:kern w:val="0"/>
          <w:sz w:val="24"/>
          <w:highlight w:val="none"/>
          <w:lang w:eastAsia="zh-CN"/>
        </w:rPr>
        <w:t>投标人</w:t>
      </w:r>
      <w:r>
        <w:rPr>
          <w:rFonts w:hint="eastAsia" w:ascii="宋体" w:hAnsi="宋体" w:cs="宋体"/>
          <w:kern w:val="0"/>
          <w:sz w:val="24"/>
          <w:highlight w:val="none"/>
        </w:rPr>
        <w:t>提供《中小企业声明函》之外的中小企业身份证明文件。</w:t>
      </w:r>
    </w:p>
    <w:p w14:paraId="44F8F13A">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第十二条 采购项目涉及中小企业采购的，</w:t>
      </w:r>
      <w:r>
        <w:rPr>
          <w:rFonts w:hint="eastAsia" w:ascii="宋体" w:hAnsi="宋体" w:cs="宋体"/>
          <w:kern w:val="0"/>
          <w:sz w:val="24"/>
          <w:highlight w:val="none"/>
          <w:lang w:eastAsia="zh-CN"/>
        </w:rPr>
        <w:t>招标文件</w:t>
      </w:r>
      <w:r>
        <w:rPr>
          <w:rFonts w:hint="eastAsia" w:ascii="宋体" w:hAnsi="宋体" w:cs="宋体"/>
          <w:kern w:val="0"/>
          <w:sz w:val="24"/>
          <w:highlight w:val="none"/>
        </w:rPr>
        <w:t>应当明确以下内容：</w:t>
      </w:r>
    </w:p>
    <w:p w14:paraId="7F6FCA13">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（一）预留份额的采购项目或者采购包，明确该项目或相关采购包专门面  向中小企业采购，以及相关标的及预算金额；</w:t>
      </w:r>
    </w:p>
    <w:p w14:paraId="3AA6B814">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（二）要求以联合体形式参加或者合同分包的，明确联合协议或者分包意向协议中中小企业合同金额应当达到的 比例，并作为</w:t>
      </w:r>
      <w:r>
        <w:rPr>
          <w:rFonts w:hint="eastAsia" w:ascii="宋体" w:hAnsi="宋体" w:cs="宋体"/>
          <w:kern w:val="0"/>
          <w:sz w:val="24"/>
          <w:highlight w:val="none"/>
          <w:lang w:eastAsia="zh-CN"/>
        </w:rPr>
        <w:t>投标人</w:t>
      </w:r>
      <w:r>
        <w:rPr>
          <w:rFonts w:hint="eastAsia" w:ascii="宋体" w:hAnsi="宋体" w:cs="宋体"/>
          <w:kern w:val="0"/>
          <w:sz w:val="24"/>
          <w:highlight w:val="none"/>
        </w:rPr>
        <w:t>资格条件；</w:t>
      </w:r>
    </w:p>
    <w:p w14:paraId="50512F3E">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（三）非预留份额的采购项目或者采购包，明确有关价格扣除比例或者价格分加分比例；</w:t>
      </w:r>
    </w:p>
    <w:p w14:paraId="716E2A28">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（四）规定依据本办法规定享受扶持政策获得政府采购合同的，小微企业  不得将合同分包给大中型企业，中型企业不得将合同分包给大型企业；</w:t>
      </w:r>
    </w:p>
    <w:p w14:paraId="36964317">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（五）</w:t>
      </w:r>
      <w:r>
        <w:rPr>
          <w:rFonts w:hint="eastAsia" w:ascii="宋体" w:hAnsi="宋体" w:cs="宋体"/>
          <w:kern w:val="0"/>
          <w:sz w:val="24"/>
          <w:highlight w:val="none"/>
          <w:lang w:eastAsia="zh-CN"/>
        </w:rPr>
        <w:t>招标人</w:t>
      </w:r>
      <w:r>
        <w:rPr>
          <w:rFonts w:hint="eastAsia" w:ascii="宋体" w:hAnsi="宋体" w:cs="宋体"/>
          <w:kern w:val="0"/>
          <w:sz w:val="24"/>
          <w:highlight w:val="none"/>
        </w:rPr>
        <w:t>认为具备相关条件的，明确对中小企业在资金支付期限、预  付款比例等方面的优惠措施；</w:t>
      </w:r>
    </w:p>
    <w:p w14:paraId="786C5881">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（六）明确采购标的对应的中小企业划分标准所属行业；</w:t>
      </w:r>
    </w:p>
    <w:p w14:paraId="5797BD04">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（七）法律法规和省级以上人民政府财政部门规定的其他事项。</w:t>
      </w:r>
    </w:p>
    <w:p w14:paraId="442A63DF">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第十三条</w:t>
      </w:r>
      <w:r>
        <w:rPr>
          <w:rFonts w:hint="eastAsia" w:ascii="宋体" w:hAnsi="宋体" w:cs="宋体"/>
          <w:kern w:val="0"/>
          <w:sz w:val="24"/>
          <w:highlight w:val="none"/>
        </w:rPr>
        <w:tab/>
      </w:r>
      <w:r>
        <w:rPr>
          <w:rFonts w:hint="eastAsia" w:ascii="宋体" w:hAnsi="宋体" w:cs="宋体"/>
          <w:kern w:val="0"/>
          <w:sz w:val="24"/>
          <w:highlight w:val="none"/>
        </w:rPr>
        <w:t>中标、成交</w:t>
      </w:r>
      <w:r>
        <w:rPr>
          <w:rFonts w:hint="eastAsia" w:ascii="宋体" w:hAnsi="宋体" w:cs="宋体"/>
          <w:kern w:val="0"/>
          <w:sz w:val="24"/>
          <w:highlight w:val="none"/>
          <w:lang w:eastAsia="zh-CN"/>
        </w:rPr>
        <w:t>投标人</w:t>
      </w:r>
      <w:r>
        <w:rPr>
          <w:rFonts w:hint="eastAsia" w:ascii="宋体" w:hAnsi="宋体" w:cs="宋体"/>
          <w:kern w:val="0"/>
          <w:sz w:val="24"/>
          <w:highlight w:val="none"/>
        </w:rPr>
        <w:t>享受本办法规定的中小企业扶持政策的，</w:t>
      </w:r>
      <w:r>
        <w:rPr>
          <w:rFonts w:hint="eastAsia" w:ascii="宋体" w:hAnsi="宋体" w:cs="宋体"/>
          <w:kern w:val="0"/>
          <w:sz w:val="24"/>
          <w:highlight w:val="none"/>
          <w:lang w:eastAsia="zh-CN"/>
        </w:rPr>
        <w:t>招标人</w:t>
      </w:r>
      <w:r>
        <w:rPr>
          <w:rFonts w:hint="eastAsia" w:ascii="宋体" w:hAnsi="宋体" w:cs="宋体"/>
          <w:kern w:val="0"/>
          <w:sz w:val="24"/>
          <w:highlight w:val="none"/>
        </w:rPr>
        <w:t>、</w:t>
      </w:r>
      <w:r>
        <w:rPr>
          <w:rFonts w:hint="eastAsia" w:ascii="宋体" w:hAnsi="宋体" w:cs="宋体"/>
          <w:kern w:val="0"/>
          <w:sz w:val="24"/>
          <w:highlight w:val="none"/>
          <w:lang w:eastAsia="zh-CN"/>
        </w:rPr>
        <w:t>招标代理机构</w:t>
      </w:r>
      <w:r>
        <w:rPr>
          <w:rFonts w:hint="eastAsia" w:ascii="宋体" w:hAnsi="宋体" w:cs="宋体"/>
          <w:kern w:val="0"/>
          <w:sz w:val="24"/>
          <w:highlight w:val="none"/>
        </w:rPr>
        <w:t>应当随中标、成交结果公开中标、成交</w:t>
      </w:r>
      <w:r>
        <w:rPr>
          <w:rFonts w:hint="eastAsia" w:ascii="宋体" w:hAnsi="宋体" w:cs="宋体"/>
          <w:kern w:val="0"/>
          <w:sz w:val="24"/>
          <w:highlight w:val="none"/>
          <w:lang w:eastAsia="zh-CN"/>
        </w:rPr>
        <w:t>投标人</w:t>
      </w:r>
      <w:r>
        <w:rPr>
          <w:rFonts w:hint="eastAsia" w:ascii="宋体" w:hAnsi="宋体" w:cs="宋体"/>
          <w:kern w:val="0"/>
          <w:sz w:val="24"/>
          <w:highlight w:val="none"/>
        </w:rPr>
        <w:t>的《中小企业声明函》。</w:t>
      </w:r>
    </w:p>
    <w:p w14:paraId="08F4C9D6">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适用招标投标法的政府采购工程建设项目，应当在公示中标候选人时公开中标候选人的《中小企业声明函》。</w:t>
      </w:r>
    </w:p>
    <w:p w14:paraId="79676799">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第十四条 对于通过预留采购项目、预留专门采购包、要求以联合体形式参加或者合同分包等措施签订的采购合同，应当明确标注本合同为中小企业预留  合同。其中，要求以联合体形式参加采购活动或者合同分包的，应当将联合协议  或者分包意向协议作为采购合同的组成部分。</w:t>
      </w:r>
    </w:p>
    <w:p w14:paraId="1D223F3B">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第十五条 鼓励各地区、各部门在采购活动中允许中小企业引入信用担保手段，为中小企业在投标（响应）保证、履约保证等方面提供专业化服务。鼓励中小企业依法合规通过政府采购合同融资。</w:t>
      </w:r>
    </w:p>
    <w:p w14:paraId="7BA78AE0">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第十六条 政府采购监督检查、投诉处理及政府采购行政处罚中对中小企业的认定，由货物制造商或者工程、服务</w:t>
      </w:r>
      <w:r>
        <w:rPr>
          <w:rFonts w:hint="eastAsia" w:ascii="宋体" w:hAnsi="宋体" w:cs="宋体"/>
          <w:kern w:val="0"/>
          <w:sz w:val="24"/>
          <w:highlight w:val="none"/>
          <w:lang w:eastAsia="zh-CN"/>
        </w:rPr>
        <w:t>投标人</w:t>
      </w:r>
      <w:r>
        <w:rPr>
          <w:rFonts w:hint="eastAsia" w:ascii="宋体" w:hAnsi="宋体" w:cs="宋体"/>
          <w:kern w:val="0"/>
          <w:sz w:val="24"/>
          <w:highlight w:val="none"/>
        </w:rPr>
        <w:t>注册登记所在地的县级以上人民政府中小企业主管部门负责。</w:t>
      </w:r>
    </w:p>
    <w:p w14:paraId="311D8B3D">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中小企业主管部门应当在收到财政部门或者有关招标 投标行政监督部门关于协助开展中小企业认定函后 10 个工作日内做出书面答复。</w:t>
      </w:r>
    </w:p>
    <w:p w14:paraId="11E60074">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第十七条 各地区、各部门应当对涉及中小企业采购的预算项目实施全过程绩效管理，合理设置绩效目标和指标，落实扶持中小企业有关政策要求，定期开展绩效监控和评价，强化绩效评价结果应用。</w:t>
      </w:r>
    </w:p>
    <w:p w14:paraId="1C607B20">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第十八条  主管预算单位应当自 2022 年起向同级财政部门报告本部门上一年度面向中小企业预留份额和采购的 具体情况，并在中国政府采购网公开预留项目执行情况(附 2)。未达到本办法规定的预留份额比例的，应当作出说明。</w:t>
      </w:r>
    </w:p>
    <w:p w14:paraId="4BEE8305">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 xml:space="preserve">第十九条 </w:t>
      </w:r>
      <w:r>
        <w:rPr>
          <w:rFonts w:hint="eastAsia" w:ascii="宋体" w:hAnsi="宋体" w:cs="宋体"/>
          <w:kern w:val="0"/>
          <w:sz w:val="24"/>
          <w:highlight w:val="none"/>
          <w:lang w:eastAsia="zh-CN"/>
        </w:rPr>
        <w:t>招标人</w:t>
      </w:r>
      <w:r>
        <w:rPr>
          <w:rFonts w:hint="eastAsia" w:ascii="宋体" w:hAnsi="宋体" w:cs="宋体"/>
          <w:kern w:val="0"/>
          <w:sz w:val="24"/>
          <w:highlight w:val="none"/>
        </w:rPr>
        <w:t>未按本办法规定为中小企业预留采购份额，</w:t>
      </w:r>
      <w:r>
        <w:rPr>
          <w:rFonts w:hint="eastAsia" w:ascii="宋体" w:hAnsi="宋体" w:cs="宋体"/>
          <w:kern w:val="0"/>
          <w:sz w:val="24"/>
          <w:highlight w:val="none"/>
          <w:lang w:eastAsia="zh-CN"/>
        </w:rPr>
        <w:t>招标人</w:t>
      </w:r>
      <w:r>
        <w:rPr>
          <w:rFonts w:hint="eastAsia" w:ascii="宋体" w:hAnsi="宋体" w:cs="宋体"/>
          <w:kern w:val="0"/>
          <w:sz w:val="24"/>
          <w:highlight w:val="none"/>
        </w:rPr>
        <w:t>、</w:t>
      </w:r>
      <w:r>
        <w:rPr>
          <w:rFonts w:hint="eastAsia" w:ascii="宋体" w:hAnsi="宋体" w:cs="宋体"/>
          <w:kern w:val="0"/>
          <w:sz w:val="24"/>
          <w:highlight w:val="none"/>
          <w:lang w:eastAsia="zh-CN"/>
        </w:rPr>
        <w:t>招标代理机构</w:t>
      </w:r>
      <w:r>
        <w:rPr>
          <w:rFonts w:hint="eastAsia" w:ascii="宋体" w:hAnsi="宋体" w:cs="宋体"/>
          <w:kern w:val="0"/>
          <w:sz w:val="24"/>
          <w:highlight w:val="none"/>
        </w:rPr>
        <w:t>未按照本办法规定要求实施价格扣除或者价格分加分的，属于未按照规定执行政府采购政策，依照《中华人民共和国政府采  购法》等国家有关规定追究法律责任。</w:t>
      </w:r>
    </w:p>
    <w:p w14:paraId="4A16F273">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 xml:space="preserve">第二十条 </w:t>
      </w:r>
      <w:r>
        <w:rPr>
          <w:rFonts w:hint="eastAsia" w:ascii="宋体" w:hAnsi="宋体" w:cs="宋体"/>
          <w:kern w:val="0"/>
          <w:sz w:val="24"/>
          <w:highlight w:val="none"/>
          <w:lang w:eastAsia="zh-CN"/>
        </w:rPr>
        <w:t>投标人</w:t>
      </w:r>
      <w:r>
        <w:rPr>
          <w:rFonts w:hint="eastAsia" w:ascii="宋体" w:hAnsi="宋体" w:cs="宋体"/>
          <w:kern w:val="0"/>
          <w:sz w:val="24"/>
          <w:highlight w:val="none"/>
        </w:rPr>
        <w:t>按照本办法规定提供声明函内容不实的，属于提供虚假材料谋取中标、成交，依照《中华人民 共和国政府采购法》等国家有关规定追究相应责任。</w:t>
      </w:r>
    </w:p>
    <w:p w14:paraId="75BACE22">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适用招标投标法的政府采购工程建设项目，投标人按照 本办法规定提供声明函内容不实的，属于弄虚作假骗取中标， 依照《中华人民共和国招标投标法》等国家有关规定追究相应责任。</w:t>
      </w:r>
    </w:p>
    <w:p w14:paraId="5390F5FD">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第二十一条 财政部门、中小企业主管部门及其工作人员在履行职责中违反本办法规定及存在其他滥用职权、玩忽职守、徇私舞弊等违法违纪行为的， 依照《中华人民共和国政府采购法》、《中华人民共和国公务员法》、《中华人民共和国监察法》、《中华人民共和国政府采购法实施条例》等国家有关规定追究相应责任；涉嫌犯罪的，依法移送有关国家机 关处理。</w:t>
      </w:r>
    </w:p>
    <w:p w14:paraId="78F950B9">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第二十二条 对外援助项目、国家相关资格或者资质管理制度另有规定的项目，不适用本办法。</w:t>
      </w:r>
    </w:p>
    <w:p w14:paraId="1B56C847">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第二十三条 关于视同中小企业的其他主体的政府采购扶持政策，由财政部会同有关部门另行规定。</w:t>
      </w:r>
    </w:p>
    <w:p w14:paraId="6DB0D5BA">
      <w:pPr>
        <w:spacing w:line="360" w:lineRule="auto"/>
        <w:ind w:firstLine="480" w:firstLineChars="200"/>
        <w:textAlignment w:val="center"/>
        <w:outlineLvl w:val="9"/>
        <w:rPr>
          <w:rFonts w:hint="eastAsia" w:ascii="宋体" w:hAnsi="宋体" w:cs="宋体"/>
          <w:kern w:val="0"/>
          <w:sz w:val="24"/>
          <w:highlight w:val="none"/>
        </w:rPr>
      </w:pPr>
      <w:r>
        <w:rPr>
          <w:rFonts w:hint="eastAsia" w:ascii="宋体" w:hAnsi="宋体" w:cs="宋体"/>
          <w:kern w:val="0"/>
          <w:sz w:val="24"/>
          <w:highlight w:val="none"/>
        </w:rPr>
        <w:t>第二十四条 省级财政部门可以会同中小企业主管部门根据本办法的规定制定具体实施办法。</w:t>
      </w:r>
    </w:p>
    <w:p w14:paraId="12302D8B">
      <w:pPr>
        <w:outlineLvl w:val="9"/>
        <w:rPr>
          <w:rFonts w:hint="eastAsia" w:ascii="宋体" w:hAnsi="宋体" w:eastAsia="宋体" w:cs="宋体"/>
          <w:color w:val="000000" w:themeColor="text1"/>
          <w:sz w:val="24"/>
          <w:szCs w:val="16"/>
          <w:highlight w:val="none"/>
          <w14:textFill>
            <w14:solidFill>
              <w14:schemeClr w14:val="tx1"/>
            </w14:solidFill>
          </w14:textFill>
        </w:rPr>
      </w:pPr>
      <w:r>
        <w:rPr>
          <w:rFonts w:hint="eastAsia" w:ascii="宋体" w:hAnsi="宋体" w:cs="宋体"/>
          <w:kern w:val="0"/>
          <w:sz w:val="24"/>
          <w:highlight w:val="none"/>
        </w:rPr>
        <w:t>第二十五条 本办法自 2021 年 1 月 1 日起施行。《财政部 工业和信息化部关于印发〈政府采购促进中小企业发展暂行办法〉的通知》（财库﹝2011﹞181 号）同时废止。</w:t>
      </w:r>
    </w:p>
    <w:p w14:paraId="4A8A57FB">
      <w:pPr>
        <w:outlineLvl w:val="9"/>
        <w:rPr>
          <w:rFonts w:hint="eastAsia" w:ascii="宋体" w:hAnsi="宋体" w:eastAsia="宋体" w:cs="宋体"/>
          <w:color w:val="000000" w:themeColor="text1"/>
          <w:sz w:val="24"/>
          <w:szCs w:val="16"/>
          <w:highlight w:val="none"/>
          <w14:textFill>
            <w14:solidFill>
              <w14:schemeClr w14:val="tx1"/>
            </w14:solidFill>
          </w14:textFill>
        </w:rPr>
      </w:pPr>
      <w:r>
        <w:rPr>
          <w:rFonts w:hint="eastAsia" w:ascii="宋体" w:hAnsi="宋体" w:eastAsia="宋体" w:cs="宋体"/>
          <w:color w:val="000000" w:themeColor="text1"/>
          <w:sz w:val="24"/>
          <w:szCs w:val="16"/>
          <w:highlight w:val="none"/>
          <w14:textFill>
            <w14:solidFill>
              <w14:schemeClr w14:val="tx1"/>
            </w14:solidFill>
          </w14:textFill>
        </w:rPr>
        <w:br w:type="page"/>
      </w:r>
    </w:p>
    <w:p w14:paraId="17E36990">
      <w:pPr>
        <w:outlineLvl w:val="9"/>
        <w:rPr>
          <w:rFonts w:hint="eastAsia" w:ascii="宋体" w:hAnsi="宋体" w:eastAsia="宋体" w:cs="宋体"/>
          <w:color w:val="000000" w:themeColor="text1"/>
          <w:sz w:val="24"/>
          <w:szCs w:val="16"/>
          <w:highlight w:val="none"/>
          <w14:textFill>
            <w14:solidFill>
              <w14:schemeClr w14:val="tx1"/>
            </w14:solidFill>
          </w14:textFill>
        </w:rPr>
      </w:pPr>
      <w:r>
        <w:rPr>
          <w:rFonts w:hint="eastAsia" w:ascii="宋体" w:hAnsi="宋体" w:eastAsia="宋体" w:cs="宋体"/>
          <w:color w:val="000000" w:themeColor="text1"/>
          <w:sz w:val="24"/>
          <w:szCs w:val="16"/>
          <w:highlight w:val="none"/>
          <w14:textFill>
            <w14:solidFill>
              <w14:schemeClr w14:val="tx1"/>
            </w14:solidFill>
          </w14:textFill>
        </w:rPr>
        <w:t>附件：</w:t>
      </w:r>
    </w:p>
    <w:p w14:paraId="40495352">
      <w:pPr>
        <w:spacing w:line="460" w:lineRule="exact"/>
        <w:jc w:val="center"/>
        <w:outlineLvl w:val="9"/>
        <w:rPr>
          <w:rFonts w:hint="eastAsia" w:ascii="宋体" w:hAnsi="宋体" w:eastAsia="宋体" w:cs="宋体"/>
          <w:b/>
          <w:color w:val="000000" w:themeColor="text1"/>
          <w:sz w:val="24"/>
          <w:highlight w:val="none"/>
          <w14:textFill>
            <w14:solidFill>
              <w14:schemeClr w14:val="tx1"/>
            </w14:solidFill>
          </w14:textFill>
        </w:rPr>
      </w:pPr>
    </w:p>
    <w:p w14:paraId="16EBF967">
      <w:pPr>
        <w:spacing w:line="460" w:lineRule="exact"/>
        <w:jc w:val="center"/>
        <w:outlineLvl w:val="9"/>
        <w:rPr>
          <w:rFonts w:hint="eastAsia" w:ascii="宋体" w:hAnsi="宋体" w:eastAsia="宋体" w:cs="宋体"/>
          <w:b/>
          <w:color w:val="000000" w:themeColor="text1"/>
          <w:sz w:val="24"/>
          <w:highlight w:val="none"/>
          <w14:textFill>
            <w14:solidFill>
              <w14:schemeClr w14:val="tx1"/>
            </w14:solidFill>
          </w14:textFill>
        </w:rPr>
      </w:pPr>
      <w:bookmarkStart w:id="89" w:name="_Toc30424"/>
      <w:bookmarkStart w:id="90" w:name="_Toc21815"/>
      <w:r>
        <w:rPr>
          <w:rFonts w:hint="eastAsia" w:ascii="宋体" w:hAnsi="宋体" w:eastAsia="宋体" w:cs="宋体"/>
          <w:b/>
          <w:color w:val="000000" w:themeColor="text1"/>
          <w:sz w:val="24"/>
          <w:highlight w:val="none"/>
          <w14:textFill>
            <w14:solidFill>
              <w14:schemeClr w14:val="tx1"/>
            </w14:solidFill>
          </w14:textFill>
        </w:rPr>
        <w:t>关于促进残疾人就业政府采购政策的通知</w:t>
      </w:r>
      <w:bookmarkEnd w:id="89"/>
      <w:bookmarkEnd w:id="90"/>
    </w:p>
    <w:p w14:paraId="62F0C592">
      <w:pPr>
        <w:shd w:val="clear" w:color="auto" w:fill="FFFFFF"/>
        <w:spacing w:line="480" w:lineRule="exact"/>
        <w:jc w:val="center"/>
        <w:textAlignment w:val="center"/>
        <w:outlineLvl w:val="9"/>
        <w:rPr>
          <w:rFonts w:hint="eastAsia" w:ascii="宋体" w:hAnsi="宋体" w:eastAsia="宋体" w:cs="宋体"/>
          <w:color w:val="000000" w:themeColor="text1"/>
          <w:kern w:val="0"/>
          <w:sz w:val="24"/>
          <w:highlight w:val="none"/>
          <w14:textFill>
            <w14:solidFill>
              <w14:schemeClr w14:val="tx1"/>
            </w14:solidFill>
          </w14:textFill>
        </w:rPr>
      </w:pPr>
      <w:bookmarkStart w:id="91" w:name="_Toc10684"/>
      <w:bookmarkStart w:id="92" w:name="_Toc1601"/>
      <w:r>
        <w:rPr>
          <w:rFonts w:hint="eastAsia" w:ascii="宋体" w:hAnsi="宋体" w:eastAsia="宋体" w:cs="宋体"/>
          <w:color w:val="000000" w:themeColor="text1"/>
          <w:kern w:val="0"/>
          <w:sz w:val="24"/>
          <w:highlight w:val="none"/>
          <w14:textFill>
            <w14:solidFill>
              <w14:schemeClr w14:val="tx1"/>
            </w14:solidFill>
          </w14:textFill>
        </w:rPr>
        <w:t>财库〔2017〕141号</w:t>
      </w:r>
      <w:bookmarkEnd w:id="91"/>
      <w:bookmarkEnd w:id="92"/>
    </w:p>
    <w:p w14:paraId="75B50F25">
      <w:pPr>
        <w:shd w:val="clear" w:color="auto" w:fill="FFFFFF"/>
        <w:spacing w:line="480" w:lineRule="exact"/>
        <w:jc w:val="left"/>
        <w:textAlignment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xml:space="preserve">    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14:paraId="014E9BD2">
      <w:pPr>
        <w:shd w:val="clear" w:color="auto" w:fill="FFFFFF"/>
        <w:spacing w:line="480" w:lineRule="exact"/>
        <w:jc w:val="left"/>
        <w:textAlignment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为了发挥政府采购促进残疾人就业的作用，进一步保障残疾人权益，依照《政府采购法》、《残疾人保障法》等法律法规及相关规定，现就促进残疾人就业政府采购政策通知如下：</w:t>
      </w:r>
    </w:p>
    <w:p w14:paraId="2B876E5C">
      <w:pPr>
        <w:shd w:val="clear" w:color="auto" w:fill="FFFFFF"/>
        <w:spacing w:line="480" w:lineRule="exact"/>
        <w:jc w:val="left"/>
        <w:textAlignment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一、享受政府采购支持政策的残疾人福利性单位应当同时满足以下条件：</w:t>
      </w:r>
    </w:p>
    <w:p w14:paraId="399F3490">
      <w:pPr>
        <w:shd w:val="clear" w:color="auto" w:fill="FFFFFF"/>
        <w:spacing w:line="480" w:lineRule="exact"/>
        <w:jc w:val="left"/>
        <w:textAlignment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（一）安置的残疾人占本单位在职职工人数的比例不低于25%（含25%），并且安置的残疾人人数不少于10人（含10人）；</w:t>
      </w:r>
    </w:p>
    <w:p w14:paraId="519AFD60">
      <w:pPr>
        <w:shd w:val="clear" w:color="auto" w:fill="FFFFFF"/>
        <w:spacing w:line="480" w:lineRule="exact"/>
        <w:jc w:val="left"/>
        <w:textAlignment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（二）依法与安置的每位残疾人签订了一年以上（含一年）的劳动合同或服务协议；</w:t>
      </w:r>
    </w:p>
    <w:p w14:paraId="1E8B937F">
      <w:pPr>
        <w:shd w:val="clear" w:color="auto" w:fill="FFFFFF"/>
        <w:spacing w:line="480" w:lineRule="exact"/>
        <w:jc w:val="left"/>
        <w:textAlignment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（三）为安置的每位残疾人按月足额缴纳了基本养老保险、基本医疗保险、失业保险、工伤保险和生育保险等社会保险费；</w:t>
      </w:r>
    </w:p>
    <w:p w14:paraId="7ACDE839">
      <w:pPr>
        <w:shd w:val="clear" w:color="auto" w:fill="FFFFFF"/>
        <w:spacing w:line="480" w:lineRule="exact"/>
        <w:jc w:val="left"/>
        <w:textAlignment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（四）通过银行等金融机构向安置的每位残疾人，按月支付了不低于单位所在区县适用的经省级人民政府批准的月最低工资标准的工资；</w:t>
      </w:r>
    </w:p>
    <w:p w14:paraId="11304B48">
      <w:pPr>
        <w:shd w:val="clear" w:color="auto" w:fill="FFFFFF"/>
        <w:spacing w:line="480" w:lineRule="exact"/>
        <w:jc w:val="left"/>
        <w:textAlignment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（五）提供本单位制造的货物、承担的工程或者服务（以下简称产品），或者提供其他残疾人福利性单位制造的货物（不包括使用非残疾人福利性单位注册商标的货物）。</w:t>
      </w:r>
    </w:p>
    <w:p w14:paraId="6182AF0E">
      <w:pPr>
        <w:shd w:val="clear" w:color="auto" w:fill="FFFFFF"/>
        <w:spacing w:line="480" w:lineRule="exact"/>
        <w:jc w:val="left"/>
        <w:textAlignment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F976003">
      <w:pPr>
        <w:shd w:val="clear" w:color="auto" w:fill="FFFFFF"/>
        <w:spacing w:line="480" w:lineRule="exact"/>
        <w:jc w:val="left"/>
        <w:textAlignment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796758DB">
      <w:pPr>
        <w:shd w:val="clear" w:color="auto" w:fill="FFFFFF"/>
        <w:spacing w:line="480" w:lineRule="exact"/>
        <w:jc w:val="left"/>
        <w:textAlignment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中标、中标人为残疾人福利性单位的，</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eastAsia="宋体" w:cs="宋体"/>
          <w:color w:val="000000" w:themeColor="text1"/>
          <w:kern w:val="0"/>
          <w:sz w:val="24"/>
          <w:highlight w:val="none"/>
          <w14:textFill>
            <w14:solidFill>
              <w14:schemeClr w14:val="tx1"/>
            </w14:solidFill>
          </w14:textFill>
        </w:rPr>
        <w:t>或者其委托的</w:t>
      </w:r>
      <w:r>
        <w:rPr>
          <w:rFonts w:hint="eastAsia" w:ascii="宋体" w:hAnsi="宋体" w:cs="宋体"/>
          <w:color w:val="000000" w:themeColor="text1"/>
          <w:kern w:val="0"/>
          <w:sz w:val="24"/>
          <w:highlight w:val="none"/>
          <w:lang w:eastAsia="zh-CN"/>
          <w14:textFill>
            <w14:solidFill>
              <w14:schemeClr w14:val="tx1"/>
            </w14:solidFill>
          </w14:textFill>
        </w:rPr>
        <w:t>招标代理机构</w:t>
      </w:r>
      <w:r>
        <w:rPr>
          <w:rFonts w:hint="eastAsia" w:ascii="宋体" w:hAnsi="宋体" w:eastAsia="宋体" w:cs="宋体"/>
          <w:color w:val="000000" w:themeColor="text1"/>
          <w:kern w:val="0"/>
          <w:sz w:val="24"/>
          <w:highlight w:val="none"/>
          <w14:textFill>
            <w14:solidFill>
              <w14:schemeClr w14:val="tx1"/>
            </w14:solidFill>
          </w14:textFill>
        </w:rPr>
        <w:t>应当随中标、成交结果同时公告其《残疾人福利性单位声明函》，接受社会监督。</w:t>
      </w:r>
    </w:p>
    <w:p w14:paraId="68B1BD60">
      <w:pPr>
        <w:shd w:val="clear" w:color="auto" w:fill="FFFFFF"/>
        <w:spacing w:line="480" w:lineRule="exact"/>
        <w:jc w:val="left"/>
        <w:textAlignment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w:t>
      </w:r>
      <w:r>
        <w:rPr>
          <w:rFonts w:hint="eastAsia" w:ascii="宋体" w:hAnsi="宋体" w:cs="宋体"/>
          <w:color w:val="000000" w:themeColor="text1"/>
          <w:kern w:val="0"/>
          <w:sz w:val="24"/>
          <w:highlight w:val="none"/>
          <w:lang w:eastAsia="zh-CN"/>
          <w14:textFill>
            <w14:solidFill>
              <w14:schemeClr w14:val="tx1"/>
            </w14:solidFill>
          </w14:textFill>
        </w:rPr>
        <w:t>投标人</w:t>
      </w:r>
      <w:r>
        <w:rPr>
          <w:rFonts w:hint="eastAsia" w:ascii="宋体" w:hAnsi="宋体" w:eastAsia="宋体" w:cs="宋体"/>
          <w:color w:val="000000" w:themeColor="text1"/>
          <w:kern w:val="0"/>
          <w:sz w:val="24"/>
          <w:highlight w:val="none"/>
          <w14:textFill>
            <w14:solidFill>
              <w14:schemeClr w14:val="tx1"/>
            </w14:solidFill>
          </w14:textFill>
        </w:rPr>
        <w:t>提供的《残疾人福利性单位声明函》与事实不符的，依照《政府采购法》第七十七条第一款的规定追究法律责任。</w:t>
      </w:r>
    </w:p>
    <w:p w14:paraId="52898DB6">
      <w:pPr>
        <w:shd w:val="clear" w:color="auto" w:fill="FFFFFF"/>
        <w:spacing w:line="480" w:lineRule="exact"/>
        <w:jc w:val="left"/>
        <w:textAlignment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04709B82">
      <w:pPr>
        <w:shd w:val="clear" w:color="auto" w:fill="FFFFFF"/>
        <w:spacing w:line="480" w:lineRule="exact"/>
        <w:jc w:val="left"/>
        <w:textAlignment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四、</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eastAsia="宋体" w:cs="宋体"/>
          <w:color w:val="000000" w:themeColor="text1"/>
          <w:kern w:val="0"/>
          <w:sz w:val="24"/>
          <w:highlight w:val="none"/>
          <w14:textFill>
            <w14:solidFill>
              <w14:schemeClr w14:val="tx1"/>
            </w14:solidFill>
          </w14:textFill>
        </w:rPr>
        <w:t>采购公开招标数额标准以上的货物或者服务，因落实促进残疾人就业政策的需要，依法履行有关报批程序后，可采用公开招标以外的采购方式。</w:t>
      </w:r>
    </w:p>
    <w:p w14:paraId="7A401DF4">
      <w:pPr>
        <w:shd w:val="clear" w:color="auto" w:fill="FFFFFF"/>
        <w:spacing w:line="480" w:lineRule="exact"/>
        <w:jc w:val="left"/>
        <w:textAlignment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五、对于满足要求的残疾人福利性单位产品，集中采购机构可直接纳入协议供货或者定点采购范围。各地区建设的政府采购电子卖场、电子商城、网上超市等应当设立残疾人福利性单位产品专栏。鼓励</w:t>
      </w:r>
      <w:r>
        <w:rPr>
          <w:rFonts w:hint="eastAsia" w:ascii="宋体" w:hAnsi="宋体" w:cs="宋体"/>
          <w:color w:val="000000" w:themeColor="text1"/>
          <w:kern w:val="0"/>
          <w:sz w:val="24"/>
          <w:highlight w:val="none"/>
          <w:lang w:eastAsia="zh-CN"/>
          <w14:textFill>
            <w14:solidFill>
              <w14:schemeClr w14:val="tx1"/>
            </w14:solidFill>
          </w14:textFill>
        </w:rPr>
        <w:t>招标人</w:t>
      </w:r>
      <w:r>
        <w:rPr>
          <w:rFonts w:hint="eastAsia" w:ascii="宋体" w:hAnsi="宋体" w:eastAsia="宋体" w:cs="宋体"/>
          <w:color w:val="000000" w:themeColor="text1"/>
          <w:kern w:val="0"/>
          <w:sz w:val="24"/>
          <w:highlight w:val="none"/>
          <w14:textFill>
            <w14:solidFill>
              <w14:schemeClr w14:val="tx1"/>
            </w14:solidFill>
          </w14:textFill>
        </w:rPr>
        <w:t>优先选择残疾人福利性单位的产品。</w:t>
      </w:r>
    </w:p>
    <w:p w14:paraId="4711B970">
      <w:pPr>
        <w:shd w:val="clear" w:color="auto" w:fill="FFFFFF"/>
        <w:spacing w:line="480" w:lineRule="exact"/>
        <w:jc w:val="left"/>
        <w:textAlignment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0162A133">
      <w:pPr>
        <w:shd w:val="clear" w:color="auto" w:fill="FFFFFF"/>
        <w:spacing w:line="480" w:lineRule="exact"/>
        <w:jc w:val="left"/>
        <w:textAlignment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　　七、本通知自2017年10月1日起执行。</w:t>
      </w:r>
    </w:p>
    <w:p w14:paraId="4EF96D10">
      <w:pPr>
        <w:shd w:val="clear" w:color="auto" w:fill="FFFFFF"/>
        <w:spacing w:line="480" w:lineRule="exact"/>
        <w:ind w:firstLine="480" w:firstLineChars="200"/>
        <w:jc w:val="right"/>
        <w:textAlignment w:val="center"/>
        <w:outlineLvl w:val="9"/>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财政部 民政部 中国残疾人联合会</w:t>
      </w:r>
    </w:p>
    <w:p w14:paraId="4845C23A">
      <w:pPr>
        <w:spacing w:line="460" w:lineRule="exact"/>
        <w:jc w:val="right"/>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2017年8月22日</w:t>
      </w:r>
    </w:p>
    <w:p w14:paraId="489EFF86">
      <w:pPr>
        <w:spacing w:line="600" w:lineRule="exact"/>
        <w:outlineLvl w:val="9"/>
        <w:rPr>
          <w:rFonts w:hint="eastAsia" w:ascii="宋体" w:hAnsi="宋体" w:eastAsia="宋体" w:cs="宋体"/>
          <w:color w:val="000000" w:themeColor="text1"/>
          <w:highlight w:val="none"/>
          <w14:textFill>
            <w14:solidFill>
              <w14:schemeClr w14:val="tx1"/>
            </w14:solidFill>
          </w14:textFill>
        </w:rPr>
      </w:pPr>
    </w:p>
    <w:p w14:paraId="61D64ED3">
      <w:pPr>
        <w:outlineLvl w:val="9"/>
        <w:rPr>
          <w:rFonts w:hint="eastAsia" w:ascii="宋体" w:hAnsi="宋体" w:eastAsia="宋体" w:cs="宋体"/>
          <w:color w:val="000000" w:themeColor="text1"/>
          <w:highlight w:val="none"/>
          <w14:textFill>
            <w14:solidFill>
              <w14:schemeClr w14:val="tx1"/>
            </w14:solidFill>
          </w14:textFill>
        </w:rPr>
      </w:pPr>
    </w:p>
    <w:p w14:paraId="2581E330">
      <w:pPr>
        <w:outlineLvl w:val="9"/>
        <w:rPr>
          <w:rFonts w:hint="eastAsia" w:ascii="宋体" w:hAnsi="宋体" w:eastAsia="宋体" w:cs="宋体"/>
          <w:color w:val="000000" w:themeColor="text1"/>
          <w:highlight w:val="none"/>
          <w14:textFill>
            <w14:solidFill>
              <w14:schemeClr w14:val="tx1"/>
            </w14:solidFill>
          </w14:textFill>
        </w:rPr>
      </w:pPr>
    </w:p>
    <w:p w14:paraId="594949C5">
      <w:pPr>
        <w:outlineLvl w:val="9"/>
        <w:rPr>
          <w:rFonts w:hint="eastAsia" w:ascii="宋体" w:hAnsi="宋体" w:eastAsia="宋体" w:cs="宋体"/>
          <w:color w:val="000000" w:themeColor="text1"/>
          <w:highlight w:val="none"/>
          <w14:textFill>
            <w14:solidFill>
              <w14:schemeClr w14:val="tx1"/>
            </w14:solidFill>
          </w14:textFill>
        </w:rPr>
      </w:pPr>
    </w:p>
    <w:p w14:paraId="4A2825A5">
      <w:pPr>
        <w:outlineLvl w:val="9"/>
        <w:rPr>
          <w:rFonts w:hint="eastAsia" w:ascii="宋体" w:hAnsi="宋体" w:eastAsia="宋体" w:cs="宋体"/>
          <w:color w:val="000000" w:themeColor="text1"/>
          <w:highlight w:val="none"/>
          <w14:textFill>
            <w14:solidFill>
              <w14:schemeClr w14:val="tx1"/>
            </w14:solidFill>
          </w14:textFill>
        </w:rPr>
      </w:pPr>
    </w:p>
    <w:p w14:paraId="2DB4E429">
      <w:pPr>
        <w:spacing w:line="480" w:lineRule="exact"/>
        <w:outlineLvl w:val="9"/>
        <w:rPr>
          <w:rFonts w:hint="eastAsia" w:ascii="宋体" w:hAnsi="宋体" w:eastAsia="宋体" w:cs="宋体"/>
          <w:b/>
          <w:color w:val="000000" w:themeColor="text1"/>
          <w:sz w:val="24"/>
          <w:highlight w:val="none"/>
          <w14:textFill>
            <w14:solidFill>
              <w14:schemeClr w14:val="tx1"/>
            </w14:solidFill>
          </w14:textFill>
        </w:rPr>
      </w:pPr>
    </w:p>
    <w:p w14:paraId="3F14EC7A">
      <w:pPr>
        <w:outlineLvl w:val="9"/>
        <w:rPr>
          <w:rFonts w:hint="eastAsia" w:ascii="宋体" w:hAnsi="宋体" w:eastAsia="宋体" w:cs="宋体"/>
          <w:b/>
          <w:color w:val="000000" w:themeColor="text1"/>
          <w:sz w:val="24"/>
          <w:highlight w:val="none"/>
          <w14:textFill>
            <w14:solidFill>
              <w14:schemeClr w14:val="tx1"/>
            </w14:solidFill>
          </w14:textFill>
        </w:rPr>
      </w:pPr>
    </w:p>
    <w:p w14:paraId="69850A72">
      <w:pPr>
        <w:outlineLvl w:val="9"/>
        <w:rPr>
          <w:rFonts w:hint="eastAsia" w:ascii="宋体" w:hAnsi="宋体" w:eastAsia="宋体" w:cs="宋体"/>
          <w:b/>
          <w:color w:val="000000" w:themeColor="text1"/>
          <w:sz w:val="24"/>
          <w:highlight w:val="none"/>
          <w14:textFill>
            <w14:solidFill>
              <w14:schemeClr w14:val="tx1"/>
            </w14:solidFill>
          </w14:textFill>
        </w:rPr>
      </w:pPr>
    </w:p>
    <w:p w14:paraId="1FF203D1">
      <w:pPr>
        <w:spacing w:line="480" w:lineRule="exact"/>
        <w:outlineLvl w:val="9"/>
        <w:rPr>
          <w:rFonts w:hint="eastAsia" w:ascii="宋体" w:hAnsi="宋体" w:eastAsia="宋体" w:cs="宋体"/>
          <w:b/>
          <w:color w:val="000000" w:themeColor="text1"/>
          <w:sz w:val="24"/>
          <w:highlight w:val="none"/>
          <w14:textFill>
            <w14:solidFill>
              <w14:schemeClr w14:val="tx1"/>
            </w14:solidFill>
          </w14:textFill>
        </w:rPr>
      </w:pPr>
    </w:p>
    <w:p w14:paraId="31F4532F">
      <w:pPr>
        <w:spacing w:line="480" w:lineRule="exact"/>
        <w:outlineLvl w:val="9"/>
        <w:rPr>
          <w:rFonts w:hint="eastAsia" w:ascii="宋体" w:hAnsi="宋体" w:eastAsia="宋体" w:cs="宋体"/>
          <w:b/>
          <w:color w:val="000000" w:themeColor="text1"/>
          <w:sz w:val="24"/>
          <w:highlight w:val="none"/>
          <w14:textFill>
            <w14:solidFill>
              <w14:schemeClr w14:val="tx1"/>
            </w14:solidFill>
          </w14:textFill>
        </w:rPr>
      </w:pPr>
    </w:p>
    <w:p w14:paraId="179B7333">
      <w:pPr>
        <w:spacing w:line="480" w:lineRule="exact"/>
        <w:outlineLvl w:val="9"/>
        <w:rPr>
          <w:rFonts w:hint="eastAsia" w:ascii="宋体" w:hAnsi="宋体" w:eastAsia="宋体" w:cs="宋体"/>
          <w:b/>
          <w:color w:val="000000" w:themeColor="text1"/>
          <w:sz w:val="24"/>
          <w:highlight w:val="none"/>
          <w14:textFill>
            <w14:solidFill>
              <w14:schemeClr w14:val="tx1"/>
            </w14:solidFill>
          </w14:textFill>
        </w:rPr>
      </w:pPr>
    </w:p>
    <w:p w14:paraId="466EEB51">
      <w:pPr>
        <w:spacing w:line="480" w:lineRule="exact"/>
        <w:outlineLvl w:val="9"/>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附件：</w:t>
      </w:r>
    </w:p>
    <w:p w14:paraId="6564B64A">
      <w:pPr>
        <w:widowControl/>
        <w:spacing w:line="270" w:lineRule="atLeast"/>
        <w:jc w:val="left"/>
        <w:outlineLvl w:val="9"/>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 xml:space="preserve"> </w:t>
      </w:r>
    </w:p>
    <w:p w14:paraId="0974C4C5">
      <w:pPr>
        <w:spacing w:line="432" w:lineRule="auto"/>
        <w:jc w:val="center"/>
        <w:outlineLvl w:val="9"/>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招标代理服务收费标准</w:t>
      </w:r>
    </w:p>
    <w:p w14:paraId="7ADA077C">
      <w:pPr>
        <w:spacing w:line="432" w:lineRule="auto"/>
        <w:jc w:val="center"/>
        <w:outlineLvl w:val="9"/>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发改价格【2011】534号</w:t>
      </w:r>
    </w:p>
    <w:p w14:paraId="5D646B75">
      <w:pPr>
        <w:widowControl/>
        <w:spacing w:line="270" w:lineRule="atLeast"/>
        <w:jc w:val="center"/>
        <w:outlineLvl w:val="9"/>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drawing>
          <wp:inline distT="0" distB="0" distL="114300" distR="114300">
            <wp:extent cx="5535295" cy="5002530"/>
            <wp:effectExtent l="0" t="0" r="8255" b="7620"/>
            <wp:docPr id="13" name="图片 11" descr="b621340895e37881cec3b990f5032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descr="b621340895e37881cec3b990f5032c8"/>
                    <pic:cNvPicPr>
                      <a:picLocks noChangeAspect="1"/>
                    </pic:cNvPicPr>
                  </pic:nvPicPr>
                  <pic:blipFill>
                    <a:blip r:embed="rId13"/>
                    <a:stretch>
                      <a:fillRect/>
                    </a:stretch>
                  </pic:blipFill>
                  <pic:spPr>
                    <a:xfrm>
                      <a:off x="0" y="0"/>
                      <a:ext cx="5535295" cy="5002530"/>
                    </a:xfrm>
                    <a:prstGeom prst="rect">
                      <a:avLst/>
                    </a:prstGeom>
                    <a:noFill/>
                    <a:ln>
                      <a:noFill/>
                    </a:ln>
                  </pic:spPr>
                </pic:pic>
              </a:graphicData>
            </a:graphic>
          </wp:inline>
        </w:drawing>
      </w:r>
    </w:p>
    <w:p w14:paraId="4DD130BF">
      <w:pPr>
        <w:spacing w:line="440" w:lineRule="exact"/>
        <w:ind w:left="897" w:leftChars="427"/>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注：</w:t>
      </w:r>
    </w:p>
    <w:p w14:paraId="2F640968">
      <w:pPr>
        <w:spacing w:line="440" w:lineRule="exact"/>
        <w:ind w:left="897" w:leftChars="427"/>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1、按本表费率计算的收费为招标代理服务全过程的收费基准价格。</w:t>
      </w:r>
    </w:p>
    <w:p w14:paraId="405D6C2B">
      <w:pPr>
        <w:spacing w:line="440" w:lineRule="exact"/>
        <w:ind w:left="897" w:leftChars="427"/>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2、招标代理服务收费按差额定率累进法计算。</w:t>
      </w:r>
    </w:p>
    <w:p w14:paraId="587D0A06">
      <w:pPr>
        <w:spacing w:line="440" w:lineRule="exact"/>
        <w:ind w:left="897" w:leftChars="427"/>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例如：某设备招标代理业务</w:t>
      </w:r>
      <w:r>
        <w:rPr>
          <w:rFonts w:hint="eastAsia" w:ascii="宋体" w:hAnsi="宋体" w:eastAsia="宋体" w:cs="宋体"/>
          <w:b/>
          <w:color w:val="000000" w:themeColor="text1"/>
          <w:szCs w:val="21"/>
          <w:highlight w:val="none"/>
          <w:lang w:eastAsia="zh-CN"/>
          <w14:textFill>
            <w14:solidFill>
              <w14:schemeClr w14:val="tx1"/>
            </w14:solidFill>
          </w14:textFill>
        </w:rPr>
        <w:t>成交</w:t>
      </w:r>
      <w:r>
        <w:rPr>
          <w:rFonts w:hint="eastAsia" w:ascii="宋体" w:hAnsi="宋体" w:eastAsia="宋体" w:cs="宋体"/>
          <w:b/>
          <w:color w:val="000000" w:themeColor="text1"/>
          <w:szCs w:val="21"/>
          <w:highlight w:val="none"/>
          <w14:textFill>
            <w14:solidFill>
              <w14:schemeClr w14:val="tx1"/>
            </w14:solidFill>
          </w14:textFill>
        </w:rPr>
        <w:t>金额为300万元，计算招标代理服务收费额如下：</w:t>
      </w:r>
    </w:p>
    <w:p w14:paraId="207E669C">
      <w:pPr>
        <w:spacing w:line="440" w:lineRule="exact"/>
        <w:ind w:left="897" w:leftChars="427"/>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100万元×1.5%=1.5万元         （300-100）万元×1.1%=2.2万元</w:t>
      </w:r>
    </w:p>
    <w:p w14:paraId="6F442524">
      <w:pPr>
        <w:spacing w:line="440" w:lineRule="exact"/>
        <w:ind w:left="897" w:leftChars="427"/>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合计收费=1.5万元+2.2万元=3.7万元</w:t>
      </w:r>
    </w:p>
    <w:p w14:paraId="7044AEBB">
      <w:pPr>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5B2C4B8F">
      <w:pPr>
        <w:pStyle w:val="30"/>
        <w:outlineLvl w:val="9"/>
        <w:rPr>
          <w:rFonts w:hint="eastAsia"/>
          <w:highlight w:val="none"/>
        </w:rPr>
      </w:pPr>
    </w:p>
    <w:p w14:paraId="6A6F1781">
      <w:pPr>
        <w:pStyle w:val="30"/>
        <w:outlineLvl w:val="9"/>
        <w:rPr>
          <w:color w:val="000000" w:themeColor="text1"/>
          <w:highlight w:val="none"/>
          <w14:textFill>
            <w14:solidFill>
              <w14:schemeClr w14:val="tx1"/>
            </w14:solidFill>
          </w14:textFill>
        </w:rPr>
      </w:pPr>
      <w:r>
        <w:rPr>
          <w:highlight w:val="none"/>
        </w:rPr>
        <w:drawing>
          <wp:inline distT="0" distB="0" distL="114300" distR="114300">
            <wp:extent cx="5715000" cy="7610475"/>
            <wp:effectExtent l="0" t="0" r="0" b="9525"/>
            <wp:docPr id="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
                    <pic:cNvPicPr>
                      <a:picLocks noChangeAspect="1"/>
                    </pic:cNvPicPr>
                  </pic:nvPicPr>
                  <pic:blipFill>
                    <a:blip r:embed="rId14"/>
                    <a:stretch>
                      <a:fillRect/>
                    </a:stretch>
                  </pic:blipFill>
                  <pic:spPr>
                    <a:xfrm>
                      <a:off x="0" y="0"/>
                      <a:ext cx="5715000" cy="7610475"/>
                    </a:xfrm>
                    <a:prstGeom prst="rect">
                      <a:avLst/>
                    </a:prstGeom>
                    <a:noFill/>
                    <a:ln>
                      <a:noFill/>
                    </a:ln>
                  </pic:spPr>
                </pic:pic>
              </a:graphicData>
            </a:graphic>
          </wp:inline>
        </w:drawing>
      </w:r>
      <w:r>
        <w:rPr>
          <w:highlight w:val="none"/>
        </w:rPr>
        <w:drawing>
          <wp:inline distT="0" distB="0" distL="114300" distR="114300">
            <wp:extent cx="5781675" cy="7620000"/>
            <wp:effectExtent l="0" t="0" r="9525" b="0"/>
            <wp:docPr id="3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
                    <pic:cNvPicPr>
                      <a:picLocks noChangeAspect="1"/>
                    </pic:cNvPicPr>
                  </pic:nvPicPr>
                  <pic:blipFill>
                    <a:blip r:embed="rId15"/>
                    <a:stretch>
                      <a:fillRect/>
                    </a:stretch>
                  </pic:blipFill>
                  <pic:spPr>
                    <a:xfrm>
                      <a:off x="0" y="0"/>
                      <a:ext cx="5781675" cy="7620000"/>
                    </a:xfrm>
                    <a:prstGeom prst="rect">
                      <a:avLst/>
                    </a:prstGeom>
                    <a:noFill/>
                    <a:ln>
                      <a:noFill/>
                    </a:ln>
                  </pic:spPr>
                </pic:pic>
              </a:graphicData>
            </a:graphic>
          </wp:inline>
        </w:drawing>
      </w:r>
      <w:r>
        <w:rPr>
          <w:highlight w:val="none"/>
        </w:rPr>
        <w:drawing>
          <wp:inline distT="0" distB="0" distL="114300" distR="114300">
            <wp:extent cx="5010150" cy="7134225"/>
            <wp:effectExtent l="0" t="0" r="0" b="9525"/>
            <wp:docPr id="4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
                    <pic:cNvPicPr>
                      <a:picLocks noChangeAspect="1"/>
                    </pic:cNvPicPr>
                  </pic:nvPicPr>
                  <pic:blipFill>
                    <a:blip r:embed="rId16"/>
                    <a:stretch>
                      <a:fillRect/>
                    </a:stretch>
                  </pic:blipFill>
                  <pic:spPr>
                    <a:xfrm>
                      <a:off x="0" y="0"/>
                      <a:ext cx="5010150" cy="7134225"/>
                    </a:xfrm>
                    <a:prstGeom prst="rect">
                      <a:avLst/>
                    </a:prstGeom>
                    <a:noFill/>
                    <a:ln>
                      <a:noFill/>
                    </a:ln>
                  </pic:spPr>
                </pic:pic>
              </a:graphicData>
            </a:graphic>
          </wp:inline>
        </w:drawing>
      </w:r>
      <w:r>
        <w:rPr>
          <w:highlight w:val="none"/>
        </w:rPr>
        <w:drawing>
          <wp:inline distT="0" distB="0" distL="114300" distR="114300">
            <wp:extent cx="5172075" cy="6381750"/>
            <wp:effectExtent l="0" t="0" r="9525" b="0"/>
            <wp:docPr id="4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
                    <pic:cNvPicPr>
                      <a:picLocks noChangeAspect="1"/>
                    </pic:cNvPicPr>
                  </pic:nvPicPr>
                  <pic:blipFill>
                    <a:blip r:embed="rId17"/>
                    <a:stretch>
                      <a:fillRect/>
                    </a:stretch>
                  </pic:blipFill>
                  <pic:spPr>
                    <a:xfrm>
                      <a:off x="0" y="0"/>
                      <a:ext cx="5172075" cy="6381750"/>
                    </a:xfrm>
                    <a:prstGeom prst="rect">
                      <a:avLst/>
                    </a:prstGeom>
                    <a:noFill/>
                    <a:ln>
                      <a:noFill/>
                    </a:ln>
                  </pic:spPr>
                </pic:pic>
              </a:graphicData>
            </a:graphic>
          </wp:inline>
        </w:drawing>
      </w:r>
      <w:r>
        <w:rPr>
          <w:highlight w:val="none"/>
        </w:rPr>
        <w:drawing>
          <wp:inline distT="0" distB="0" distL="114300" distR="114300">
            <wp:extent cx="5705475" cy="7953375"/>
            <wp:effectExtent l="0" t="0" r="9525" b="9525"/>
            <wp:docPr id="4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5"/>
                    <pic:cNvPicPr>
                      <a:picLocks noChangeAspect="1"/>
                    </pic:cNvPicPr>
                  </pic:nvPicPr>
                  <pic:blipFill>
                    <a:blip r:embed="rId18"/>
                    <a:stretch>
                      <a:fillRect/>
                    </a:stretch>
                  </pic:blipFill>
                  <pic:spPr>
                    <a:xfrm>
                      <a:off x="0" y="0"/>
                      <a:ext cx="5705475" cy="7953375"/>
                    </a:xfrm>
                    <a:prstGeom prst="rect">
                      <a:avLst/>
                    </a:prstGeom>
                    <a:noFill/>
                    <a:ln>
                      <a:noFill/>
                    </a:ln>
                  </pic:spPr>
                </pic:pic>
              </a:graphicData>
            </a:graphic>
          </wp:inline>
        </w:drawing>
      </w:r>
      <w:r>
        <w:rPr>
          <w:highlight w:val="none"/>
        </w:rPr>
        <w:drawing>
          <wp:inline distT="0" distB="0" distL="114300" distR="114300">
            <wp:extent cx="5581650" cy="7458075"/>
            <wp:effectExtent l="0" t="0" r="0" b="9525"/>
            <wp:docPr id="4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6"/>
                    <pic:cNvPicPr>
                      <a:picLocks noChangeAspect="1"/>
                    </pic:cNvPicPr>
                  </pic:nvPicPr>
                  <pic:blipFill>
                    <a:blip r:embed="rId19"/>
                    <a:stretch>
                      <a:fillRect/>
                    </a:stretch>
                  </pic:blipFill>
                  <pic:spPr>
                    <a:xfrm>
                      <a:off x="0" y="0"/>
                      <a:ext cx="5581650" cy="7458075"/>
                    </a:xfrm>
                    <a:prstGeom prst="rect">
                      <a:avLst/>
                    </a:prstGeom>
                    <a:noFill/>
                    <a:ln>
                      <a:noFill/>
                    </a:ln>
                  </pic:spPr>
                </pic:pic>
              </a:graphicData>
            </a:graphic>
          </wp:inline>
        </w:drawing>
      </w:r>
      <w:r>
        <w:rPr>
          <w:highlight w:val="none"/>
        </w:rPr>
        <w:drawing>
          <wp:inline distT="0" distB="0" distL="114300" distR="114300">
            <wp:extent cx="5581650" cy="7839075"/>
            <wp:effectExtent l="0" t="0" r="0" b="9525"/>
            <wp:docPr id="4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7"/>
                    <pic:cNvPicPr>
                      <a:picLocks noChangeAspect="1"/>
                    </pic:cNvPicPr>
                  </pic:nvPicPr>
                  <pic:blipFill>
                    <a:blip r:embed="rId20"/>
                    <a:stretch>
                      <a:fillRect/>
                    </a:stretch>
                  </pic:blipFill>
                  <pic:spPr>
                    <a:xfrm>
                      <a:off x="0" y="0"/>
                      <a:ext cx="5581650" cy="7839075"/>
                    </a:xfrm>
                    <a:prstGeom prst="rect">
                      <a:avLst/>
                    </a:prstGeom>
                    <a:noFill/>
                    <a:ln>
                      <a:noFill/>
                    </a:ln>
                  </pic:spPr>
                </pic:pic>
              </a:graphicData>
            </a:graphic>
          </wp:inline>
        </w:drawing>
      </w:r>
      <w:r>
        <w:rPr>
          <w:highlight w:val="none"/>
        </w:rPr>
        <w:drawing>
          <wp:inline distT="0" distB="0" distL="114300" distR="114300">
            <wp:extent cx="5629275" cy="7543800"/>
            <wp:effectExtent l="0" t="0" r="9525" b="0"/>
            <wp:docPr id="4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8"/>
                    <pic:cNvPicPr>
                      <a:picLocks noChangeAspect="1"/>
                    </pic:cNvPicPr>
                  </pic:nvPicPr>
                  <pic:blipFill>
                    <a:blip r:embed="rId21"/>
                    <a:stretch>
                      <a:fillRect/>
                    </a:stretch>
                  </pic:blipFill>
                  <pic:spPr>
                    <a:xfrm>
                      <a:off x="0" y="0"/>
                      <a:ext cx="5629275" cy="7543800"/>
                    </a:xfrm>
                    <a:prstGeom prst="rect">
                      <a:avLst/>
                    </a:prstGeom>
                    <a:noFill/>
                    <a:ln>
                      <a:noFill/>
                    </a:ln>
                  </pic:spPr>
                </pic:pic>
              </a:graphicData>
            </a:graphic>
          </wp:inline>
        </w:drawing>
      </w:r>
    </w:p>
    <w:p w14:paraId="7513AA4A">
      <w:pPr>
        <w:pStyle w:val="30"/>
        <w:outlineLvl w:val="9"/>
        <w:rPr>
          <w:color w:val="000000" w:themeColor="text1"/>
          <w:highlight w:val="none"/>
          <w14:textFill>
            <w14:solidFill>
              <w14:schemeClr w14:val="tx1"/>
            </w14:solidFill>
          </w14:textFill>
        </w:rPr>
      </w:pPr>
    </w:p>
    <w:p w14:paraId="1A0D41B6">
      <w:pPr>
        <w:pStyle w:val="30"/>
        <w:outlineLvl w:val="9"/>
        <w:rPr>
          <w:color w:val="000000" w:themeColor="text1"/>
          <w:highlight w:val="none"/>
          <w14:textFill>
            <w14:solidFill>
              <w14:schemeClr w14:val="tx1"/>
            </w14:solidFill>
          </w14:textFill>
        </w:rPr>
      </w:pPr>
    </w:p>
    <w:p w14:paraId="33B6881C">
      <w:pPr>
        <w:pStyle w:val="30"/>
        <w:outlineLvl w:val="9"/>
        <w:rPr>
          <w:color w:val="000000" w:themeColor="text1"/>
          <w:highlight w:val="none"/>
          <w14:textFill>
            <w14:solidFill>
              <w14:schemeClr w14:val="tx1"/>
            </w14:solidFill>
          </w14:textFill>
        </w:rPr>
      </w:pPr>
    </w:p>
    <w:p w14:paraId="5BDEEEF2">
      <w:pPr>
        <w:snapToGrid w:val="0"/>
        <w:outlineLvl w:val="9"/>
        <w:rPr>
          <w:b/>
          <w:bCs/>
          <w:color w:val="000000" w:themeColor="text1"/>
          <w:sz w:val="32"/>
          <w:szCs w:val="32"/>
          <w:highlight w:val="none"/>
          <w14:textFill>
            <w14:solidFill>
              <w14:schemeClr w14:val="tx1"/>
            </w14:solidFill>
          </w14:textFill>
        </w:rPr>
      </w:pPr>
    </w:p>
    <w:p w14:paraId="63D5E810">
      <w:pPr>
        <w:keepNext w:val="0"/>
        <w:keepLines w:val="0"/>
        <w:widowControl/>
        <w:suppressLineNumbers w:val="0"/>
        <w:spacing w:line="360" w:lineRule="auto"/>
        <w:jc w:val="center"/>
        <w:outlineLvl w:val="9"/>
        <w:rPr>
          <w:rFonts w:hint="eastAsia" w:ascii="宋体" w:hAnsi="宋体" w:eastAsia="宋体" w:cs="宋体"/>
          <w:b/>
          <w:bCs/>
          <w:color w:val="000000"/>
          <w:kern w:val="0"/>
          <w:sz w:val="28"/>
          <w:szCs w:val="28"/>
          <w:highlight w:val="none"/>
          <w:lang w:val="en-US" w:eastAsia="zh-CN" w:bidi="ar"/>
        </w:rPr>
      </w:pPr>
    </w:p>
    <w:p w14:paraId="643FF83F">
      <w:pPr>
        <w:keepNext w:val="0"/>
        <w:keepLines w:val="0"/>
        <w:widowControl/>
        <w:suppressLineNumbers w:val="0"/>
        <w:spacing w:line="360" w:lineRule="auto"/>
        <w:jc w:val="center"/>
        <w:outlineLvl w:val="9"/>
        <w:rPr>
          <w:rFonts w:hint="eastAsia" w:ascii="宋体" w:hAnsi="宋体" w:eastAsia="宋体" w:cs="宋体"/>
          <w:b/>
          <w:bCs/>
          <w:color w:val="000000"/>
          <w:kern w:val="0"/>
          <w:sz w:val="28"/>
          <w:szCs w:val="28"/>
          <w:highlight w:val="none"/>
          <w:lang w:val="en-US" w:eastAsia="zh-CN" w:bidi="ar"/>
        </w:rPr>
      </w:pPr>
    </w:p>
    <w:p w14:paraId="62B4DF62">
      <w:pPr>
        <w:jc w:val="center"/>
        <w:outlineLvl w:val="9"/>
        <w:rPr>
          <w:highlight w:val="none"/>
        </w:rPr>
      </w:pPr>
      <w:r>
        <w:rPr>
          <w:rFonts w:hint="eastAsia" w:ascii="宋体" w:hAnsi="宋体" w:eastAsia="宋体" w:cs="宋体"/>
          <w:b/>
          <w:bCs/>
          <w:color w:val="000000"/>
          <w:kern w:val="0"/>
          <w:sz w:val="28"/>
          <w:szCs w:val="28"/>
          <w:highlight w:val="none"/>
          <w:lang w:val="en-US" w:eastAsia="zh-CN" w:bidi="ar"/>
        </w:rPr>
        <w:t>《聊城市公共资源交易中心虚拟开标大厅</w:t>
      </w:r>
      <w:r>
        <w:rPr>
          <w:rFonts w:hint="default" w:ascii="Times New Roman" w:hAnsi="Times New Roman" w:eastAsia="宋体" w:cs="Times New Roman"/>
          <w:b/>
          <w:bCs/>
          <w:color w:val="000000"/>
          <w:kern w:val="0"/>
          <w:sz w:val="28"/>
          <w:szCs w:val="28"/>
          <w:highlight w:val="none"/>
          <w:lang w:val="en-US" w:eastAsia="zh-CN" w:bidi="ar"/>
        </w:rPr>
        <w:t>-</w:t>
      </w:r>
      <w:r>
        <w:rPr>
          <w:rFonts w:hint="eastAsia" w:ascii="宋体" w:hAnsi="宋体" w:eastAsia="宋体" w:cs="宋体"/>
          <w:b/>
          <w:bCs/>
          <w:color w:val="000000"/>
          <w:kern w:val="0"/>
          <w:sz w:val="28"/>
          <w:szCs w:val="28"/>
          <w:highlight w:val="none"/>
          <w:lang w:val="en-US" w:eastAsia="zh-CN" w:bidi="ar"/>
        </w:rPr>
        <w:t>投标人操作手册》见聊城市公共资</w:t>
      </w:r>
    </w:p>
    <w:p w14:paraId="1F5FCA0D">
      <w:pPr>
        <w:keepNext w:val="0"/>
        <w:keepLines w:val="0"/>
        <w:widowControl/>
        <w:suppressLineNumbers w:val="0"/>
        <w:spacing w:line="360" w:lineRule="auto"/>
        <w:jc w:val="center"/>
        <w:outlineLvl w:val="9"/>
        <w:rPr>
          <w:highlight w:val="none"/>
        </w:rPr>
      </w:pPr>
      <w:r>
        <w:rPr>
          <w:rFonts w:hint="eastAsia" w:ascii="宋体" w:hAnsi="宋体" w:eastAsia="宋体" w:cs="宋体"/>
          <w:b/>
          <w:bCs/>
          <w:color w:val="000000"/>
          <w:kern w:val="0"/>
          <w:sz w:val="28"/>
          <w:szCs w:val="28"/>
          <w:highlight w:val="none"/>
          <w:lang w:val="en-US" w:eastAsia="zh-CN" w:bidi="ar"/>
        </w:rPr>
        <w:t>源交易中心首页</w:t>
      </w:r>
      <w:r>
        <w:rPr>
          <w:rFonts w:hint="default" w:ascii="Times New Roman" w:hAnsi="Times New Roman" w:eastAsia="宋体" w:cs="Times New Roman"/>
          <w:b/>
          <w:bCs/>
          <w:color w:val="000000"/>
          <w:kern w:val="0"/>
          <w:sz w:val="28"/>
          <w:szCs w:val="28"/>
          <w:highlight w:val="none"/>
          <w:lang w:val="en-US" w:eastAsia="zh-CN" w:bidi="ar"/>
        </w:rPr>
        <w:t>---</w:t>
      </w:r>
      <w:r>
        <w:rPr>
          <w:rFonts w:hint="eastAsia" w:ascii="宋体" w:hAnsi="宋体" w:eastAsia="宋体" w:cs="宋体"/>
          <w:b/>
          <w:bCs/>
          <w:color w:val="000000"/>
          <w:kern w:val="0"/>
          <w:sz w:val="28"/>
          <w:szCs w:val="28"/>
          <w:highlight w:val="none"/>
          <w:lang w:val="en-US" w:eastAsia="zh-CN" w:bidi="ar"/>
        </w:rPr>
        <w:t>不见面开标大厅入口</w:t>
      </w:r>
      <w:r>
        <w:rPr>
          <w:rFonts w:hint="default" w:ascii="Times New Roman" w:hAnsi="Times New Roman" w:eastAsia="宋体" w:cs="Times New Roman"/>
          <w:b/>
          <w:bCs/>
          <w:color w:val="000000"/>
          <w:kern w:val="0"/>
          <w:sz w:val="28"/>
          <w:szCs w:val="28"/>
          <w:highlight w:val="none"/>
          <w:lang w:val="en-US" w:eastAsia="zh-CN" w:bidi="ar"/>
        </w:rPr>
        <w:t>-</w:t>
      </w:r>
      <w:r>
        <w:rPr>
          <w:rFonts w:hint="eastAsia" w:ascii="宋体" w:hAnsi="宋体" w:eastAsia="宋体" w:cs="宋体"/>
          <w:b/>
          <w:bCs/>
          <w:color w:val="000000"/>
          <w:kern w:val="0"/>
          <w:sz w:val="28"/>
          <w:szCs w:val="28"/>
          <w:highlight w:val="none"/>
          <w:lang w:val="en-US" w:eastAsia="zh-CN" w:bidi="ar"/>
        </w:rPr>
        <w:t>下载操作手册</w:t>
      </w:r>
    </w:p>
    <w:p w14:paraId="3EADCE41">
      <w:pPr>
        <w:pStyle w:val="30"/>
        <w:spacing w:line="360" w:lineRule="auto"/>
        <w:jc w:val="center"/>
        <w:outlineLvl w:val="9"/>
        <w:rPr>
          <w:color w:val="000000" w:themeColor="text1"/>
          <w:highlight w:val="none"/>
          <w14:textFill>
            <w14:solidFill>
              <w14:schemeClr w14:val="tx1"/>
            </w14:solidFill>
          </w14:textFill>
        </w:rPr>
      </w:pPr>
    </w:p>
    <w:sectPr>
      <w:footerReference r:id="rId10" w:type="first"/>
      <w:footerReference r:id="rId9" w:type="default"/>
      <w:pgSz w:w="11905" w:h="16838"/>
      <w:pgMar w:top="1440" w:right="1083" w:bottom="1440" w:left="1083" w:header="1191" w:footer="1077" w:gutter="0"/>
      <w:pgNumType w:fmt="decimal"/>
      <w:cols w:space="0" w:num="1"/>
      <w:titlePg/>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Plotter">
    <w:altName w:val="Times New Roman"/>
    <w:panose1 w:val="00000000000000000000"/>
    <w:charset w:val="00"/>
    <w:family w:val="roman"/>
    <w:pitch w:val="default"/>
    <w:sig w:usb0="00000000" w:usb1="00000000" w:usb2="00000000" w:usb3="00000000" w:csb0="00040001" w:csb1="00000000"/>
  </w:font>
  <w:font w:name="Arial Black">
    <w:panose1 w:val="020B0A04020102020204"/>
    <w:charset w:val="00"/>
    <w:family w:val="swiss"/>
    <w:pitch w:val="default"/>
    <w:sig w:usb0="A00002AF" w:usb1="400078FB" w:usb2="00000000" w:usb3="00000000" w:csb0="6000009F" w:csb1="DFD70000"/>
  </w:font>
  <w:font w:name="仿宋体">
    <w:altName w:val="宋体"/>
    <w:panose1 w:val="00000000000000000000"/>
    <w:charset w:val="86"/>
    <w:family w:val="roma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monospace">
    <w:altName w:val="Courier New"/>
    <w:panose1 w:val="00000000000000000000"/>
    <w:charset w:val="00"/>
    <w:family w:val="auto"/>
    <w:pitch w:val="default"/>
    <w:sig w:usb0="00000000" w:usb1="00000000" w:usb2="00000000" w:usb3="00000000" w:csb0="00000000" w:csb1="00000000"/>
  </w:font>
  <w:font w:name="长城仿宋">
    <w:altName w:val="黑体"/>
    <w:panose1 w:val="00000000000000000000"/>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HYDaHeiJ">
    <w:altName w:val="黑体"/>
    <w:panose1 w:val="00000000000000000000"/>
    <w:charset w:val="86"/>
    <w:family w:val="auto"/>
    <w:pitch w:val="default"/>
    <w:sig w:usb0="00000000" w:usb1="00000000" w:usb2="00000010" w:usb3="00000000" w:csb0="00040000" w:csb1="00000000"/>
  </w:font>
  <w:font w:name="幼圆">
    <w:altName w:val="宋体"/>
    <w:panose1 w:val="02010509060101010101"/>
    <w:charset w:val="86"/>
    <w:family w:val="modern"/>
    <w:pitch w:val="default"/>
    <w:sig w:usb0="00000000" w:usb1="00000000" w:usb2="0000000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汉仪细等线简">
    <w:altName w:val="宋体"/>
    <w:panose1 w:val="00000000000000000000"/>
    <w:charset w:val="86"/>
    <w:family w:val="auto"/>
    <w:pitch w:val="default"/>
    <w:sig w:usb0="00000000" w:usb1="00000000" w:usb2="00000012" w:usb3="00000000" w:csb0="00040000" w:csb1="00000000"/>
  </w:font>
  <w:font w:name="EPKJJF+DFPHeiW5">
    <w:altName w:val="宋体"/>
    <w:panose1 w:val="00000000000000000000"/>
    <w:charset w:val="86"/>
    <w:family w:val="swiss"/>
    <w:pitch w:val="default"/>
    <w:sig w:usb0="00000000" w:usb1="00000000" w:usb2="00000010" w:usb3="00000000" w:csb0="00040000" w:csb1="00000000"/>
  </w:font>
  <w:font w:name="隶书">
    <w:altName w:val="微软雅黑"/>
    <w:panose1 w:val="02010509060101010101"/>
    <w:charset w:val="86"/>
    <w:family w:val="modern"/>
    <w:pitch w:val="default"/>
    <w:sig w:usb0="00000000" w:usb1="00000000" w:usb2="00000000" w:usb3="00000000" w:csb0="00040000" w:csb1="00000000"/>
  </w:font>
  <w:font w:name="PMingLiU">
    <w:altName w:val="PMingLiU-ExtB"/>
    <w:panose1 w:val="02020500000000000000"/>
    <w:charset w:val="88"/>
    <w:family w:val="roman"/>
    <w:pitch w:val="default"/>
    <w:sig w:usb0="00000000" w:usb1="00000000" w:usb2="00000016" w:usb3="00000000" w:csb0="00100001" w:csb1="00000000"/>
  </w:font>
  <w:font w:name="Tms Rmn">
    <w:altName w:val="Times New Roman"/>
    <w:panose1 w:val="02020603040505020304"/>
    <w:charset w:val="00"/>
    <w:family w:val="roman"/>
    <w:pitch w:val="default"/>
    <w:sig w:usb0="00000000" w:usb1="00000000" w:usb2="00000000" w:usb3="00000000" w:csb0="00000001" w:csb1="00000000"/>
  </w:font>
  <w:font w:name="新宋体">
    <w:panose1 w:val="02010609030101010101"/>
    <w:charset w:val="86"/>
    <w:family w:val="modern"/>
    <w:pitch w:val="default"/>
    <w:sig w:usb0="00000283" w:usb1="288F0000" w:usb2="00000006" w:usb3="00000000" w:csb0="00040001" w:csb1="00000000"/>
  </w:font>
  <w:font w:name="昆仑仿宋">
    <w:altName w:val="黑体"/>
    <w:panose1 w:val="00000000000000000000"/>
    <w:charset w:val="86"/>
    <w:family w:val="modern"/>
    <w:pitch w:val="default"/>
    <w:sig w:usb0="00000000" w:usb1="00000000" w:usb2="0000001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汉鼎简大黑Arial Black">
    <w:altName w:val="宋体"/>
    <w:panose1 w:val="00000000000000000000"/>
    <w:charset w:val="86"/>
    <w:family w:val="auto"/>
    <w:pitch w:val="default"/>
    <w:sig w:usb0="00000000" w:usb1="00000000" w:usb2="00000010" w:usb3="00000000" w:csb0="00040000" w:csb1="00000000"/>
  </w:font>
  <w:font w:name="全真中明體">
    <w:altName w:val="MingLiU-ExtB"/>
    <w:panose1 w:val="00000000000000000000"/>
    <w:charset w:val="88"/>
    <w:family w:val="modern"/>
    <w:pitch w:val="default"/>
    <w:sig w:usb0="00000000" w:usb1="00000000" w:usb2="00000010" w:usb3="00000000" w:csb0="00100000" w:csb1="00000000"/>
  </w:font>
  <w:font w:name="Times">
    <w:altName w:val="Times New Roman"/>
    <w:panose1 w:val="02020603050405020304"/>
    <w:charset w:val="00"/>
    <w:family w:val="roman"/>
    <w:pitch w:val="default"/>
    <w:sig w:usb0="00000000" w:usb1="00000000" w:usb2="00000009" w:usb3="00000000" w:csb0="000001FF" w:csb1="00000000"/>
  </w:font>
  <w:font w:name="汉鼎简中等线Arial">
    <w:altName w:val="宋体"/>
    <w:panose1 w:val="00000000000000000000"/>
    <w:charset w:val="86"/>
    <w:family w:val="auto"/>
    <w:pitch w:val="default"/>
    <w:sig w:usb0="00000000" w:usb1="00000000" w:usb2="00000010" w:usb3="00000000" w:csb0="00040000" w:csb1="00000000"/>
  </w:font>
  <w:font w:name="2OcuAe">
    <w:altName w:val="MingLiU-ExtB"/>
    <w:panose1 w:val="00000000000000000000"/>
    <w:charset w:val="88"/>
    <w:family w:val="modern"/>
    <w:pitch w:val="default"/>
    <w:sig w:usb0="00000000" w:usb1="00000000" w:usb2="00000010" w:usb3="00000000" w:csb0="001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 w:name="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B275DB">
    <w:pPr>
      <w:pStyle w:val="49"/>
      <w:pBdr>
        <w:top w:val="single" w:color="auto" w:sz="4" w:space="0"/>
      </w:pBdr>
      <w:spacing w:line="360" w:lineRule="auto"/>
      <w:ind w:left="1" w:hanging="1"/>
      <w:rPr>
        <w:szCs w:val="24"/>
      </w:rPr>
    </w:pPr>
    <w:r>
      <w:rPr>
        <w:rFonts w:ascii="楷体_GB2312" w:hAnsi="楷体_GB2312" w:eastAsia="楷体_GB2312" w:cs="楷体_GB2312"/>
        <w:b/>
        <w:kern w:val="0"/>
        <w:u w:val="single"/>
      </w:rPr>
      <mc:AlternateContent>
        <mc:Choice Requires="wps">
          <w:drawing>
            <wp:anchor distT="0" distB="0" distL="114300" distR="114300" simplePos="0" relativeHeight="251659264" behindDoc="0" locked="0" layoutInCell="1" allowOverlap="1">
              <wp:simplePos x="0" y="0"/>
              <wp:positionH relativeFrom="column">
                <wp:posOffset>6756400</wp:posOffset>
              </wp:positionH>
              <wp:positionV relativeFrom="paragraph">
                <wp:posOffset>13335</wp:posOffset>
              </wp:positionV>
              <wp:extent cx="6413500" cy="33020"/>
              <wp:effectExtent l="0" t="4445" r="6350" b="19685"/>
              <wp:wrapNone/>
              <wp:docPr id="10" name="直线 4"/>
              <wp:cNvGraphicFramePr/>
              <a:graphic xmlns:a="http://schemas.openxmlformats.org/drawingml/2006/main">
                <a:graphicData uri="http://schemas.microsoft.com/office/word/2010/wordprocessingShape">
                  <wps:wsp>
                    <wps:cNvCnPr/>
                    <wps:spPr>
                      <a:xfrm>
                        <a:off x="0" y="0"/>
                        <a:ext cx="6413500" cy="3302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直线 4" o:spid="_x0000_s1026" o:spt="20" style="position:absolute;left:0pt;margin-left:532pt;margin-top:1.05pt;height:2.6pt;width:505pt;z-index:251659264;mso-width-relative:page;mso-height-relative:page;" filled="f" stroked="t" coordsize="21600,21600" o:gfxdata="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D3cigDWAAAACQEAAA8AAAAAAAAAAQAgAAAAIgAAAGRycy9kb3ducmV2LnhtbFBLAQIUABQA&#10;AAAIAIdO4kB4r0dJ8gEAAO4DAAAOAAAAAAAAAAEAIAAAACUBAABkcnMvZTJvRG9jLnhtbFBLBQYA&#10;AAAABgAGAFkBAACJBQAAAAA=&#10;">
              <v:fill on="f" focussize="0,0"/>
              <v:stroke color="#000000" joinstyle="round"/>
              <v:imagedata o:title=""/>
              <o:lock v:ext="edit" aspectratio="f"/>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2398C">
    <w:pPr>
      <w:pStyle w:val="49"/>
      <w:pBdr>
        <w:top w:val="single" w:color="auto" w:sz="4" w:space="0"/>
      </w:pBdr>
      <w:spacing w:line="360" w:lineRule="auto"/>
      <w:ind w:left="1" w:hanging="1"/>
      <w:rPr>
        <w:rFonts w:ascii="楷体_GB2312" w:hAnsi="楷体_GB2312" w:eastAsia="楷体_GB2312" w:cs="楷体_GB2312"/>
        <w:b/>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DBF41F">
                          <w:pPr>
                            <w:pStyle w:val="49"/>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6FDBF41F">
                    <w:pPr>
                      <w:pStyle w:val="49"/>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p w14:paraId="49EC3ADC">
    <w:pPr>
      <w:pStyle w:val="49"/>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60048">
    <w:pPr>
      <w:pStyle w:val="4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6C0A91">
                          <w:pPr>
                            <w:pStyle w:val="49"/>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426C0A91">
                    <w:pPr>
                      <w:pStyle w:val="49"/>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ED593">
    <w:pPr>
      <w:pStyle w:val="4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0AE2E3">
                          <w:pPr>
                            <w:pStyle w:val="49"/>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olJw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8olJwzAgAAYwQAAA4AAAAAAAAAAQAgAAAAHwEAAGRycy9lMm9Eb2MueG1sUEsF&#10;BgAAAAAGAAYAWQEAAMQFAAAAAA==&#10;">
              <v:fill on="f" focussize="0,0"/>
              <v:stroke on="f" weight="0.5pt"/>
              <v:imagedata o:title=""/>
              <o:lock v:ext="edit" aspectratio="f"/>
              <v:textbox inset="0mm,0mm,0mm,0mm" style="mso-fit-shape-to-text:t;">
                <w:txbxContent>
                  <w:p w14:paraId="550AE2E3">
                    <w:pPr>
                      <w:pStyle w:val="49"/>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D9D9F">
    <w:pPr>
      <w:pStyle w:val="49"/>
      <w:rPr>
        <w:rFonts w:eastAsia="楷体_GB2312"/>
        <w:b/>
      </w:rPr>
    </w:pPr>
    <w:r>
      <w:rPr>
        <w:rFonts w:hint="eastAsia" w:ascii="宋体" w:hAnsi="宋体" w:eastAsia="宋体" w:cs="宋体"/>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22E5CB">
                          <w:pPr>
                            <w:pStyle w:val="49"/>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4B22E5CB">
                    <w:pPr>
                      <w:pStyle w:val="49"/>
                    </w:pPr>
                    <w:r>
                      <w:fldChar w:fldCharType="begin"/>
                    </w:r>
                    <w:r>
                      <w:instrText xml:space="preserve"> PAGE  \* MERGEFORMAT </w:instrText>
                    </w:r>
                    <w:r>
                      <w:fldChar w:fldCharType="separate"/>
                    </w:r>
                    <w:r>
                      <w:t>65</w:t>
                    </w:r>
                    <w:r>
                      <w:fldChar w:fldCharType="end"/>
                    </w:r>
                  </w:p>
                </w:txbxContent>
              </v:textbox>
            </v:shape>
          </w:pict>
        </mc:Fallback>
      </mc:AlternateContent>
    </w:r>
    <w:r>
      <w:rPr>
        <w:rFonts w:hint="eastAsia" w:ascii="宋体" w:hAnsi="宋体" w:eastAsia="宋体" w:cs="宋体"/>
        <w:b/>
        <w:szCs w:val="21"/>
      </w:rPr>
      <w:t xml:space="preserve"> </w:t>
    </w:r>
    <w:r>
      <w:rPr>
        <w:rFonts w:eastAsia="楷体_GB2312"/>
        <w:b/>
        <w:szCs w:val="21"/>
      </w:rPr>
      <w:t xml:space="preserve">        </w:t>
    </w:r>
  </w:p>
  <w:p w14:paraId="156C5E81">
    <w:pPr>
      <w:pStyle w:val="4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E16B8">
    <w:pPr>
      <w:pStyle w:val="51"/>
      <w:pBdr>
        <w:bottom w:val="none" w:color="auto" w:sz="0" w:space="1"/>
      </w:pBdr>
      <w:rPr>
        <w:rFonts w:hint="default" w:ascii="楷体_GB2312" w:hAnsi="宋体" w:eastAsia="楷体_GB2312"/>
        <w:b/>
        <w:lang w:val="en-US" w:eastAsia="zh-CN"/>
      </w:rPr>
    </w:pPr>
    <w:r>
      <w:rPr>
        <w:rFonts w:hint="eastAsia"/>
        <w:u w:val="single"/>
        <w:lang w:eastAsia="zh-CN"/>
      </w:rPr>
      <w:t>中凡建设项目管理（山东）有限公司</w:t>
    </w:r>
    <w:r>
      <w:rPr>
        <w:rFonts w:hint="eastAsia"/>
        <w:u w:val="single"/>
        <w:lang w:val="en-US" w:eastAsia="zh-CN"/>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44728">
    <w:pPr>
      <w:pStyle w:val="51"/>
      <w:pBdr>
        <w:bottom w:val="none" w:color="auto" w:sz="0" w:space="1"/>
      </w:pBdr>
      <w:rPr>
        <w:rFonts w:hint="default" w:eastAsia="宋体"/>
        <w:u w:val="single"/>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22352">
    <w:pPr>
      <w:pStyle w:val="51"/>
      <w:pBdr>
        <w:bottom w:val="none" w:color="auto" w:sz="0" w:space="1"/>
      </w:pBdr>
      <w:rPr>
        <w:rFonts w:hint="default" w:eastAsia="宋体"/>
        <w:u w:val="single"/>
        <w:lang w:val="en-US" w:eastAsia="zh-CN"/>
      </w:rPr>
    </w:pPr>
    <w:r>
      <w:rPr>
        <w:rFonts w:hint="eastAsia"/>
        <w:u w:val="single"/>
        <w:lang w:eastAsia="zh-CN"/>
      </w:rPr>
      <w:t>中凡建设项目管理（山东）有限公司</w:t>
    </w:r>
    <w:r>
      <w:rPr>
        <w:rFonts w:hint="eastAsia"/>
        <w:u w:val="single"/>
        <w:lang w:val="en-US" w:eastAsia="zh-CN"/>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502C57"/>
    <w:multiLevelType w:val="singleLevel"/>
    <w:tmpl w:val="94502C57"/>
    <w:lvl w:ilvl="0" w:tentative="0">
      <w:start w:val="1"/>
      <w:numFmt w:val="decimal"/>
      <w:lvlText w:val="(%1)"/>
      <w:lvlJc w:val="left"/>
      <w:pPr>
        <w:ind w:left="425" w:hanging="425"/>
      </w:pPr>
      <w:rPr>
        <w:rFonts w:hint="default"/>
      </w:rPr>
    </w:lvl>
  </w:abstractNum>
  <w:abstractNum w:abstractNumId="1">
    <w:nsid w:val="C201E8AF"/>
    <w:multiLevelType w:val="singleLevel"/>
    <w:tmpl w:val="C201E8AF"/>
    <w:lvl w:ilvl="0" w:tentative="0">
      <w:start w:val="2"/>
      <w:numFmt w:val="chineseCounting"/>
      <w:suff w:val="space"/>
      <w:lvlText w:val="第%1部分"/>
      <w:lvlJc w:val="left"/>
      <w:rPr>
        <w:rFonts w:hint="eastAsia"/>
      </w:rPr>
    </w:lvl>
  </w:abstractNum>
  <w:abstractNum w:abstractNumId="2">
    <w:nsid w:val="28895C7B"/>
    <w:multiLevelType w:val="singleLevel"/>
    <w:tmpl w:val="28895C7B"/>
    <w:lvl w:ilvl="0" w:tentative="0">
      <w:start w:val="3"/>
      <w:numFmt w:val="chineseCounting"/>
      <w:suff w:val="nothing"/>
      <w:lvlText w:val="（%1）"/>
      <w:lvlJc w:val="left"/>
      <w:rPr>
        <w:rFonts w:hint="eastAsia"/>
      </w:rPr>
    </w:lvl>
  </w:abstractNum>
  <w:abstractNum w:abstractNumId="3">
    <w:nsid w:val="39DEC8D5"/>
    <w:multiLevelType w:val="singleLevel"/>
    <w:tmpl w:val="39DEC8D5"/>
    <w:lvl w:ilvl="0" w:tentative="0">
      <w:start w:val="6"/>
      <w:numFmt w:val="chineseCounting"/>
      <w:suff w:val="nothing"/>
      <w:lvlText w:val="%1、"/>
      <w:lvlJc w:val="left"/>
      <w:rPr>
        <w:rFonts w:hint="eastAsia"/>
      </w:rPr>
    </w:lvl>
  </w:abstractNum>
  <w:abstractNum w:abstractNumId="4">
    <w:nsid w:val="483E2694"/>
    <w:multiLevelType w:val="multilevel"/>
    <w:tmpl w:val="483E2694"/>
    <w:lvl w:ilvl="0" w:tentative="0">
      <w:start w:val="1"/>
      <w:numFmt w:val="decimal"/>
      <w:pStyle w:val="714"/>
      <w:suff w:val="nothing"/>
      <w:lvlText w:val="%1、"/>
      <w:lvlJc w:val="left"/>
      <w:pPr>
        <w:ind w:left="0" w:firstLine="0"/>
      </w:pPr>
      <w:rPr>
        <w:rFonts w:hint="default"/>
        <w:b/>
      </w:rPr>
    </w:lvl>
    <w:lvl w:ilvl="1" w:tentative="0">
      <w:start w:val="0"/>
      <w:numFmt w:val="bullet"/>
      <w:lvlText w:val="★"/>
      <w:lvlJc w:val="left"/>
      <w:pPr>
        <w:ind w:left="780" w:hanging="360"/>
      </w:pPr>
      <w:rPr>
        <w:rFonts w:hint="eastAsia" w:ascii="宋体" w:hAnsi="宋体" w:eastAsia="宋体" w:cs="Times New Roman"/>
        <w:b/>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MzZTU2ZTUwNTlhZDNhZGZlYzExZTg4MDA4ZDZmMmUifQ=="/>
  </w:docVars>
  <w:rsids>
    <w:rsidRoot w:val="00172A27"/>
    <w:rsid w:val="000006E8"/>
    <w:rsid w:val="00000862"/>
    <w:rsid w:val="0000386E"/>
    <w:rsid w:val="00003BF8"/>
    <w:rsid w:val="00003C78"/>
    <w:rsid w:val="00004367"/>
    <w:rsid w:val="000050A2"/>
    <w:rsid w:val="00005DB4"/>
    <w:rsid w:val="0000625E"/>
    <w:rsid w:val="000064DE"/>
    <w:rsid w:val="00006600"/>
    <w:rsid w:val="000073EA"/>
    <w:rsid w:val="00010271"/>
    <w:rsid w:val="00011899"/>
    <w:rsid w:val="0001207B"/>
    <w:rsid w:val="00012C57"/>
    <w:rsid w:val="0001409E"/>
    <w:rsid w:val="00014590"/>
    <w:rsid w:val="000159C0"/>
    <w:rsid w:val="000169CE"/>
    <w:rsid w:val="0002187A"/>
    <w:rsid w:val="00021D11"/>
    <w:rsid w:val="00021EE2"/>
    <w:rsid w:val="00021FD9"/>
    <w:rsid w:val="00022BDF"/>
    <w:rsid w:val="000232E2"/>
    <w:rsid w:val="00023D38"/>
    <w:rsid w:val="00025908"/>
    <w:rsid w:val="00025DD7"/>
    <w:rsid w:val="00025EE2"/>
    <w:rsid w:val="0002613E"/>
    <w:rsid w:val="000274A1"/>
    <w:rsid w:val="00027EA1"/>
    <w:rsid w:val="000310B1"/>
    <w:rsid w:val="00031FAA"/>
    <w:rsid w:val="00032CB9"/>
    <w:rsid w:val="0003321C"/>
    <w:rsid w:val="0003333A"/>
    <w:rsid w:val="000334FA"/>
    <w:rsid w:val="0003387D"/>
    <w:rsid w:val="00033F00"/>
    <w:rsid w:val="000341F8"/>
    <w:rsid w:val="00034E8A"/>
    <w:rsid w:val="00035DFE"/>
    <w:rsid w:val="00036BCB"/>
    <w:rsid w:val="000400FC"/>
    <w:rsid w:val="00040426"/>
    <w:rsid w:val="00040718"/>
    <w:rsid w:val="00041AF9"/>
    <w:rsid w:val="000420D5"/>
    <w:rsid w:val="00044963"/>
    <w:rsid w:val="00047C1F"/>
    <w:rsid w:val="00050497"/>
    <w:rsid w:val="00050647"/>
    <w:rsid w:val="00051297"/>
    <w:rsid w:val="000518ED"/>
    <w:rsid w:val="00052AAF"/>
    <w:rsid w:val="00052D1A"/>
    <w:rsid w:val="00052E24"/>
    <w:rsid w:val="00053582"/>
    <w:rsid w:val="0005382E"/>
    <w:rsid w:val="00054620"/>
    <w:rsid w:val="00054C3A"/>
    <w:rsid w:val="00056429"/>
    <w:rsid w:val="0005727E"/>
    <w:rsid w:val="00057BED"/>
    <w:rsid w:val="00057BF0"/>
    <w:rsid w:val="00057D71"/>
    <w:rsid w:val="0006040F"/>
    <w:rsid w:val="0006188D"/>
    <w:rsid w:val="00061AE1"/>
    <w:rsid w:val="00061F07"/>
    <w:rsid w:val="0006476C"/>
    <w:rsid w:val="0006660A"/>
    <w:rsid w:val="000667F0"/>
    <w:rsid w:val="000701A3"/>
    <w:rsid w:val="00070385"/>
    <w:rsid w:val="00071312"/>
    <w:rsid w:val="00071543"/>
    <w:rsid w:val="0007258F"/>
    <w:rsid w:val="00073ED9"/>
    <w:rsid w:val="00074A11"/>
    <w:rsid w:val="000756F9"/>
    <w:rsid w:val="00077451"/>
    <w:rsid w:val="00080E93"/>
    <w:rsid w:val="00080FA3"/>
    <w:rsid w:val="00080FCF"/>
    <w:rsid w:val="00081F8B"/>
    <w:rsid w:val="000827CE"/>
    <w:rsid w:val="00084283"/>
    <w:rsid w:val="00084D6F"/>
    <w:rsid w:val="00085725"/>
    <w:rsid w:val="00085C1D"/>
    <w:rsid w:val="0008679A"/>
    <w:rsid w:val="000869A1"/>
    <w:rsid w:val="000869E9"/>
    <w:rsid w:val="0009194C"/>
    <w:rsid w:val="00091D65"/>
    <w:rsid w:val="00091F98"/>
    <w:rsid w:val="00093160"/>
    <w:rsid w:val="00093FCB"/>
    <w:rsid w:val="00094DE0"/>
    <w:rsid w:val="0009546D"/>
    <w:rsid w:val="000963FD"/>
    <w:rsid w:val="00096DB5"/>
    <w:rsid w:val="0009744E"/>
    <w:rsid w:val="000A01C6"/>
    <w:rsid w:val="000A058B"/>
    <w:rsid w:val="000A27AC"/>
    <w:rsid w:val="000A2B08"/>
    <w:rsid w:val="000A336A"/>
    <w:rsid w:val="000A3E3B"/>
    <w:rsid w:val="000A40EC"/>
    <w:rsid w:val="000A59E8"/>
    <w:rsid w:val="000A748E"/>
    <w:rsid w:val="000B03CE"/>
    <w:rsid w:val="000B0C67"/>
    <w:rsid w:val="000B0C96"/>
    <w:rsid w:val="000B0F16"/>
    <w:rsid w:val="000B1D12"/>
    <w:rsid w:val="000B27C5"/>
    <w:rsid w:val="000B464C"/>
    <w:rsid w:val="000B51D1"/>
    <w:rsid w:val="000B5FC2"/>
    <w:rsid w:val="000B6D7F"/>
    <w:rsid w:val="000C17F0"/>
    <w:rsid w:val="000C18C8"/>
    <w:rsid w:val="000C1D8A"/>
    <w:rsid w:val="000C207E"/>
    <w:rsid w:val="000C54D0"/>
    <w:rsid w:val="000C5632"/>
    <w:rsid w:val="000C5C71"/>
    <w:rsid w:val="000C63D2"/>
    <w:rsid w:val="000C6D32"/>
    <w:rsid w:val="000C7873"/>
    <w:rsid w:val="000D0836"/>
    <w:rsid w:val="000D0A2D"/>
    <w:rsid w:val="000D1F38"/>
    <w:rsid w:val="000D2762"/>
    <w:rsid w:val="000D36EB"/>
    <w:rsid w:val="000D47C9"/>
    <w:rsid w:val="000D562E"/>
    <w:rsid w:val="000D68AA"/>
    <w:rsid w:val="000D7AF2"/>
    <w:rsid w:val="000E21CA"/>
    <w:rsid w:val="000E2E83"/>
    <w:rsid w:val="000E372B"/>
    <w:rsid w:val="000E383B"/>
    <w:rsid w:val="000E3C39"/>
    <w:rsid w:val="000E4CEB"/>
    <w:rsid w:val="000E52FF"/>
    <w:rsid w:val="000E686D"/>
    <w:rsid w:val="000E69BB"/>
    <w:rsid w:val="000F06C0"/>
    <w:rsid w:val="000F0C8B"/>
    <w:rsid w:val="000F39DC"/>
    <w:rsid w:val="000F5804"/>
    <w:rsid w:val="000F61AC"/>
    <w:rsid w:val="000F64A0"/>
    <w:rsid w:val="00102AF8"/>
    <w:rsid w:val="00104176"/>
    <w:rsid w:val="00105080"/>
    <w:rsid w:val="00105F6D"/>
    <w:rsid w:val="00107FE6"/>
    <w:rsid w:val="00110714"/>
    <w:rsid w:val="00110E48"/>
    <w:rsid w:val="00111329"/>
    <w:rsid w:val="00112486"/>
    <w:rsid w:val="00113D03"/>
    <w:rsid w:val="001147E3"/>
    <w:rsid w:val="00114ECA"/>
    <w:rsid w:val="00116032"/>
    <w:rsid w:val="001166EB"/>
    <w:rsid w:val="00116B47"/>
    <w:rsid w:val="0011792A"/>
    <w:rsid w:val="00117ED5"/>
    <w:rsid w:val="001204B8"/>
    <w:rsid w:val="00122507"/>
    <w:rsid w:val="00122C56"/>
    <w:rsid w:val="00123AE8"/>
    <w:rsid w:val="00124836"/>
    <w:rsid w:val="00124DF2"/>
    <w:rsid w:val="00125A1E"/>
    <w:rsid w:val="0013073F"/>
    <w:rsid w:val="00131854"/>
    <w:rsid w:val="001321F6"/>
    <w:rsid w:val="00135CCB"/>
    <w:rsid w:val="00141D42"/>
    <w:rsid w:val="00141DA9"/>
    <w:rsid w:val="00142923"/>
    <w:rsid w:val="00142A41"/>
    <w:rsid w:val="001430B8"/>
    <w:rsid w:val="00143679"/>
    <w:rsid w:val="0014400C"/>
    <w:rsid w:val="00144DAC"/>
    <w:rsid w:val="00144F76"/>
    <w:rsid w:val="00145DB4"/>
    <w:rsid w:val="00146053"/>
    <w:rsid w:val="001468BC"/>
    <w:rsid w:val="00147844"/>
    <w:rsid w:val="00147E1A"/>
    <w:rsid w:val="00151A59"/>
    <w:rsid w:val="00151C62"/>
    <w:rsid w:val="00152EBF"/>
    <w:rsid w:val="00152F1D"/>
    <w:rsid w:val="0015592E"/>
    <w:rsid w:val="00155F09"/>
    <w:rsid w:val="00156411"/>
    <w:rsid w:val="001567DB"/>
    <w:rsid w:val="00156D82"/>
    <w:rsid w:val="00157401"/>
    <w:rsid w:val="0016098E"/>
    <w:rsid w:val="00161F0E"/>
    <w:rsid w:val="00162D60"/>
    <w:rsid w:val="00162EC8"/>
    <w:rsid w:val="00163C6E"/>
    <w:rsid w:val="00164886"/>
    <w:rsid w:val="00164AE4"/>
    <w:rsid w:val="0016594D"/>
    <w:rsid w:val="001661D3"/>
    <w:rsid w:val="0017077F"/>
    <w:rsid w:val="00171EF2"/>
    <w:rsid w:val="00171F3C"/>
    <w:rsid w:val="00172A27"/>
    <w:rsid w:val="00173202"/>
    <w:rsid w:val="00173A37"/>
    <w:rsid w:val="00173F77"/>
    <w:rsid w:val="001745C7"/>
    <w:rsid w:val="00174DD2"/>
    <w:rsid w:val="0017538D"/>
    <w:rsid w:val="00175475"/>
    <w:rsid w:val="001758B9"/>
    <w:rsid w:val="00175A82"/>
    <w:rsid w:val="00175BE1"/>
    <w:rsid w:val="00175CE5"/>
    <w:rsid w:val="00176109"/>
    <w:rsid w:val="00176D96"/>
    <w:rsid w:val="00177857"/>
    <w:rsid w:val="001779E0"/>
    <w:rsid w:val="00177CD7"/>
    <w:rsid w:val="00183381"/>
    <w:rsid w:val="0018340F"/>
    <w:rsid w:val="00183784"/>
    <w:rsid w:val="001837DC"/>
    <w:rsid w:val="00183823"/>
    <w:rsid w:val="001841B5"/>
    <w:rsid w:val="001861E4"/>
    <w:rsid w:val="00193079"/>
    <w:rsid w:val="00195DA4"/>
    <w:rsid w:val="00197591"/>
    <w:rsid w:val="001A0524"/>
    <w:rsid w:val="001A1923"/>
    <w:rsid w:val="001A1D01"/>
    <w:rsid w:val="001A2132"/>
    <w:rsid w:val="001A4517"/>
    <w:rsid w:val="001A6606"/>
    <w:rsid w:val="001A6DD3"/>
    <w:rsid w:val="001A79CE"/>
    <w:rsid w:val="001B0192"/>
    <w:rsid w:val="001B1851"/>
    <w:rsid w:val="001B2043"/>
    <w:rsid w:val="001B25F2"/>
    <w:rsid w:val="001B749F"/>
    <w:rsid w:val="001C05F8"/>
    <w:rsid w:val="001C0E53"/>
    <w:rsid w:val="001C1285"/>
    <w:rsid w:val="001C1CC6"/>
    <w:rsid w:val="001C267E"/>
    <w:rsid w:val="001C2AA7"/>
    <w:rsid w:val="001C3EA3"/>
    <w:rsid w:val="001C4CA6"/>
    <w:rsid w:val="001C5172"/>
    <w:rsid w:val="001C5928"/>
    <w:rsid w:val="001C6182"/>
    <w:rsid w:val="001C653F"/>
    <w:rsid w:val="001C701A"/>
    <w:rsid w:val="001C70BA"/>
    <w:rsid w:val="001D0908"/>
    <w:rsid w:val="001D1424"/>
    <w:rsid w:val="001D2FEC"/>
    <w:rsid w:val="001D31D5"/>
    <w:rsid w:val="001D389D"/>
    <w:rsid w:val="001D47C9"/>
    <w:rsid w:val="001D4A42"/>
    <w:rsid w:val="001D5572"/>
    <w:rsid w:val="001D65E0"/>
    <w:rsid w:val="001D7359"/>
    <w:rsid w:val="001D743F"/>
    <w:rsid w:val="001D74A9"/>
    <w:rsid w:val="001E2123"/>
    <w:rsid w:val="001E35DA"/>
    <w:rsid w:val="001E4160"/>
    <w:rsid w:val="001E57F6"/>
    <w:rsid w:val="001E5856"/>
    <w:rsid w:val="001E718D"/>
    <w:rsid w:val="001E77EF"/>
    <w:rsid w:val="001E7DB3"/>
    <w:rsid w:val="001E7FA4"/>
    <w:rsid w:val="001F063D"/>
    <w:rsid w:val="001F0BC3"/>
    <w:rsid w:val="001F2167"/>
    <w:rsid w:val="001F30EF"/>
    <w:rsid w:val="001F3832"/>
    <w:rsid w:val="001F405B"/>
    <w:rsid w:val="001F4D82"/>
    <w:rsid w:val="00202B8E"/>
    <w:rsid w:val="00202E40"/>
    <w:rsid w:val="002043AE"/>
    <w:rsid w:val="00204674"/>
    <w:rsid w:val="00204F09"/>
    <w:rsid w:val="00206673"/>
    <w:rsid w:val="0021010D"/>
    <w:rsid w:val="00210448"/>
    <w:rsid w:val="0021065B"/>
    <w:rsid w:val="00210679"/>
    <w:rsid w:val="00211722"/>
    <w:rsid w:val="00212259"/>
    <w:rsid w:val="002136B9"/>
    <w:rsid w:val="00214BB8"/>
    <w:rsid w:val="00217F42"/>
    <w:rsid w:val="00220F21"/>
    <w:rsid w:val="0022159B"/>
    <w:rsid w:val="00221757"/>
    <w:rsid w:val="00221FFD"/>
    <w:rsid w:val="00222969"/>
    <w:rsid w:val="00222D88"/>
    <w:rsid w:val="00223949"/>
    <w:rsid w:val="00225118"/>
    <w:rsid w:val="00225CBE"/>
    <w:rsid w:val="00225F71"/>
    <w:rsid w:val="00226015"/>
    <w:rsid w:val="00226B37"/>
    <w:rsid w:val="00226D75"/>
    <w:rsid w:val="002270A1"/>
    <w:rsid w:val="00231F27"/>
    <w:rsid w:val="002324C0"/>
    <w:rsid w:val="00232747"/>
    <w:rsid w:val="002332EC"/>
    <w:rsid w:val="00235764"/>
    <w:rsid w:val="00235F50"/>
    <w:rsid w:val="0023623E"/>
    <w:rsid w:val="00237618"/>
    <w:rsid w:val="0024027F"/>
    <w:rsid w:val="0024201B"/>
    <w:rsid w:val="002432DA"/>
    <w:rsid w:val="002442C2"/>
    <w:rsid w:val="00244ADC"/>
    <w:rsid w:val="0024520F"/>
    <w:rsid w:val="00245450"/>
    <w:rsid w:val="00251ABE"/>
    <w:rsid w:val="00252678"/>
    <w:rsid w:val="00252CE0"/>
    <w:rsid w:val="002534E6"/>
    <w:rsid w:val="00254F7D"/>
    <w:rsid w:val="002569CE"/>
    <w:rsid w:val="002576A9"/>
    <w:rsid w:val="002600F4"/>
    <w:rsid w:val="0026085F"/>
    <w:rsid w:val="0026134F"/>
    <w:rsid w:val="0026143A"/>
    <w:rsid w:val="002616DB"/>
    <w:rsid w:val="00261787"/>
    <w:rsid w:val="00264E07"/>
    <w:rsid w:val="00265906"/>
    <w:rsid w:val="00265F99"/>
    <w:rsid w:val="0026642C"/>
    <w:rsid w:val="00266438"/>
    <w:rsid w:val="0026719A"/>
    <w:rsid w:val="00270258"/>
    <w:rsid w:val="00272A68"/>
    <w:rsid w:val="00273859"/>
    <w:rsid w:val="00273B92"/>
    <w:rsid w:val="002740FC"/>
    <w:rsid w:val="002752A4"/>
    <w:rsid w:val="002805FC"/>
    <w:rsid w:val="00283014"/>
    <w:rsid w:val="00283C61"/>
    <w:rsid w:val="00284129"/>
    <w:rsid w:val="00285DF8"/>
    <w:rsid w:val="00285ED9"/>
    <w:rsid w:val="002866C4"/>
    <w:rsid w:val="0028741F"/>
    <w:rsid w:val="002874E3"/>
    <w:rsid w:val="00287A63"/>
    <w:rsid w:val="00290121"/>
    <w:rsid w:val="00291D58"/>
    <w:rsid w:val="00293D08"/>
    <w:rsid w:val="00294B45"/>
    <w:rsid w:val="0029666A"/>
    <w:rsid w:val="002A03FD"/>
    <w:rsid w:val="002A0967"/>
    <w:rsid w:val="002A0B4A"/>
    <w:rsid w:val="002A1E87"/>
    <w:rsid w:val="002A2EF0"/>
    <w:rsid w:val="002A4577"/>
    <w:rsid w:val="002A462E"/>
    <w:rsid w:val="002A537D"/>
    <w:rsid w:val="002A5CE5"/>
    <w:rsid w:val="002A6342"/>
    <w:rsid w:val="002A6FCC"/>
    <w:rsid w:val="002A7247"/>
    <w:rsid w:val="002A760C"/>
    <w:rsid w:val="002A791D"/>
    <w:rsid w:val="002A7EF4"/>
    <w:rsid w:val="002B098D"/>
    <w:rsid w:val="002B1821"/>
    <w:rsid w:val="002B270F"/>
    <w:rsid w:val="002B28DB"/>
    <w:rsid w:val="002B3D62"/>
    <w:rsid w:val="002B510D"/>
    <w:rsid w:val="002B5123"/>
    <w:rsid w:val="002B597F"/>
    <w:rsid w:val="002B7104"/>
    <w:rsid w:val="002C0003"/>
    <w:rsid w:val="002C0FE7"/>
    <w:rsid w:val="002C1422"/>
    <w:rsid w:val="002C1BBB"/>
    <w:rsid w:val="002C24E7"/>
    <w:rsid w:val="002C2BAD"/>
    <w:rsid w:val="002C30A3"/>
    <w:rsid w:val="002C3ACB"/>
    <w:rsid w:val="002C402B"/>
    <w:rsid w:val="002C5594"/>
    <w:rsid w:val="002C6A07"/>
    <w:rsid w:val="002C718A"/>
    <w:rsid w:val="002C77DD"/>
    <w:rsid w:val="002D19B7"/>
    <w:rsid w:val="002D1C1E"/>
    <w:rsid w:val="002D1C57"/>
    <w:rsid w:val="002D21C5"/>
    <w:rsid w:val="002D269B"/>
    <w:rsid w:val="002D3050"/>
    <w:rsid w:val="002D3C7E"/>
    <w:rsid w:val="002D4992"/>
    <w:rsid w:val="002D55D6"/>
    <w:rsid w:val="002D7A05"/>
    <w:rsid w:val="002E0529"/>
    <w:rsid w:val="002E0C14"/>
    <w:rsid w:val="002E187F"/>
    <w:rsid w:val="002E1C22"/>
    <w:rsid w:val="002E2C4F"/>
    <w:rsid w:val="002E2D9E"/>
    <w:rsid w:val="002E3CA4"/>
    <w:rsid w:val="002E5441"/>
    <w:rsid w:val="002E610E"/>
    <w:rsid w:val="002E6CB0"/>
    <w:rsid w:val="002E77EE"/>
    <w:rsid w:val="002E7DE2"/>
    <w:rsid w:val="002F09E5"/>
    <w:rsid w:val="002F1AE4"/>
    <w:rsid w:val="002F1BED"/>
    <w:rsid w:val="002F3101"/>
    <w:rsid w:val="002F48A9"/>
    <w:rsid w:val="002F64A8"/>
    <w:rsid w:val="002F6E6A"/>
    <w:rsid w:val="003024FD"/>
    <w:rsid w:val="00302782"/>
    <w:rsid w:val="00302BDF"/>
    <w:rsid w:val="00302EE5"/>
    <w:rsid w:val="003044FC"/>
    <w:rsid w:val="00305362"/>
    <w:rsid w:val="003058AE"/>
    <w:rsid w:val="00305966"/>
    <w:rsid w:val="00305E05"/>
    <w:rsid w:val="00306384"/>
    <w:rsid w:val="0030659E"/>
    <w:rsid w:val="00306912"/>
    <w:rsid w:val="0031062C"/>
    <w:rsid w:val="00310790"/>
    <w:rsid w:val="00310906"/>
    <w:rsid w:val="00311B44"/>
    <w:rsid w:val="00312E55"/>
    <w:rsid w:val="00312E75"/>
    <w:rsid w:val="003138E3"/>
    <w:rsid w:val="00313917"/>
    <w:rsid w:val="00314E16"/>
    <w:rsid w:val="00315318"/>
    <w:rsid w:val="0031602C"/>
    <w:rsid w:val="003169CC"/>
    <w:rsid w:val="00316EE5"/>
    <w:rsid w:val="00320144"/>
    <w:rsid w:val="003202D0"/>
    <w:rsid w:val="003206A6"/>
    <w:rsid w:val="0032230C"/>
    <w:rsid w:val="0032284D"/>
    <w:rsid w:val="003232C0"/>
    <w:rsid w:val="00324E55"/>
    <w:rsid w:val="00327684"/>
    <w:rsid w:val="00330CD6"/>
    <w:rsid w:val="0033133D"/>
    <w:rsid w:val="0033232A"/>
    <w:rsid w:val="003330D6"/>
    <w:rsid w:val="00334C0E"/>
    <w:rsid w:val="00335140"/>
    <w:rsid w:val="0033551A"/>
    <w:rsid w:val="00335B73"/>
    <w:rsid w:val="00336466"/>
    <w:rsid w:val="00336CC6"/>
    <w:rsid w:val="00336FD0"/>
    <w:rsid w:val="0033714C"/>
    <w:rsid w:val="003408E5"/>
    <w:rsid w:val="00340B3B"/>
    <w:rsid w:val="00341244"/>
    <w:rsid w:val="00341586"/>
    <w:rsid w:val="00341B9F"/>
    <w:rsid w:val="003430D9"/>
    <w:rsid w:val="00343D6B"/>
    <w:rsid w:val="00346790"/>
    <w:rsid w:val="00347654"/>
    <w:rsid w:val="00350A9A"/>
    <w:rsid w:val="00351E7D"/>
    <w:rsid w:val="00352EF8"/>
    <w:rsid w:val="00353535"/>
    <w:rsid w:val="00353DC8"/>
    <w:rsid w:val="00354323"/>
    <w:rsid w:val="003544BA"/>
    <w:rsid w:val="00354752"/>
    <w:rsid w:val="0035499E"/>
    <w:rsid w:val="003555F2"/>
    <w:rsid w:val="00355E80"/>
    <w:rsid w:val="00355E88"/>
    <w:rsid w:val="003632FF"/>
    <w:rsid w:val="00363B59"/>
    <w:rsid w:val="00365015"/>
    <w:rsid w:val="00365900"/>
    <w:rsid w:val="0036613D"/>
    <w:rsid w:val="00366997"/>
    <w:rsid w:val="003674D5"/>
    <w:rsid w:val="003677C0"/>
    <w:rsid w:val="00370BBE"/>
    <w:rsid w:val="003710A9"/>
    <w:rsid w:val="00371A50"/>
    <w:rsid w:val="00372737"/>
    <w:rsid w:val="00373E46"/>
    <w:rsid w:val="00374AE7"/>
    <w:rsid w:val="00374CEB"/>
    <w:rsid w:val="003751DA"/>
    <w:rsid w:val="003754BE"/>
    <w:rsid w:val="00375761"/>
    <w:rsid w:val="00376EF6"/>
    <w:rsid w:val="00377582"/>
    <w:rsid w:val="00377841"/>
    <w:rsid w:val="003779C5"/>
    <w:rsid w:val="00380389"/>
    <w:rsid w:val="00380C34"/>
    <w:rsid w:val="003820AA"/>
    <w:rsid w:val="00383C89"/>
    <w:rsid w:val="00384DBF"/>
    <w:rsid w:val="00385385"/>
    <w:rsid w:val="003869B0"/>
    <w:rsid w:val="003878FA"/>
    <w:rsid w:val="00390A1B"/>
    <w:rsid w:val="00390A25"/>
    <w:rsid w:val="00390C77"/>
    <w:rsid w:val="00390D90"/>
    <w:rsid w:val="00391110"/>
    <w:rsid w:val="003918E0"/>
    <w:rsid w:val="00394B18"/>
    <w:rsid w:val="00394D60"/>
    <w:rsid w:val="00396729"/>
    <w:rsid w:val="003A2520"/>
    <w:rsid w:val="003A2760"/>
    <w:rsid w:val="003A302E"/>
    <w:rsid w:val="003A429E"/>
    <w:rsid w:val="003A42E0"/>
    <w:rsid w:val="003A4D6B"/>
    <w:rsid w:val="003A6414"/>
    <w:rsid w:val="003A6496"/>
    <w:rsid w:val="003A72A6"/>
    <w:rsid w:val="003A7860"/>
    <w:rsid w:val="003B0311"/>
    <w:rsid w:val="003B1284"/>
    <w:rsid w:val="003B1DCC"/>
    <w:rsid w:val="003B3E5E"/>
    <w:rsid w:val="003B44AD"/>
    <w:rsid w:val="003B4F29"/>
    <w:rsid w:val="003B4FB7"/>
    <w:rsid w:val="003B60C5"/>
    <w:rsid w:val="003B6758"/>
    <w:rsid w:val="003B6D8D"/>
    <w:rsid w:val="003B793F"/>
    <w:rsid w:val="003C02CF"/>
    <w:rsid w:val="003C094A"/>
    <w:rsid w:val="003C0DA8"/>
    <w:rsid w:val="003C19C9"/>
    <w:rsid w:val="003C214A"/>
    <w:rsid w:val="003C28DE"/>
    <w:rsid w:val="003C2FDC"/>
    <w:rsid w:val="003C3377"/>
    <w:rsid w:val="003C34A5"/>
    <w:rsid w:val="003C39C6"/>
    <w:rsid w:val="003C3A9C"/>
    <w:rsid w:val="003C6834"/>
    <w:rsid w:val="003D0BB9"/>
    <w:rsid w:val="003D2D6F"/>
    <w:rsid w:val="003D3130"/>
    <w:rsid w:val="003D34E4"/>
    <w:rsid w:val="003D3781"/>
    <w:rsid w:val="003D3F7C"/>
    <w:rsid w:val="003D429E"/>
    <w:rsid w:val="003D6AC7"/>
    <w:rsid w:val="003D74D5"/>
    <w:rsid w:val="003E2C80"/>
    <w:rsid w:val="003E2F27"/>
    <w:rsid w:val="003E36C1"/>
    <w:rsid w:val="003E3934"/>
    <w:rsid w:val="003E54E8"/>
    <w:rsid w:val="003E5A77"/>
    <w:rsid w:val="003E604F"/>
    <w:rsid w:val="003E6126"/>
    <w:rsid w:val="003E69F7"/>
    <w:rsid w:val="003E6A3A"/>
    <w:rsid w:val="003E79DC"/>
    <w:rsid w:val="003F2A0F"/>
    <w:rsid w:val="003F3268"/>
    <w:rsid w:val="003F3D56"/>
    <w:rsid w:val="003F4B66"/>
    <w:rsid w:val="003F5E5C"/>
    <w:rsid w:val="003F5FCA"/>
    <w:rsid w:val="003F6136"/>
    <w:rsid w:val="003F6A14"/>
    <w:rsid w:val="003F7C22"/>
    <w:rsid w:val="00400AF3"/>
    <w:rsid w:val="00401F30"/>
    <w:rsid w:val="004036FA"/>
    <w:rsid w:val="00404166"/>
    <w:rsid w:val="0040547A"/>
    <w:rsid w:val="004054AB"/>
    <w:rsid w:val="00406E12"/>
    <w:rsid w:val="004070C4"/>
    <w:rsid w:val="00407314"/>
    <w:rsid w:val="0041117D"/>
    <w:rsid w:val="00411BA3"/>
    <w:rsid w:val="00414BBC"/>
    <w:rsid w:val="0041556F"/>
    <w:rsid w:val="00416300"/>
    <w:rsid w:val="0041632F"/>
    <w:rsid w:val="0041710B"/>
    <w:rsid w:val="0041761D"/>
    <w:rsid w:val="00420308"/>
    <w:rsid w:val="00420823"/>
    <w:rsid w:val="00420B1F"/>
    <w:rsid w:val="00421DBC"/>
    <w:rsid w:val="004231EA"/>
    <w:rsid w:val="00423C60"/>
    <w:rsid w:val="00423DF6"/>
    <w:rsid w:val="00424357"/>
    <w:rsid w:val="0042498E"/>
    <w:rsid w:val="004258FA"/>
    <w:rsid w:val="00425B42"/>
    <w:rsid w:val="00425D71"/>
    <w:rsid w:val="00426589"/>
    <w:rsid w:val="004302F6"/>
    <w:rsid w:val="00430BAF"/>
    <w:rsid w:val="00430D69"/>
    <w:rsid w:val="0043115C"/>
    <w:rsid w:val="0043183F"/>
    <w:rsid w:val="00432564"/>
    <w:rsid w:val="00433EE3"/>
    <w:rsid w:val="00434366"/>
    <w:rsid w:val="0043587D"/>
    <w:rsid w:val="00436E08"/>
    <w:rsid w:val="00437AF6"/>
    <w:rsid w:val="00440109"/>
    <w:rsid w:val="00440390"/>
    <w:rsid w:val="00440552"/>
    <w:rsid w:val="004427CD"/>
    <w:rsid w:val="0044285D"/>
    <w:rsid w:val="00443BDC"/>
    <w:rsid w:val="00443CBA"/>
    <w:rsid w:val="0044524B"/>
    <w:rsid w:val="00446404"/>
    <w:rsid w:val="004466FB"/>
    <w:rsid w:val="00446AB4"/>
    <w:rsid w:val="00446BDB"/>
    <w:rsid w:val="004470A9"/>
    <w:rsid w:val="004510C3"/>
    <w:rsid w:val="004511AD"/>
    <w:rsid w:val="00451997"/>
    <w:rsid w:val="00452243"/>
    <w:rsid w:val="004535B1"/>
    <w:rsid w:val="004543A2"/>
    <w:rsid w:val="004546CB"/>
    <w:rsid w:val="0045663E"/>
    <w:rsid w:val="00456E4C"/>
    <w:rsid w:val="004577C8"/>
    <w:rsid w:val="0046062F"/>
    <w:rsid w:val="0046175F"/>
    <w:rsid w:val="00462BDC"/>
    <w:rsid w:val="00462FE7"/>
    <w:rsid w:val="00463DF7"/>
    <w:rsid w:val="00466DBE"/>
    <w:rsid w:val="00466F64"/>
    <w:rsid w:val="00467451"/>
    <w:rsid w:val="00467465"/>
    <w:rsid w:val="00467B54"/>
    <w:rsid w:val="004703D3"/>
    <w:rsid w:val="004713B7"/>
    <w:rsid w:val="00471847"/>
    <w:rsid w:val="0047200D"/>
    <w:rsid w:val="00472109"/>
    <w:rsid w:val="00472F9A"/>
    <w:rsid w:val="00474EA4"/>
    <w:rsid w:val="00475666"/>
    <w:rsid w:val="0047618D"/>
    <w:rsid w:val="004778A0"/>
    <w:rsid w:val="0048154B"/>
    <w:rsid w:val="00481FB3"/>
    <w:rsid w:val="004825B7"/>
    <w:rsid w:val="00482D68"/>
    <w:rsid w:val="00482DB2"/>
    <w:rsid w:val="00483D81"/>
    <w:rsid w:val="00485098"/>
    <w:rsid w:val="00486E9B"/>
    <w:rsid w:val="004872E0"/>
    <w:rsid w:val="00491BCF"/>
    <w:rsid w:val="0049229F"/>
    <w:rsid w:val="00494347"/>
    <w:rsid w:val="004A1719"/>
    <w:rsid w:val="004A17D3"/>
    <w:rsid w:val="004A19EE"/>
    <w:rsid w:val="004A2DFC"/>
    <w:rsid w:val="004A3417"/>
    <w:rsid w:val="004A3F5D"/>
    <w:rsid w:val="004A46D4"/>
    <w:rsid w:val="004A4F10"/>
    <w:rsid w:val="004A52DC"/>
    <w:rsid w:val="004B0BF2"/>
    <w:rsid w:val="004B1AC9"/>
    <w:rsid w:val="004B2168"/>
    <w:rsid w:val="004B2E50"/>
    <w:rsid w:val="004B325F"/>
    <w:rsid w:val="004B341D"/>
    <w:rsid w:val="004B5F47"/>
    <w:rsid w:val="004B6534"/>
    <w:rsid w:val="004B76CD"/>
    <w:rsid w:val="004C19AB"/>
    <w:rsid w:val="004C2350"/>
    <w:rsid w:val="004C470B"/>
    <w:rsid w:val="004C50BF"/>
    <w:rsid w:val="004C5258"/>
    <w:rsid w:val="004C52A2"/>
    <w:rsid w:val="004C5767"/>
    <w:rsid w:val="004D0CB7"/>
    <w:rsid w:val="004D0CC8"/>
    <w:rsid w:val="004D252A"/>
    <w:rsid w:val="004D291A"/>
    <w:rsid w:val="004D3D48"/>
    <w:rsid w:val="004D41E5"/>
    <w:rsid w:val="004D5209"/>
    <w:rsid w:val="004D5320"/>
    <w:rsid w:val="004D5825"/>
    <w:rsid w:val="004D5CB0"/>
    <w:rsid w:val="004D5E20"/>
    <w:rsid w:val="004D6EC7"/>
    <w:rsid w:val="004D7A65"/>
    <w:rsid w:val="004E0FAD"/>
    <w:rsid w:val="004E10C2"/>
    <w:rsid w:val="004E19C9"/>
    <w:rsid w:val="004E1C22"/>
    <w:rsid w:val="004E232D"/>
    <w:rsid w:val="004E380E"/>
    <w:rsid w:val="004E404C"/>
    <w:rsid w:val="004E4EAA"/>
    <w:rsid w:val="004E5354"/>
    <w:rsid w:val="004E548A"/>
    <w:rsid w:val="004E754F"/>
    <w:rsid w:val="004F1232"/>
    <w:rsid w:val="004F1416"/>
    <w:rsid w:val="004F1775"/>
    <w:rsid w:val="004F185F"/>
    <w:rsid w:val="004F3353"/>
    <w:rsid w:val="004F35F0"/>
    <w:rsid w:val="004F3C1B"/>
    <w:rsid w:val="004F45C0"/>
    <w:rsid w:val="004F4824"/>
    <w:rsid w:val="004F56DF"/>
    <w:rsid w:val="004F60A3"/>
    <w:rsid w:val="004F6446"/>
    <w:rsid w:val="004F6865"/>
    <w:rsid w:val="004F7C23"/>
    <w:rsid w:val="00500796"/>
    <w:rsid w:val="00501DDA"/>
    <w:rsid w:val="005050E4"/>
    <w:rsid w:val="00505F2B"/>
    <w:rsid w:val="00506B7F"/>
    <w:rsid w:val="00507662"/>
    <w:rsid w:val="00507DFB"/>
    <w:rsid w:val="00510ABA"/>
    <w:rsid w:val="005118C9"/>
    <w:rsid w:val="00512C87"/>
    <w:rsid w:val="00512CCD"/>
    <w:rsid w:val="00512D2A"/>
    <w:rsid w:val="00514BD2"/>
    <w:rsid w:val="0051633A"/>
    <w:rsid w:val="00516F7A"/>
    <w:rsid w:val="00517411"/>
    <w:rsid w:val="00517E1B"/>
    <w:rsid w:val="0052237E"/>
    <w:rsid w:val="005223FE"/>
    <w:rsid w:val="0052251C"/>
    <w:rsid w:val="00522961"/>
    <w:rsid w:val="00522EC1"/>
    <w:rsid w:val="005243B1"/>
    <w:rsid w:val="00526E06"/>
    <w:rsid w:val="0052789C"/>
    <w:rsid w:val="00530A4A"/>
    <w:rsid w:val="00531F44"/>
    <w:rsid w:val="00532918"/>
    <w:rsid w:val="00533771"/>
    <w:rsid w:val="00534656"/>
    <w:rsid w:val="005372FC"/>
    <w:rsid w:val="00541FEF"/>
    <w:rsid w:val="005426CD"/>
    <w:rsid w:val="005428D6"/>
    <w:rsid w:val="00543E30"/>
    <w:rsid w:val="00544E68"/>
    <w:rsid w:val="00545811"/>
    <w:rsid w:val="00545DAA"/>
    <w:rsid w:val="00545E78"/>
    <w:rsid w:val="00547575"/>
    <w:rsid w:val="00550454"/>
    <w:rsid w:val="00551153"/>
    <w:rsid w:val="00551739"/>
    <w:rsid w:val="00551A63"/>
    <w:rsid w:val="00553EE5"/>
    <w:rsid w:val="00554BFB"/>
    <w:rsid w:val="00555BA4"/>
    <w:rsid w:val="00555D9F"/>
    <w:rsid w:val="005578E6"/>
    <w:rsid w:val="00557DEF"/>
    <w:rsid w:val="00563A33"/>
    <w:rsid w:val="005651C4"/>
    <w:rsid w:val="0056732C"/>
    <w:rsid w:val="00567BEB"/>
    <w:rsid w:val="00567D55"/>
    <w:rsid w:val="00570862"/>
    <w:rsid w:val="00571309"/>
    <w:rsid w:val="00571467"/>
    <w:rsid w:val="00571D09"/>
    <w:rsid w:val="00572457"/>
    <w:rsid w:val="005727B9"/>
    <w:rsid w:val="00574488"/>
    <w:rsid w:val="0057740D"/>
    <w:rsid w:val="0058005B"/>
    <w:rsid w:val="00581869"/>
    <w:rsid w:val="00581BA3"/>
    <w:rsid w:val="00582CB4"/>
    <w:rsid w:val="0058391F"/>
    <w:rsid w:val="0058446B"/>
    <w:rsid w:val="0058638A"/>
    <w:rsid w:val="005874F2"/>
    <w:rsid w:val="00587C37"/>
    <w:rsid w:val="00590A04"/>
    <w:rsid w:val="00590FBF"/>
    <w:rsid w:val="00593B75"/>
    <w:rsid w:val="00594FC2"/>
    <w:rsid w:val="005968F2"/>
    <w:rsid w:val="00596D97"/>
    <w:rsid w:val="00597C7A"/>
    <w:rsid w:val="005A0306"/>
    <w:rsid w:val="005A0B5E"/>
    <w:rsid w:val="005A0D09"/>
    <w:rsid w:val="005A10C6"/>
    <w:rsid w:val="005A2CE5"/>
    <w:rsid w:val="005A4F27"/>
    <w:rsid w:val="005A5A51"/>
    <w:rsid w:val="005A60DE"/>
    <w:rsid w:val="005A613A"/>
    <w:rsid w:val="005A76BC"/>
    <w:rsid w:val="005A7BE0"/>
    <w:rsid w:val="005B0A17"/>
    <w:rsid w:val="005B2E06"/>
    <w:rsid w:val="005B3430"/>
    <w:rsid w:val="005B5623"/>
    <w:rsid w:val="005B6F76"/>
    <w:rsid w:val="005B7BAF"/>
    <w:rsid w:val="005C06CD"/>
    <w:rsid w:val="005C2591"/>
    <w:rsid w:val="005C2D44"/>
    <w:rsid w:val="005C35DF"/>
    <w:rsid w:val="005C3D30"/>
    <w:rsid w:val="005C53CC"/>
    <w:rsid w:val="005C57FA"/>
    <w:rsid w:val="005C7792"/>
    <w:rsid w:val="005C7C68"/>
    <w:rsid w:val="005C7E4F"/>
    <w:rsid w:val="005D0420"/>
    <w:rsid w:val="005D09C5"/>
    <w:rsid w:val="005D10D3"/>
    <w:rsid w:val="005D150E"/>
    <w:rsid w:val="005D1671"/>
    <w:rsid w:val="005D174E"/>
    <w:rsid w:val="005D2780"/>
    <w:rsid w:val="005D2D2C"/>
    <w:rsid w:val="005D37A9"/>
    <w:rsid w:val="005D3E69"/>
    <w:rsid w:val="005D3F74"/>
    <w:rsid w:val="005D6305"/>
    <w:rsid w:val="005D6363"/>
    <w:rsid w:val="005D681B"/>
    <w:rsid w:val="005D6D27"/>
    <w:rsid w:val="005E0C04"/>
    <w:rsid w:val="005E0DEB"/>
    <w:rsid w:val="005E0F4A"/>
    <w:rsid w:val="005E2568"/>
    <w:rsid w:val="005E2EB9"/>
    <w:rsid w:val="005E3D55"/>
    <w:rsid w:val="005E4ED5"/>
    <w:rsid w:val="005E6291"/>
    <w:rsid w:val="005E6698"/>
    <w:rsid w:val="005E736B"/>
    <w:rsid w:val="005E763E"/>
    <w:rsid w:val="005E7EFD"/>
    <w:rsid w:val="005E7FA3"/>
    <w:rsid w:val="005F0177"/>
    <w:rsid w:val="005F066E"/>
    <w:rsid w:val="005F106F"/>
    <w:rsid w:val="005F1269"/>
    <w:rsid w:val="005F13E6"/>
    <w:rsid w:val="005F3175"/>
    <w:rsid w:val="005F3E47"/>
    <w:rsid w:val="005F449C"/>
    <w:rsid w:val="005F4F77"/>
    <w:rsid w:val="005F54C0"/>
    <w:rsid w:val="005F55EB"/>
    <w:rsid w:val="005F6EAD"/>
    <w:rsid w:val="005F79B8"/>
    <w:rsid w:val="00602805"/>
    <w:rsid w:val="00602DDF"/>
    <w:rsid w:val="00602E3A"/>
    <w:rsid w:val="0060345B"/>
    <w:rsid w:val="006036CC"/>
    <w:rsid w:val="00603D0C"/>
    <w:rsid w:val="006043CA"/>
    <w:rsid w:val="006048E2"/>
    <w:rsid w:val="00604DF6"/>
    <w:rsid w:val="00605CF0"/>
    <w:rsid w:val="00610319"/>
    <w:rsid w:val="00610686"/>
    <w:rsid w:val="00610B83"/>
    <w:rsid w:val="00611582"/>
    <w:rsid w:val="00611727"/>
    <w:rsid w:val="00611886"/>
    <w:rsid w:val="00611910"/>
    <w:rsid w:val="00611ECD"/>
    <w:rsid w:val="0061348F"/>
    <w:rsid w:val="006134CB"/>
    <w:rsid w:val="0061375F"/>
    <w:rsid w:val="00614AE0"/>
    <w:rsid w:val="006158F1"/>
    <w:rsid w:val="006162B1"/>
    <w:rsid w:val="00616935"/>
    <w:rsid w:val="00617B33"/>
    <w:rsid w:val="00621893"/>
    <w:rsid w:val="0062287A"/>
    <w:rsid w:val="00623A2E"/>
    <w:rsid w:val="006258A9"/>
    <w:rsid w:val="00632345"/>
    <w:rsid w:val="00632C65"/>
    <w:rsid w:val="00633379"/>
    <w:rsid w:val="00635060"/>
    <w:rsid w:val="00635824"/>
    <w:rsid w:val="00636F4B"/>
    <w:rsid w:val="00640563"/>
    <w:rsid w:val="006412F7"/>
    <w:rsid w:val="0064240E"/>
    <w:rsid w:val="006425CF"/>
    <w:rsid w:val="006428DB"/>
    <w:rsid w:val="0064401F"/>
    <w:rsid w:val="00644A5D"/>
    <w:rsid w:val="00644BF7"/>
    <w:rsid w:val="00645066"/>
    <w:rsid w:val="00645152"/>
    <w:rsid w:val="00645FC2"/>
    <w:rsid w:val="00646006"/>
    <w:rsid w:val="006475E0"/>
    <w:rsid w:val="00647ACA"/>
    <w:rsid w:val="00647C20"/>
    <w:rsid w:val="00647E8B"/>
    <w:rsid w:val="00650AE1"/>
    <w:rsid w:val="0065103D"/>
    <w:rsid w:val="00651CCE"/>
    <w:rsid w:val="00651E6F"/>
    <w:rsid w:val="006534B9"/>
    <w:rsid w:val="006565A6"/>
    <w:rsid w:val="00656E7A"/>
    <w:rsid w:val="00657CE8"/>
    <w:rsid w:val="00660AC4"/>
    <w:rsid w:val="00660B57"/>
    <w:rsid w:val="00660D74"/>
    <w:rsid w:val="00661376"/>
    <w:rsid w:val="006619A9"/>
    <w:rsid w:val="00664286"/>
    <w:rsid w:val="0066582B"/>
    <w:rsid w:val="00665FA3"/>
    <w:rsid w:val="00667AB8"/>
    <w:rsid w:val="0067037C"/>
    <w:rsid w:val="00671438"/>
    <w:rsid w:val="00671DE7"/>
    <w:rsid w:val="006729D8"/>
    <w:rsid w:val="00673691"/>
    <w:rsid w:val="00673E1D"/>
    <w:rsid w:val="0067619D"/>
    <w:rsid w:val="006762A4"/>
    <w:rsid w:val="0067722E"/>
    <w:rsid w:val="006777EC"/>
    <w:rsid w:val="00682CC6"/>
    <w:rsid w:val="00682D62"/>
    <w:rsid w:val="0068394A"/>
    <w:rsid w:val="00683E0A"/>
    <w:rsid w:val="006865F2"/>
    <w:rsid w:val="00686641"/>
    <w:rsid w:val="00687AEE"/>
    <w:rsid w:val="00690561"/>
    <w:rsid w:val="0069153E"/>
    <w:rsid w:val="0069241F"/>
    <w:rsid w:val="00693B1E"/>
    <w:rsid w:val="00693FBD"/>
    <w:rsid w:val="006969D4"/>
    <w:rsid w:val="00697BAC"/>
    <w:rsid w:val="006A1D0D"/>
    <w:rsid w:val="006A2A8C"/>
    <w:rsid w:val="006A45EB"/>
    <w:rsid w:val="006A51BE"/>
    <w:rsid w:val="006A60B7"/>
    <w:rsid w:val="006A6AA6"/>
    <w:rsid w:val="006A6F83"/>
    <w:rsid w:val="006A7875"/>
    <w:rsid w:val="006B0298"/>
    <w:rsid w:val="006B074D"/>
    <w:rsid w:val="006B0BC7"/>
    <w:rsid w:val="006B12A6"/>
    <w:rsid w:val="006B16C3"/>
    <w:rsid w:val="006B1DCA"/>
    <w:rsid w:val="006B244C"/>
    <w:rsid w:val="006B2B23"/>
    <w:rsid w:val="006B3685"/>
    <w:rsid w:val="006B3D74"/>
    <w:rsid w:val="006B58CA"/>
    <w:rsid w:val="006B5C36"/>
    <w:rsid w:val="006B7B78"/>
    <w:rsid w:val="006C01F5"/>
    <w:rsid w:val="006C0DE9"/>
    <w:rsid w:val="006C277A"/>
    <w:rsid w:val="006C6F3F"/>
    <w:rsid w:val="006C75BD"/>
    <w:rsid w:val="006D0D09"/>
    <w:rsid w:val="006D1133"/>
    <w:rsid w:val="006D25C4"/>
    <w:rsid w:val="006D2E52"/>
    <w:rsid w:val="006D36E1"/>
    <w:rsid w:val="006D3994"/>
    <w:rsid w:val="006D4306"/>
    <w:rsid w:val="006D7EB1"/>
    <w:rsid w:val="006E1957"/>
    <w:rsid w:val="006E1A58"/>
    <w:rsid w:val="006E2245"/>
    <w:rsid w:val="006E3CD1"/>
    <w:rsid w:val="006E45C2"/>
    <w:rsid w:val="006E560C"/>
    <w:rsid w:val="006E5E7C"/>
    <w:rsid w:val="006E5F5B"/>
    <w:rsid w:val="006E7A2B"/>
    <w:rsid w:val="006F081C"/>
    <w:rsid w:val="006F1028"/>
    <w:rsid w:val="006F180D"/>
    <w:rsid w:val="006F1CED"/>
    <w:rsid w:val="006F1DAF"/>
    <w:rsid w:val="006F2557"/>
    <w:rsid w:val="006F2816"/>
    <w:rsid w:val="006F2A9B"/>
    <w:rsid w:val="006F46F9"/>
    <w:rsid w:val="006F4863"/>
    <w:rsid w:val="006F7849"/>
    <w:rsid w:val="006F7D0B"/>
    <w:rsid w:val="00700B10"/>
    <w:rsid w:val="00701BA8"/>
    <w:rsid w:val="00703C5E"/>
    <w:rsid w:val="00704417"/>
    <w:rsid w:val="0070534B"/>
    <w:rsid w:val="0070694A"/>
    <w:rsid w:val="00710DEB"/>
    <w:rsid w:val="00712155"/>
    <w:rsid w:val="007126C4"/>
    <w:rsid w:val="00712BDB"/>
    <w:rsid w:val="00715F37"/>
    <w:rsid w:val="00716FBE"/>
    <w:rsid w:val="00720923"/>
    <w:rsid w:val="00720BE4"/>
    <w:rsid w:val="00720C26"/>
    <w:rsid w:val="00721EBC"/>
    <w:rsid w:val="00721F9E"/>
    <w:rsid w:val="00722A09"/>
    <w:rsid w:val="007239D5"/>
    <w:rsid w:val="00727947"/>
    <w:rsid w:val="00730402"/>
    <w:rsid w:val="007304B6"/>
    <w:rsid w:val="0073153A"/>
    <w:rsid w:val="00732078"/>
    <w:rsid w:val="00732E77"/>
    <w:rsid w:val="007333D0"/>
    <w:rsid w:val="00733931"/>
    <w:rsid w:val="00733F58"/>
    <w:rsid w:val="00735699"/>
    <w:rsid w:val="007363E7"/>
    <w:rsid w:val="00737E1F"/>
    <w:rsid w:val="00741D54"/>
    <w:rsid w:val="007424A4"/>
    <w:rsid w:val="00742B37"/>
    <w:rsid w:val="0074421A"/>
    <w:rsid w:val="00746382"/>
    <w:rsid w:val="007507C1"/>
    <w:rsid w:val="00753764"/>
    <w:rsid w:val="00753825"/>
    <w:rsid w:val="00753BD8"/>
    <w:rsid w:val="00753E1A"/>
    <w:rsid w:val="00753EAB"/>
    <w:rsid w:val="00754479"/>
    <w:rsid w:val="007558FF"/>
    <w:rsid w:val="00755E3D"/>
    <w:rsid w:val="007566FF"/>
    <w:rsid w:val="00756DE0"/>
    <w:rsid w:val="00757AB7"/>
    <w:rsid w:val="00760678"/>
    <w:rsid w:val="0076095D"/>
    <w:rsid w:val="007620E8"/>
    <w:rsid w:val="007658C4"/>
    <w:rsid w:val="00766747"/>
    <w:rsid w:val="00766B00"/>
    <w:rsid w:val="00770618"/>
    <w:rsid w:val="007745DA"/>
    <w:rsid w:val="00774A07"/>
    <w:rsid w:val="0077607A"/>
    <w:rsid w:val="00776DD2"/>
    <w:rsid w:val="00776FB2"/>
    <w:rsid w:val="00777451"/>
    <w:rsid w:val="00777468"/>
    <w:rsid w:val="007778C1"/>
    <w:rsid w:val="0078008E"/>
    <w:rsid w:val="00780879"/>
    <w:rsid w:val="00782B7B"/>
    <w:rsid w:val="00784701"/>
    <w:rsid w:val="00784EB3"/>
    <w:rsid w:val="00786769"/>
    <w:rsid w:val="007928FA"/>
    <w:rsid w:val="00792960"/>
    <w:rsid w:val="007933E7"/>
    <w:rsid w:val="007936CE"/>
    <w:rsid w:val="00794808"/>
    <w:rsid w:val="00796263"/>
    <w:rsid w:val="00797859"/>
    <w:rsid w:val="00797C04"/>
    <w:rsid w:val="00797CB5"/>
    <w:rsid w:val="00797F43"/>
    <w:rsid w:val="007A02E9"/>
    <w:rsid w:val="007A0932"/>
    <w:rsid w:val="007A362B"/>
    <w:rsid w:val="007A3F12"/>
    <w:rsid w:val="007A4321"/>
    <w:rsid w:val="007A4854"/>
    <w:rsid w:val="007A5DCA"/>
    <w:rsid w:val="007A5FE7"/>
    <w:rsid w:val="007A70BF"/>
    <w:rsid w:val="007A7245"/>
    <w:rsid w:val="007A7640"/>
    <w:rsid w:val="007B130D"/>
    <w:rsid w:val="007B1880"/>
    <w:rsid w:val="007B29B8"/>
    <w:rsid w:val="007B327B"/>
    <w:rsid w:val="007B371D"/>
    <w:rsid w:val="007B5793"/>
    <w:rsid w:val="007B736E"/>
    <w:rsid w:val="007B75AD"/>
    <w:rsid w:val="007C03D9"/>
    <w:rsid w:val="007C048A"/>
    <w:rsid w:val="007C0CE5"/>
    <w:rsid w:val="007C11CD"/>
    <w:rsid w:val="007C141A"/>
    <w:rsid w:val="007C1B12"/>
    <w:rsid w:val="007C1B32"/>
    <w:rsid w:val="007C2309"/>
    <w:rsid w:val="007C2503"/>
    <w:rsid w:val="007C2551"/>
    <w:rsid w:val="007C25C9"/>
    <w:rsid w:val="007C26F8"/>
    <w:rsid w:val="007C4266"/>
    <w:rsid w:val="007C4ACD"/>
    <w:rsid w:val="007C4E0D"/>
    <w:rsid w:val="007C5A09"/>
    <w:rsid w:val="007C72E8"/>
    <w:rsid w:val="007C7863"/>
    <w:rsid w:val="007C7CAA"/>
    <w:rsid w:val="007D0D85"/>
    <w:rsid w:val="007D12DB"/>
    <w:rsid w:val="007D1FDC"/>
    <w:rsid w:val="007D2DF9"/>
    <w:rsid w:val="007D3BB0"/>
    <w:rsid w:val="007D3CC6"/>
    <w:rsid w:val="007D49C8"/>
    <w:rsid w:val="007D4D43"/>
    <w:rsid w:val="007D51C4"/>
    <w:rsid w:val="007D53A1"/>
    <w:rsid w:val="007D5B57"/>
    <w:rsid w:val="007D6260"/>
    <w:rsid w:val="007D6615"/>
    <w:rsid w:val="007D6C00"/>
    <w:rsid w:val="007E167C"/>
    <w:rsid w:val="007E2395"/>
    <w:rsid w:val="007E2CBC"/>
    <w:rsid w:val="007E30AB"/>
    <w:rsid w:val="007E35FC"/>
    <w:rsid w:val="007E4A3D"/>
    <w:rsid w:val="007E51B1"/>
    <w:rsid w:val="007E5B65"/>
    <w:rsid w:val="007E6FE6"/>
    <w:rsid w:val="007E79B8"/>
    <w:rsid w:val="007F032B"/>
    <w:rsid w:val="007F07CE"/>
    <w:rsid w:val="007F0CAA"/>
    <w:rsid w:val="007F18A9"/>
    <w:rsid w:val="007F1C09"/>
    <w:rsid w:val="007F1C5D"/>
    <w:rsid w:val="007F2382"/>
    <w:rsid w:val="007F3C9E"/>
    <w:rsid w:val="007F5254"/>
    <w:rsid w:val="007F58B9"/>
    <w:rsid w:val="007F6722"/>
    <w:rsid w:val="007F7404"/>
    <w:rsid w:val="008001A5"/>
    <w:rsid w:val="008022B7"/>
    <w:rsid w:val="008030D0"/>
    <w:rsid w:val="00803815"/>
    <w:rsid w:val="00803F5C"/>
    <w:rsid w:val="008043B5"/>
    <w:rsid w:val="008045BE"/>
    <w:rsid w:val="00804E87"/>
    <w:rsid w:val="00804EBA"/>
    <w:rsid w:val="00805212"/>
    <w:rsid w:val="0080642E"/>
    <w:rsid w:val="008069B4"/>
    <w:rsid w:val="00807855"/>
    <w:rsid w:val="00807D6E"/>
    <w:rsid w:val="0081123D"/>
    <w:rsid w:val="00813D12"/>
    <w:rsid w:val="0081491E"/>
    <w:rsid w:val="00814EFC"/>
    <w:rsid w:val="0081664C"/>
    <w:rsid w:val="008167BD"/>
    <w:rsid w:val="00816C9D"/>
    <w:rsid w:val="008170D7"/>
    <w:rsid w:val="0081717D"/>
    <w:rsid w:val="008179A0"/>
    <w:rsid w:val="00817BD0"/>
    <w:rsid w:val="008200BF"/>
    <w:rsid w:val="008203D4"/>
    <w:rsid w:val="00821D6B"/>
    <w:rsid w:val="008224AF"/>
    <w:rsid w:val="00822ACB"/>
    <w:rsid w:val="008243B1"/>
    <w:rsid w:val="00824829"/>
    <w:rsid w:val="008253CE"/>
    <w:rsid w:val="00825BC2"/>
    <w:rsid w:val="00826265"/>
    <w:rsid w:val="00826BA2"/>
    <w:rsid w:val="00827C38"/>
    <w:rsid w:val="00832126"/>
    <w:rsid w:val="00834D14"/>
    <w:rsid w:val="008350C0"/>
    <w:rsid w:val="0083642A"/>
    <w:rsid w:val="00842786"/>
    <w:rsid w:val="00842F40"/>
    <w:rsid w:val="00843F1B"/>
    <w:rsid w:val="0084426B"/>
    <w:rsid w:val="008453FB"/>
    <w:rsid w:val="008455D8"/>
    <w:rsid w:val="008459C8"/>
    <w:rsid w:val="00846F77"/>
    <w:rsid w:val="00847041"/>
    <w:rsid w:val="00847C45"/>
    <w:rsid w:val="00847DFE"/>
    <w:rsid w:val="0085115D"/>
    <w:rsid w:val="00852503"/>
    <w:rsid w:val="00853424"/>
    <w:rsid w:val="0085483C"/>
    <w:rsid w:val="00855384"/>
    <w:rsid w:val="00855468"/>
    <w:rsid w:val="008554D4"/>
    <w:rsid w:val="0085580A"/>
    <w:rsid w:val="00855827"/>
    <w:rsid w:val="00856401"/>
    <w:rsid w:val="008566CD"/>
    <w:rsid w:val="00856B6D"/>
    <w:rsid w:val="00856D7B"/>
    <w:rsid w:val="00856F2D"/>
    <w:rsid w:val="00857CF0"/>
    <w:rsid w:val="00861784"/>
    <w:rsid w:val="008628A8"/>
    <w:rsid w:val="00862F76"/>
    <w:rsid w:val="00862FA7"/>
    <w:rsid w:val="00865085"/>
    <w:rsid w:val="0086546C"/>
    <w:rsid w:val="00865B04"/>
    <w:rsid w:val="00870829"/>
    <w:rsid w:val="00872252"/>
    <w:rsid w:val="00873B1A"/>
    <w:rsid w:val="00874519"/>
    <w:rsid w:val="008747CE"/>
    <w:rsid w:val="008756D0"/>
    <w:rsid w:val="0087640C"/>
    <w:rsid w:val="00877B73"/>
    <w:rsid w:val="00880F66"/>
    <w:rsid w:val="00881C3F"/>
    <w:rsid w:val="00881D58"/>
    <w:rsid w:val="00882452"/>
    <w:rsid w:val="0088246A"/>
    <w:rsid w:val="00883AF2"/>
    <w:rsid w:val="0088413D"/>
    <w:rsid w:val="00884D44"/>
    <w:rsid w:val="0088666A"/>
    <w:rsid w:val="008910FC"/>
    <w:rsid w:val="00891A6B"/>
    <w:rsid w:val="00893011"/>
    <w:rsid w:val="0089362E"/>
    <w:rsid w:val="0089411C"/>
    <w:rsid w:val="00894CB7"/>
    <w:rsid w:val="0089550B"/>
    <w:rsid w:val="008959FA"/>
    <w:rsid w:val="00895FA3"/>
    <w:rsid w:val="00896AC5"/>
    <w:rsid w:val="00897538"/>
    <w:rsid w:val="00897591"/>
    <w:rsid w:val="00897C2A"/>
    <w:rsid w:val="008A0CD1"/>
    <w:rsid w:val="008A2E58"/>
    <w:rsid w:val="008A304B"/>
    <w:rsid w:val="008A3988"/>
    <w:rsid w:val="008A622D"/>
    <w:rsid w:val="008A6EA8"/>
    <w:rsid w:val="008B0D53"/>
    <w:rsid w:val="008B15DB"/>
    <w:rsid w:val="008B1B63"/>
    <w:rsid w:val="008B1D2F"/>
    <w:rsid w:val="008B20F1"/>
    <w:rsid w:val="008B2124"/>
    <w:rsid w:val="008B250A"/>
    <w:rsid w:val="008B2747"/>
    <w:rsid w:val="008B31DB"/>
    <w:rsid w:val="008B402A"/>
    <w:rsid w:val="008B42E4"/>
    <w:rsid w:val="008B4BA8"/>
    <w:rsid w:val="008B5438"/>
    <w:rsid w:val="008C022A"/>
    <w:rsid w:val="008C0254"/>
    <w:rsid w:val="008C0950"/>
    <w:rsid w:val="008C0C09"/>
    <w:rsid w:val="008C19EB"/>
    <w:rsid w:val="008C2312"/>
    <w:rsid w:val="008C270D"/>
    <w:rsid w:val="008C308F"/>
    <w:rsid w:val="008C33FD"/>
    <w:rsid w:val="008C4C88"/>
    <w:rsid w:val="008C4FBB"/>
    <w:rsid w:val="008C599F"/>
    <w:rsid w:val="008C6B9F"/>
    <w:rsid w:val="008D14EE"/>
    <w:rsid w:val="008D1590"/>
    <w:rsid w:val="008D1622"/>
    <w:rsid w:val="008D1B1D"/>
    <w:rsid w:val="008D4DFA"/>
    <w:rsid w:val="008D4E9E"/>
    <w:rsid w:val="008E04C0"/>
    <w:rsid w:val="008E0A3A"/>
    <w:rsid w:val="008E193D"/>
    <w:rsid w:val="008E26C4"/>
    <w:rsid w:val="008E2E54"/>
    <w:rsid w:val="008E3D9D"/>
    <w:rsid w:val="008E3F79"/>
    <w:rsid w:val="008E434C"/>
    <w:rsid w:val="008E76E9"/>
    <w:rsid w:val="008F010F"/>
    <w:rsid w:val="008F1389"/>
    <w:rsid w:val="008F2811"/>
    <w:rsid w:val="008F3635"/>
    <w:rsid w:val="008F4957"/>
    <w:rsid w:val="008F5033"/>
    <w:rsid w:val="008F5C39"/>
    <w:rsid w:val="008F6910"/>
    <w:rsid w:val="0090002A"/>
    <w:rsid w:val="009006FB"/>
    <w:rsid w:val="0090072A"/>
    <w:rsid w:val="00901E72"/>
    <w:rsid w:val="00904141"/>
    <w:rsid w:val="00904158"/>
    <w:rsid w:val="00904188"/>
    <w:rsid w:val="00904A81"/>
    <w:rsid w:val="0090642A"/>
    <w:rsid w:val="00906B52"/>
    <w:rsid w:val="00906DBA"/>
    <w:rsid w:val="00907E23"/>
    <w:rsid w:val="009100CE"/>
    <w:rsid w:val="009112ED"/>
    <w:rsid w:val="00912212"/>
    <w:rsid w:val="009127B4"/>
    <w:rsid w:val="00913150"/>
    <w:rsid w:val="00913BFE"/>
    <w:rsid w:val="00913E73"/>
    <w:rsid w:val="00917723"/>
    <w:rsid w:val="00920694"/>
    <w:rsid w:val="0092076E"/>
    <w:rsid w:val="0092086D"/>
    <w:rsid w:val="00920D17"/>
    <w:rsid w:val="00921326"/>
    <w:rsid w:val="00921759"/>
    <w:rsid w:val="009217CC"/>
    <w:rsid w:val="00921B39"/>
    <w:rsid w:val="009224CE"/>
    <w:rsid w:val="00925869"/>
    <w:rsid w:val="00925AFE"/>
    <w:rsid w:val="00926290"/>
    <w:rsid w:val="00927F1F"/>
    <w:rsid w:val="009329EA"/>
    <w:rsid w:val="00932AAF"/>
    <w:rsid w:val="0093442A"/>
    <w:rsid w:val="00936CD4"/>
    <w:rsid w:val="00937835"/>
    <w:rsid w:val="0094048E"/>
    <w:rsid w:val="0094058C"/>
    <w:rsid w:val="00941674"/>
    <w:rsid w:val="00942647"/>
    <w:rsid w:val="00943012"/>
    <w:rsid w:val="009449B7"/>
    <w:rsid w:val="009451E2"/>
    <w:rsid w:val="0094611B"/>
    <w:rsid w:val="00946588"/>
    <w:rsid w:val="00946891"/>
    <w:rsid w:val="009472B5"/>
    <w:rsid w:val="009479D0"/>
    <w:rsid w:val="00954CE1"/>
    <w:rsid w:val="0095525F"/>
    <w:rsid w:val="009555B1"/>
    <w:rsid w:val="009556EB"/>
    <w:rsid w:val="00956907"/>
    <w:rsid w:val="00956D0D"/>
    <w:rsid w:val="00957048"/>
    <w:rsid w:val="00957FA4"/>
    <w:rsid w:val="00960288"/>
    <w:rsid w:val="00960D8D"/>
    <w:rsid w:val="00960FE5"/>
    <w:rsid w:val="009611E6"/>
    <w:rsid w:val="009624ED"/>
    <w:rsid w:val="00964270"/>
    <w:rsid w:val="00964B7E"/>
    <w:rsid w:val="00965841"/>
    <w:rsid w:val="00965F08"/>
    <w:rsid w:val="00966146"/>
    <w:rsid w:val="00966656"/>
    <w:rsid w:val="00967852"/>
    <w:rsid w:val="00971B8D"/>
    <w:rsid w:val="00973EAA"/>
    <w:rsid w:val="00974F78"/>
    <w:rsid w:val="00975877"/>
    <w:rsid w:val="00975C64"/>
    <w:rsid w:val="00975E5B"/>
    <w:rsid w:val="0098033A"/>
    <w:rsid w:val="00980A2F"/>
    <w:rsid w:val="00980B3E"/>
    <w:rsid w:val="00983DBE"/>
    <w:rsid w:val="00984846"/>
    <w:rsid w:val="00984DCA"/>
    <w:rsid w:val="009859E7"/>
    <w:rsid w:val="00990711"/>
    <w:rsid w:val="00990A37"/>
    <w:rsid w:val="00990B94"/>
    <w:rsid w:val="009918B1"/>
    <w:rsid w:val="00992ABC"/>
    <w:rsid w:val="00993BB7"/>
    <w:rsid w:val="009946A5"/>
    <w:rsid w:val="00994C26"/>
    <w:rsid w:val="00995D83"/>
    <w:rsid w:val="0099728B"/>
    <w:rsid w:val="0099736E"/>
    <w:rsid w:val="009A012D"/>
    <w:rsid w:val="009A0883"/>
    <w:rsid w:val="009A22AB"/>
    <w:rsid w:val="009A3B45"/>
    <w:rsid w:val="009A70D2"/>
    <w:rsid w:val="009A7756"/>
    <w:rsid w:val="009B0850"/>
    <w:rsid w:val="009B09D2"/>
    <w:rsid w:val="009B1A6D"/>
    <w:rsid w:val="009B1E19"/>
    <w:rsid w:val="009B26F5"/>
    <w:rsid w:val="009B4889"/>
    <w:rsid w:val="009B5D1A"/>
    <w:rsid w:val="009B5DC9"/>
    <w:rsid w:val="009B66EC"/>
    <w:rsid w:val="009B6F67"/>
    <w:rsid w:val="009B7B3C"/>
    <w:rsid w:val="009C05B5"/>
    <w:rsid w:val="009C0B2C"/>
    <w:rsid w:val="009C105E"/>
    <w:rsid w:val="009C11FC"/>
    <w:rsid w:val="009C15CF"/>
    <w:rsid w:val="009C2023"/>
    <w:rsid w:val="009C2082"/>
    <w:rsid w:val="009C308E"/>
    <w:rsid w:val="009C3912"/>
    <w:rsid w:val="009C50C3"/>
    <w:rsid w:val="009C514F"/>
    <w:rsid w:val="009C534E"/>
    <w:rsid w:val="009C55B1"/>
    <w:rsid w:val="009C6B6C"/>
    <w:rsid w:val="009C7575"/>
    <w:rsid w:val="009D0557"/>
    <w:rsid w:val="009D1386"/>
    <w:rsid w:val="009D1873"/>
    <w:rsid w:val="009D3D81"/>
    <w:rsid w:val="009D69CD"/>
    <w:rsid w:val="009D6DCB"/>
    <w:rsid w:val="009D7E32"/>
    <w:rsid w:val="009E17A5"/>
    <w:rsid w:val="009E1EC1"/>
    <w:rsid w:val="009E3847"/>
    <w:rsid w:val="009E5329"/>
    <w:rsid w:val="009E5DB0"/>
    <w:rsid w:val="009E5DB6"/>
    <w:rsid w:val="009E5E13"/>
    <w:rsid w:val="009E60BB"/>
    <w:rsid w:val="009E67C9"/>
    <w:rsid w:val="009E6DD0"/>
    <w:rsid w:val="009E74FF"/>
    <w:rsid w:val="009E7681"/>
    <w:rsid w:val="009F22A6"/>
    <w:rsid w:val="009F28AE"/>
    <w:rsid w:val="009F392E"/>
    <w:rsid w:val="009F4329"/>
    <w:rsid w:val="009F4C81"/>
    <w:rsid w:val="009F5560"/>
    <w:rsid w:val="00A019A9"/>
    <w:rsid w:val="00A01D8A"/>
    <w:rsid w:val="00A025C5"/>
    <w:rsid w:val="00A043DD"/>
    <w:rsid w:val="00A05707"/>
    <w:rsid w:val="00A0602D"/>
    <w:rsid w:val="00A06074"/>
    <w:rsid w:val="00A07775"/>
    <w:rsid w:val="00A07FAD"/>
    <w:rsid w:val="00A114B5"/>
    <w:rsid w:val="00A11A7A"/>
    <w:rsid w:val="00A126A7"/>
    <w:rsid w:val="00A13C05"/>
    <w:rsid w:val="00A13F92"/>
    <w:rsid w:val="00A14FA6"/>
    <w:rsid w:val="00A15343"/>
    <w:rsid w:val="00A1554A"/>
    <w:rsid w:val="00A1585D"/>
    <w:rsid w:val="00A1659D"/>
    <w:rsid w:val="00A17CB4"/>
    <w:rsid w:val="00A21279"/>
    <w:rsid w:val="00A238E8"/>
    <w:rsid w:val="00A257F0"/>
    <w:rsid w:val="00A25F4F"/>
    <w:rsid w:val="00A27565"/>
    <w:rsid w:val="00A2758E"/>
    <w:rsid w:val="00A30208"/>
    <w:rsid w:val="00A30B15"/>
    <w:rsid w:val="00A30FBB"/>
    <w:rsid w:val="00A32256"/>
    <w:rsid w:val="00A32458"/>
    <w:rsid w:val="00A32537"/>
    <w:rsid w:val="00A325A2"/>
    <w:rsid w:val="00A3430A"/>
    <w:rsid w:val="00A361E4"/>
    <w:rsid w:val="00A40B5C"/>
    <w:rsid w:val="00A41371"/>
    <w:rsid w:val="00A4142F"/>
    <w:rsid w:val="00A430FE"/>
    <w:rsid w:val="00A44C35"/>
    <w:rsid w:val="00A45893"/>
    <w:rsid w:val="00A46E01"/>
    <w:rsid w:val="00A5072C"/>
    <w:rsid w:val="00A51A90"/>
    <w:rsid w:val="00A51F61"/>
    <w:rsid w:val="00A52718"/>
    <w:rsid w:val="00A538D4"/>
    <w:rsid w:val="00A53AC6"/>
    <w:rsid w:val="00A53B22"/>
    <w:rsid w:val="00A54D2C"/>
    <w:rsid w:val="00A6063D"/>
    <w:rsid w:val="00A606FD"/>
    <w:rsid w:val="00A6173B"/>
    <w:rsid w:val="00A618D0"/>
    <w:rsid w:val="00A6451C"/>
    <w:rsid w:val="00A651DD"/>
    <w:rsid w:val="00A65848"/>
    <w:rsid w:val="00A702C3"/>
    <w:rsid w:val="00A71A54"/>
    <w:rsid w:val="00A71F17"/>
    <w:rsid w:val="00A73187"/>
    <w:rsid w:val="00A73A9A"/>
    <w:rsid w:val="00A73D2B"/>
    <w:rsid w:val="00A7443B"/>
    <w:rsid w:val="00A753FF"/>
    <w:rsid w:val="00A76816"/>
    <w:rsid w:val="00A771FE"/>
    <w:rsid w:val="00A77399"/>
    <w:rsid w:val="00A774A6"/>
    <w:rsid w:val="00A800EE"/>
    <w:rsid w:val="00A80BE1"/>
    <w:rsid w:val="00A80C42"/>
    <w:rsid w:val="00A83368"/>
    <w:rsid w:val="00A83989"/>
    <w:rsid w:val="00A846C9"/>
    <w:rsid w:val="00A85086"/>
    <w:rsid w:val="00A85A2D"/>
    <w:rsid w:val="00A85AE2"/>
    <w:rsid w:val="00A863B5"/>
    <w:rsid w:val="00A86DD2"/>
    <w:rsid w:val="00A87F7D"/>
    <w:rsid w:val="00A90A81"/>
    <w:rsid w:val="00A91502"/>
    <w:rsid w:val="00A91B16"/>
    <w:rsid w:val="00A930EB"/>
    <w:rsid w:val="00A94034"/>
    <w:rsid w:val="00A95D29"/>
    <w:rsid w:val="00AA0838"/>
    <w:rsid w:val="00AA2E76"/>
    <w:rsid w:val="00AA33DD"/>
    <w:rsid w:val="00AA3763"/>
    <w:rsid w:val="00AA4794"/>
    <w:rsid w:val="00AA61E7"/>
    <w:rsid w:val="00AA6728"/>
    <w:rsid w:val="00AA6C34"/>
    <w:rsid w:val="00AB1397"/>
    <w:rsid w:val="00AB319F"/>
    <w:rsid w:val="00AB330F"/>
    <w:rsid w:val="00AB46CF"/>
    <w:rsid w:val="00AB47B2"/>
    <w:rsid w:val="00AB5AC8"/>
    <w:rsid w:val="00AB76CB"/>
    <w:rsid w:val="00AB7872"/>
    <w:rsid w:val="00AB7A14"/>
    <w:rsid w:val="00AB7B02"/>
    <w:rsid w:val="00AC09C2"/>
    <w:rsid w:val="00AC33CD"/>
    <w:rsid w:val="00AC6358"/>
    <w:rsid w:val="00AC6784"/>
    <w:rsid w:val="00AC7714"/>
    <w:rsid w:val="00AC7FA0"/>
    <w:rsid w:val="00AD0258"/>
    <w:rsid w:val="00AD1513"/>
    <w:rsid w:val="00AD1734"/>
    <w:rsid w:val="00AD17D3"/>
    <w:rsid w:val="00AD1E4E"/>
    <w:rsid w:val="00AD3758"/>
    <w:rsid w:val="00AD3EA2"/>
    <w:rsid w:val="00AD44D9"/>
    <w:rsid w:val="00AD4AE6"/>
    <w:rsid w:val="00AD4E86"/>
    <w:rsid w:val="00AD62A9"/>
    <w:rsid w:val="00AD6930"/>
    <w:rsid w:val="00AD6EEA"/>
    <w:rsid w:val="00AD74D9"/>
    <w:rsid w:val="00AE0746"/>
    <w:rsid w:val="00AE2105"/>
    <w:rsid w:val="00AE39A9"/>
    <w:rsid w:val="00AE5EBA"/>
    <w:rsid w:val="00AE6725"/>
    <w:rsid w:val="00AE6D13"/>
    <w:rsid w:val="00AE7775"/>
    <w:rsid w:val="00AF00BA"/>
    <w:rsid w:val="00AF0F2F"/>
    <w:rsid w:val="00AF135B"/>
    <w:rsid w:val="00AF18C1"/>
    <w:rsid w:val="00AF1E7F"/>
    <w:rsid w:val="00AF1EAE"/>
    <w:rsid w:val="00AF23D2"/>
    <w:rsid w:val="00AF2A1A"/>
    <w:rsid w:val="00AF30CC"/>
    <w:rsid w:val="00AF35FA"/>
    <w:rsid w:val="00AF48BB"/>
    <w:rsid w:val="00AF584A"/>
    <w:rsid w:val="00AF5EB0"/>
    <w:rsid w:val="00AF79C1"/>
    <w:rsid w:val="00B009C4"/>
    <w:rsid w:val="00B00BC6"/>
    <w:rsid w:val="00B02178"/>
    <w:rsid w:val="00B02F27"/>
    <w:rsid w:val="00B030FF"/>
    <w:rsid w:val="00B03489"/>
    <w:rsid w:val="00B04073"/>
    <w:rsid w:val="00B04786"/>
    <w:rsid w:val="00B05B1B"/>
    <w:rsid w:val="00B11082"/>
    <w:rsid w:val="00B12E72"/>
    <w:rsid w:val="00B130F8"/>
    <w:rsid w:val="00B155B9"/>
    <w:rsid w:val="00B15AB1"/>
    <w:rsid w:val="00B1649A"/>
    <w:rsid w:val="00B16BB4"/>
    <w:rsid w:val="00B17B3C"/>
    <w:rsid w:val="00B20598"/>
    <w:rsid w:val="00B213DA"/>
    <w:rsid w:val="00B21A96"/>
    <w:rsid w:val="00B227D7"/>
    <w:rsid w:val="00B23C5D"/>
    <w:rsid w:val="00B2453C"/>
    <w:rsid w:val="00B24F40"/>
    <w:rsid w:val="00B26C70"/>
    <w:rsid w:val="00B2794D"/>
    <w:rsid w:val="00B30208"/>
    <w:rsid w:val="00B303BC"/>
    <w:rsid w:val="00B306FA"/>
    <w:rsid w:val="00B30CA5"/>
    <w:rsid w:val="00B30EDF"/>
    <w:rsid w:val="00B327E7"/>
    <w:rsid w:val="00B33CB3"/>
    <w:rsid w:val="00B34EC1"/>
    <w:rsid w:val="00B35A7D"/>
    <w:rsid w:val="00B35F82"/>
    <w:rsid w:val="00B36B1F"/>
    <w:rsid w:val="00B371BD"/>
    <w:rsid w:val="00B404F1"/>
    <w:rsid w:val="00B404FA"/>
    <w:rsid w:val="00B41DC2"/>
    <w:rsid w:val="00B42283"/>
    <w:rsid w:val="00B43586"/>
    <w:rsid w:val="00B44270"/>
    <w:rsid w:val="00B445F2"/>
    <w:rsid w:val="00B44E13"/>
    <w:rsid w:val="00B463E7"/>
    <w:rsid w:val="00B47461"/>
    <w:rsid w:val="00B5234E"/>
    <w:rsid w:val="00B5250F"/>
    <w:rsid w:val="00B525CD"/>
    <w:rsid w:val="00B5298F"/>
    <w:rsid w:val="00B52A45"/>
    <w:rsid w:val="00B53763"/>
    <w:rsid w:val="00B55314"/>
    <w:rsid w:val="00B55D2C"/>
    <w:rsid w:val="00B55EA8"/>
    <w:rsid w:val="00B55EAB"/>
    <w:rsid w:val="00B61221"/>
    <w:rsid w:val="00B62009"/>
    <w:rsid w:val="00B624FC"/>
    <w:rsid w:val="00B62BAE"/>
    <w:rsid w:val="00B6378C"/>
    <w:rsid w:val="00B63822"/>
    <w:rsid w:val="00B64051"/>
    <w:rsid w:val="00B65EB2"/>
    <w:rsid w:val="00B67D03"/>
    <w:rsid w:val="00B707D2"/>
    <w:rsid w:val="00B712B7"/>
    <w:rsid w:val="00B741C3"/>
    <w:rsid w:val="00B74A29"/>
    <w:rsid w:val="00B75889"/>
    <w:rsid w:val="00B75C16"/>
    <w:rsid w:val="00B76536"/>
    <w:rsid w:val="00B77539"/>
    <w:rsid w:val="00B77E27"/>
    <w:rsid w:val="00B81594"/>
    <w:rsid w:val="00B8197B"/>
    <w:rsid w:val="00B81E30"/>
    <w:rsid w:val="00B846DF"/>
    <w:rsid w:val="00B87B48"/>
    <w:rsid w:val="00B9046B"/>
    <w:rsid w:val="00B95E74"/>
    <w:rsid w:val="00B97155"/>
    <w:rsid w:val="00B97615"/>
    <w:rsid w:val="00BA26D3"/>
    <w:rsid w:val="00BA2F78"/>
    <w:rsid w:val="00BA4449"/>
    <w:rsid w:val="00BA50B2"/>
    <w:rsid w:val="00BA5168"/>
    <w:rsid w:val="00BA68CA"/>
    <w:rsid w:val="00BB0A21"/>
    <w:rsid w:val="00BB0E7D"/>
    <w:rsid w:val="00BB144F"/>
    <w:rsid w:val="00BB2006"/>
    <w:rsid w:val="00BB262A"/>
    <w:rsid w:val="00BB2924"/>
    <w:rsid w:val="00BB2AA0"/>
    <w:rsid w:val="00BB44CE"/>
    <w:rsid w:val="00BB47D8"/>
    <w:rsid w:val="00BB5CD9"/>
    <w:rsid w:val="00BB7B3F"/>
    <w:rsid w:val="00BC21E5"/>
    <w:rsid w:val="00BC39EC"/>
    <w:rsid w:val="00BC52E9"/>
    <w:rsid w:val="00BC56D7"/>
    <w:rsid w:val="00BC61FE"/>
    <w:rsid w:val="00BC6729"/>
    <w:rsid w:val="00BD23C6"/>
    <w:rsid w:val="00BD3344"/>
    <w:rsid w:val="00BD43EA"/>
    <w:rsid w:val="00BD4EF7"/>
    <w:rsid w:val="00BD5B2A"/>
    <w:rsid w:val="00BD76BA"/>
    <w:rsid w:val="00BD7E84"/>
    <w:rsid w:val="00BE101E"/>
    <w:rsid w:val="00BE1314"/>
    <w:rsid w:val="00BE136A"/>
    <w:rsid w:val="00BE3DC4"/>
    <w:rsid w:val="00BE5400"/>
    <w:rsid w:val="00BE5655"/>
    <w:rsid w:val="00BE5E99"/>
    <w:rsid w:val="00BF088C"/>
    <w:rsid w:val="00BF1069"/>
    <w:rsid w:val="00BF1B8C"/>
    <w:rsid w:val="00BF22C1"/>
    <w:rsid w:val="00BF25CE"/>
    <w:rsid w:val="00BF3C5A"/>
    <w:rsid w:val="00BF464D"/>
    <w:rsid w:val="00C00CCF"/>
    <w:rsid w:val="00C04DB5"/>
    <w:rsid w:val="00C05B9C"/>
    <w:rsid w:val="00C05E26"/>
    <w:rsid w:val="00C0652A"/>
    <w:rsid w:val="00C069F4"/>
    <w:rsid w:val="00C07D2C"/>
    <w:rsid w:val="00C07E76"/>
    <w:rsid w:val="00C100A9"/>
    <w:rsid w:val="00C12802"/>
    <w:rsid w:val="00C1417A"/>
    <w:rsid w:val="00C1601F"/>
    <w:rsid w:val="00C16F3F"/>
    <w:rsid w:val="00C17BA7"/>
    <w:rsid w:val="00C20179"/>
    <w:rsid w:val="00C2033F"/>
    <w:rsid w:val="00C2095E"/>
    <w:rsid w:val="00C210AE"/>
    <w:rsid w:val="00C21262"/>
    <w:rsid w:val="00C222F1"/>
    <w:rsid w:val="00C23033"/>
    <w:rsid w:val="00C23FE7"/>
    <w:rsid w:val="00C248F8"/>
    <w:rsid w:val="00C259C1"/>
    <w:rsid w:val="00C25C55"/>
    <w:rsid w:val="00C308F8"/>
    <w:rsid w:val="00C3136D"/>
    <w:rsid w:val="00C316CF"/>
    <w:rsid w:val="00C31A0E"/>
    <w:rsid w:val="00C31CEA"/>
    <w:rsid w:val="00C32F68"/>
    <w:rsid w:val="00C32FE2"/>
    <w:rsid w:val="00C33D4D"/>
    <w:rsid w:val="00C33F87"/>
    <w:rsid w:val="00C340CF"/>
    <w:rsid w:val="00C35417"/>
    <w:rsid w:val="00C35587"/>
    <w:rsid w:val="00C35EBA"/>
    <w:rsid w:val="00C40679"/>
    <w:rsid w:val="00C40CA1"/>
    <w:rsid w:val="00C4430A"/>
    <w:rsid w:val="00C44941"/>
    <w:rsid w:val="00C45BAF"/>
    <w:rsid w:val="00C45D82"/>
    <w:rsid w:val="00C466FA"/>
    <w:rsid w:val="00C46B10"/>
    <w:rsid w:val="00C505AD"/>
    <w:rsid w:val="00C50DB2"/>
    <w:rsid w:val="00C50E65"/>
    <w:rsid w:val="00C5131A"/>
    <w:rsid w:val="00C51CC0"/>
    <w:rsid w:val="00C53CC6"/>
    <w:rsid w:val="00C546C9"/>
    <w:rsid w:val="00C55752"/>
    <w:rsid w:val="00C55969"/>
    <w:rsid w:val="00C56EE0"/>
    <w:rsid w:val="00C609F4"/>
    <w:rsid w:val="00C60E65"/>
    <w:rsid w:val="00C61651"/>
    <w:rsid w:val="00C61B1B"/>
    <w:rsid w:val="00C61B6B"/>
    <w:rsid w:val="00C61C44"/>
    <w:rsid w:val="00C61EF3"/>
    <w:rsid w:val="00C635C8"/>
    <w:rsid w:val="00C66645"/>
    <w:rsid w:val="00C67A12"/>
    <w:rsid w:val="00C7006C"/>
    <w:rsid w:val="00C736F2"/>
    <w:rsid w:val="00C73B5E"/>
    <w:rsid w:val="00C7553D"/>
    <w:rsid w:val="00C76E09"/>
    <w:rsid w:val="00C778D9"/>
    <w:rsid w:val="00C80F39"/>
    <w:rsid w:val="00C8257A"/>
    <w:rsid w:val="00C82FF1"/>
    <w:rsid w:val="00C83B07"/>
    <w:rsid w:val="00C83FC6"/>
    <w:rsid w:val="00C85109"/>
    <w:rsid w:val="00C85E14"/>
    <w:rsid w:val="00C86A26"/>
    <w:rsid w:val="00C87A9B"/>
    <w:rsid w:val="00C87B89"/>
    <w:rsid w:val="00C90D01"/>
    <w:rsid w:val="00C91862"/>
    <w:rsid w:val="00C92AAA"/>
    <w:rsid w:val="00C954F4"/>
    <w:rsid w:val="00C95739"/>
    <w:rsid w:val="00C96342"/>
    <w:rsid w:val="00C96D47"/>
    <w:rsid w:val="00CA0122"/>
    <w:rsid w:val="00CA4A8E"/>
    <w:rsid w:val="00CA5178"/>
    <w:rsid w:val="00CA6035"/>
    <w:rsid w:val="00CA6CAF"/>
    <w:rsid w:val="00CA7C5D"/>
    <w:rsid w:val="00CB0ED7"/>
    <w:rsid w:val="00CB158D"/>
    <w:rsid w:val="00CB164F"/>
    <w:rsid w:val="00CB16F7"/>
    <w:rsid w:val="00CB179E"/>
    <w:rsid w:val="00CB1C60"/>
    <w:rsid w:val="00CB2BB0"/>
    <w:rsid w:val="00CB313C"/>
    <w:rsid w:val="00CB35EA"/>
    <w:rsid w:val="00CB43C4"/>
    <w:rsid w:val="00CB46D4"/>
    <w:rsid w:val="00CB549F"/>
    <w:rsid w:val="00CB59D0"/>
    <w:rsid w:val="00CB5E66"/>
    <w:rsid w:val="00CB62DD"/>
    <w:rsid w:val="00CB65A8"/>
    <w:rsid w:val="00CB6A23"/>
    <w:rsid w:val="00CB723D"/>
    <w:rsid w:val="00CB733D"/>
    <w:rsid w:val="00CB7781"/>
    <w:rsid w:val="00CB7F23"/>
    <w:rsid w:val="00CC1035"/>
    <w:rsid w:val="00CC105F"/>
    <w:rsid w:val="00CC1994"/>
    <w:rsid w:val="00CC2B4C"/>
    <w:rsid w:val="00CC4845"/>
    <w:rsid w:val="00CC713A"/>
    <w:rsid w:val="00CD270E"/>
    <w:rsid w:val="00CD49B7"/>
    <w:rsid w:val="00CD762D"/>
    <w:rsid w:val="00CE0865"/>
    <w:rsid w:val="00CE0975"/>
    <w:rsid w:val="00CE31FF"/>
    <w:rsid w:val="00CE4426"/>
    <w:rsid w:val="00CE4D1B"/>
    <w:rsid w:val="00CE4EDC"/>
    <w:rsid w:val="00CE5A45"/>
    <w:rsid w:val="00CE79F5"/>
    <w:rsid w:val="00CF1B7D"/>
    <w:rsid w:val="00CF1C79"/>
    <w:rsid w:val="00CF2D3D"/>
    <w:rsid w:val="00CF3443"/>
    <w:rsid w:val="00CF60EB"/>
    <w:rsid w:val="00D00373"/>
    <w:rsid w:val="00D007D4"/>
    <w:rsid w:val="00D00804"/>
    <w:rsid w:val="00D0145F"/>
    <w:rsid w:val="00D01787"/>
    <w:rsid w:val="00D018C5"/>
    <w:rsid w:val="00D01C23"/>
    <w:rsid w:val="00D01F1B"/>
    <w:rsid w:val="00D034CA"/>
    <w:rsid w:val="00D03AD7"/>
    <w:rsid w:val="00D04135"/>
    <w:rsid w:val="00D06B65"/>
    <w:rsid w:val="00D078C8"/>
    <w:rsid w:val="00D11BE7"/>
    <w:rsid w:val="00D11E7B"/>
    <w:rsid w:val="00D13E7C"/>
    <w:rsid w:val="00D148A3"/>
    <w:rsid w:val="00D14CA5"/>
    <w:rsid w:val="00D17973"/>
    <w:rsid w:val="00D20238"/>
    <w:rsid w:val="00D2055B"/>
    <w:rsid w:val="00D207AB"/>
    <w:rsid w:val="00D216B8"/>
    <w:rsid w:val="00D23145"/>
    <w:rsid w:val="00D23DE1"/>
    <w:rsid w:val="00D24EB1"/>
    <w:rsid w:val="00D26019"/>
    <w:rsid w:val="00D267FD"/>
    <w:rsid w:val="00D27785"/>
    <w:rsid w:val="00D27882"/>
    <w:rsid w:val="00D302E4"/>
    <w:rsid w:val="00D33654"/>
    <w:rsid w:val="00D33693"/>
    <w:rsid w:val="00D3453D"/>
    <w:rsid w:val="00D40B33"/>
    <w:rsid w:val="00D4152B"/>
    <w:rsid w:val="00D418BE"/>
    <w:rsid w:val="00D42436"/>
    <w:rsid w:val="00D428E0"/>
    <w:rsid w:val="00D45597"/>
    <w:rsid w:val="00D46099"/>
    <w:rsid w:val="00D4631D"/>
    <w:rsid w:val="00D47777"/>
    <w:rsid w:val="00D50661"/>
    <w:rsid w:val="00D50C9D"/>
    <w:rsid w:val="00D51B33"/>
    <w:rsid w:val="00D52616"/>
    <w:rsid w:val="00D535A5"/>
    <w:rsid w:val="00D543E5"/>
    <w:rsid w:val="00D556A3"/>
    <w:rsid w:val="00D55BFD"/>
    <w:rsid w:val="00D56385"/>
    <w:rsid w:val="00D56B0C"/>
    <w:rsid w:val="00D56F0F"/>
    <w:rsid w:val="00D57867"/>
    <w:rsid w:val="00D61A18"/>
    <w:rsid w:val="00D62B00"/>
    <w:rsid w:val="00D63835"/>
    <w:rsid w:val="00D652B8"/>
    <w:rsid w:val="00D65DBE"/>
    <w:rsid w:val="00D65EC9"/>
    <w:rsid w:val="00D664D2"/>
    <w:rsid w:val="00D6664F"/>
    <w:rsid w:val="00D67F50"/>
    <w:rsid w:val="00D71D23"/>
    <w:rsid w:val="00D7272E"/>
    <w:rsid w:val="00D7331C"/>
    <w:rsid w:val="00D73DFD"/>
    <w:rsid w:val="00D758E6"/>
    <w:rsid w:val="00D77B56"/>
    <w:rsid w:val="00D82BF1"/>
    <w:rsid w:val="00D8391F"/>
    <w:rsid w:val="00D83AA5"/>
    <w:rsid w:val="00D85550"/>
    <w:rsid w:val="00D8588B"/>
    <w:rsid w:val="00D90297"/>
    <w:rsid w:val="00D91B97"/>
    <w:rsid w:val="00D92E20"/>
    <w:rsid w:val="00D9420C"/>
    <w:rsid w:val="00D958CD"/>
    <w:rsid w:val="00D95CC8"/>
    <w:rsid w:val="00D96AA1"/>
    <w:rsid w:val="00D97A8B"/>
    <w:rsid w:val="00DA0004"/>
    <w:rsid w:val="00DA00E5"/>
    <w:rsid w:val="00DA01FA"/>
    <w:rsid w:val="00DA1086"/>
    <w:rsid w:val="00DA1120"/>
    <w:rsid w:val="00DA1EC0"/>
    <w:rsid w:val="00DA32DA"/>
    <w:rsid w:val="00DA3382"/>
    <w:rsid w:val="00DA363E"/>
    <w:rsid w:val="00DA55F6"/>
    <w:rsid w:val="00DA5AF6"/>
    <w:rsid w:val="00DA5FC2"/>
    <w:rsid w:val="00DA6527"/>
    <w:rsid w:val="00DA75E6"/>
    <w:rsid w:val="00DB1C3F"/>
    <w:rsid w:val="00DB1E90"/>
    <w:rsid w:val="00DB2A62"/>
    <w:rsid w:val="00DB3788"/>
    <w:rsid w:val="00DB49B9"/>
    <w:rsid w:val="00DB5159"/>
    <w:rsid w:val="00DB5CA3"/>
    <w:rsid w:val="00DB61F7"/>
    <w:rsid w:val="00DB657D"/>
    <w:rsid w:val="00DB7194"/>
    <w:rsid w:val="00DC0069"/>
    <w:rsid w:val="00DC0FA4"/>
    <w:rsid w:val="00DC0FB7"/>
    <w:rsid w:val="00DC1593"/>
    <w:rsid w:val="00DC21ED"/>
    <w:rsid w:val="00DC2405"/>
    <w:rsid w:val="00DC332D"/>
    <w:rsid w:val="00DC434E"/>
    <w:rsid w:val="00DC4454"/>
    <w:rsid w:val="00DD00A6"/>
    <w:rsid w:val="00DD1754"/>
    <w:rsid w:val="00DD21A8"/>
    <w:rsid w:val="00DD285E"/>
    <w:rsid w:val="00DD2E5E"/>
    <w:rsid w:val="00DD3237"/>
    <w:rsid w:val="00DD40B9"/>
    <w:rsid w:val="00DD486C"/>
    <w:rsid w:val="00DD5B71"/>
    <w:rsid w:val="00DD686D"/>
    <w:rsid w:val="00DD6CC8"/>
    <w:rsid w:val="00DD741E"/>
    <w:rsid w:val="00DE0966"/>
    <w:rsid w:val="00DE0B42"/>
    <w:rsid w:val="00DE0D3F"/>
    <w:rsid w:val="00DE11A2"/>
    <w:rsid w:val="00DE1284"/>
    <w:rsid w:val="00DE22BC"/>
    <w:rsid w:val="00DE2692"/>
    <w:rsid w:val="00DE29AA"/>
    <w:rsid w:val="00DE2D5B"/>
    <w:rsid w:val="00DE3961"/>
    <w:rsid w:val="00DE408D"/>
    <w:rsid w:val="00DE4F8F"/>
    <w:rsid w:val="00DE5AC0"/>
    <w:rsid w:val="00DE707C"/>
    <w:rsid w:val="00DF031C"/>
    <w:rsid w:val="00DF076D"/>
    <w:rsid w:val="00DF0A3C"/>
    <w:rsid w:val="00DF2A2F"/>
    <w:rsid w:val="00DF373B"/>
    <w:rsid w:val="00DF40F5"/>
    <w:rsid w:val="00DF48E3"/>
    <w:rsid w:val="00DF5ECB"/>
    <w:rsid w:val="00DF5EEE"/>
    <w:rsid w:val="00DF6554"/>
    <w:rsid w:val="00DF6AC7"/>
    <w:rsid w:val="00DF6DB8"/>
    <w:rsid w:val="00E01330"/>
    <w:rsid w:val="00E01752"/>
    <w:rsid w:val="00E01894"/>
    <w:rsid w:val="00E02FBD"/>
    <w:rsid w:val="00E0331A"/>
    <w:rsid w:val="00E033FB"/>
    <w:rsid w:val="00E044EF"/>
    <w:rsid w:val="00E04B9F"/>
    <w:rsid w:val="00E05E40"/>
    <w:rsid w:val="00E06E69"/>
    <w:rsid w:val="00E06F35"/>
    <w:rsid w:val="00E077B6"/>
    <w:rsid w:val="00E11298"/>
    <w:rsid w:val="00E124E1"/>
    <w:rsid w:val="00E128C9"/>
    <w:rsid w:val="00E12DE1"/>
    <w:rsid w:val="00E13654"/>
    <w:rsid w:val="00E14D01"/>
    <w:rsid w:val="00E1786D"/>
    <w:rsid w:val="00E17E83"/>
    <w:rsid w:val="00E200F2"/>
    <w:rsid w:val="00E21A35"/>
    <w:rsid w:val="00E22BB2"/>
    <w:rsid w:val="00E23516"/>
    <w:rsid w:val="00E235F9"/>
    <w:rsid w:val="00E23A8B"/>
    <w:rsid w:val="00E241FB"/>
    <w:rsid w:val="00E246C7"/>
    <w:rsid w:val="00E24B64"/>
    <w:rsid w:val="00E264E9"/>
    <w:rsid w:val="00E2689D"/>
    <w:rsid w:val="00E27A1A"/>
    <w:rsid w:val="00E30093"/>
    <w:rsid w:val="00E30EC4"/>
    <w:rsid w:val="00E3154F"/>
    <w:rsid w:val="00E319B4"/>
    <w:rsid w:val="00E3200B"/>
    <w:rsid w:val="00E32E10"/>
    <w:rsid w:val="00E341B7"/>
    <w:rsid w:val="00E36A28"/>
    <w:rsid w:val="00E415AC"/>
    <w:rsid w:val="00E423A9"/>
    <w:rsid w:val="00E444C3"/>
    <w:rsid w:val="00E45080"/>
    <w:rsid w:val="00E4549E"/>
    <w:rsid w:val="00E458F2"/>
    <w:rsid w:val="00E477E2"/>
    <w:rsid w:val="00E479FF"/>
    <w:rsid w:val="00E50B3B"/>
    <w:rsid w:val="00E51034"/>
    <w:rsid w:val="00E513E6"/>
    <w:rsid w:val="00E51A4B"/>
    <w:rsid w:val="00E52777"/>
    <w:rsid w:val="00E557C0"/>
    <w:rsid w:val="00E5601A"/>
    <w:rsid w:val="00E56BAF"/>
    <w:rsid w:val="00E61FBA"/>
    <w:rsid w:val="00E621AD"/>
    <w:rsid w:val="00E633FF"/>
    <w:rsid w:val="00E63D09"/>
    <w:rsid w:val="00E64C5E"/>
    <w:rsid w:val="00E65847"/>
    <w:rsid w:val="00E67392"/>
    <w:rsid w:val="00E7070B"/>
    <w:rsid w:val="00E708AD"/>
    <w:rsid w:val="00E70AB9"/>
    <w:rsid w:val="00E70B51"/>
    <w:rsid w:val="00E713CC"/>
    <w:rsid w:val="00E717E0"/>
    <w:rsid w:val="00E71A1D"/>
    <w:rsid w:val="00E7326E"/>
    <w:rsid w:val="00E73A24"/>
    <w:rsid w:val="00E73C65"/>
    <w:rsid w:val="00E73E5B"/>
    <w:rsid w:val="00E750BA"/>
    <w:rsid w:val="00E7747A"/>
    <w:rsid w:val="00E77573"/>
    <w:rsid w:val="00E77B91"/>
    <w:rsid w:val="00E80D43"/>
    <w:rsid w:val="00E819E2"/>
    <w:rsid w:val="00E81B8B"/>
    <w:rsid w:val="00E8208D"/>
    <w:rsid w:val="00E83610"/>
    <w:rsid w:val="00E840C2"/>
    <w:rsid w:val="00E84AE9"/>
    <w:rsid w:val="00E86443"/>
    <w:rsid w:val="00E875A5"/>
    <w:rsid w:val="00E901F3"/>
    <w:rsid w:val="00E90D34"/>
    <w:rsid w:val="00E90DAD"/>
    <w:rsid w:val="00E919A4"/>
    <w:rsid w:val="00E91F3B"/>
    <w:rsid w:val="00E93C43"/>
    <w:rsid w:val="00E94237"/>
    <w:rsid w:val="00E96EE2"/>
    <w:rsid w:val="00EA0AF1"/>
    <w:rsid w:val="00EA0FB1"/>
    <w:rsid w:val="00EA128C"/>
    <w:rsid w:val="00EA1895"/>
    <w:rsid w:val="00EA2EB6"/>
    <w:rsid w:val="00EA4192"/>
    <w:rsid w:val="00EA4C48"/>
    <w:rsid w:val="00EA567C"/>
    <w:rsid w:val="00EB03ED"/>
    <w:rsid w:val="00EB0469"/>
    <w:rsid w:val="00EB07AF"/>
    <w:rsid w:val="00EB1500"/>
    <w:rsid w:val="00EB22DD"/>
    <w:rsid w:val="00EB2335"/>
    <w:rsid w:val="00EB2468"/>
    <w:rsid w:val="00EB264D"/>
    <w:rsid w:val="00EB464E"/>
    <w:rsid w:val="00EB51D2"/>
    <w:rsid w:val="00EB5FEB"/>
    <w:rsid w:val="00EB60B2"/>
    <w:rsid w:val="00EB69E2"/>
    <w:rsid w:val="00EB77C1"/>
    <w:rsid w:val="00EC1BE9"/>
    <w:rsid w:val="00EC1D1D"/>
    <w:rsid w:val="00EC4455"/>
    <w:rsid w:val="00EC4FFE"/>
    <w:rsid w:val="00EC51E2"/>
    <w:rsid w:val="00EC5311"/>
    <w:rsid w:val="00EC7646"/>
    <w:rsid w:val="00EC7FD8"/>
    <w:rsid w:val="00ED15B3"/>
    <w:rsid w:val="00ED2DE7"/>
    <w:rsid w:val="00ED3DC7"/>
    <w:rsid w:val="00ED42BC"/>
    <w:rsid w:val="00ED5A63"/>
    <w:rsid w:val="00ED628C"/>
    <w:rsid w:val="00ED6D88"/>
    <w:rsid w:val="00ED7A73"/>
    <w:rsid w:val="00ED7E0A"/>
    <w:rsid w:val="00EE17D5"/>
    <w:rsid w:val="00EE26A5"/>
    <w:rsid w:val="00EE278F"/>
    <w:rsid w:val="00EE3F7D"/>
    <w:rsid w:val="00EE4B71"/>
    <w:rsid w:val="00EE4CF1"/>
    <w:rsid w:val="00EE4DA3"/>
    <w:rsid w:val="00EE57FD"/>
    <w:rsid w:val="00EE5EEE"/>
    <w:rsid w:val="00EE6EE1"/>
    <w:rsid w:val="00EE7D08"/>
    <w:rsid w:val="00EE7F37"/>
    <w:rsid w:val="00EF103C"/>
    <w:rsid w:val="00EF10CA"/>
    <w:rsid w:val="00EF1ACA"/>
    <w:rsid w:val="00EF1FDD"/>
    <w:rsid w:val="00EF41F8"/>
    <w:rsid w:val="00EF4730"/>
    <w:rsid w:val="00EF4F03"/>
    <w:rsid w:val="00EF532F"/>
    <w:rsid w:val="00EF5AB1"/>
    <w:rsid w:val="00EF5AD4"/>
    <w:rsid w:val="00EF5B95"/>
    <w:rsid w:val="00EF5C63"/>
    <w:rsid w:val="00EF6784"/>
    <w:rsid w:val="00F00E93"/>
    <w:rsid w:val="00F03626"/>
    <w:rsid w:val="00F03AEE"/>
    <w:rsid w:val="00F03CE8"/>
    <w:rsid w:val="00F04405"/>
    <w:rsid w:val="00F04B95"/>
    <w:rsid w:val="00F0568B"/>
    <w:rsid w:val="00F05728"/>
    <w:rsid w:val="00F0659D"/>
    <w:rsid w:val="00F065EC"/>
    <w:rsid w:val="00F068E6"/>
    <w:rsid w:val="00F072C1"/>
    <w:rsid w:val="00F109EB"/>
    <w:rsid w:val="00F1186B"/>
    <w:rsid w:val="00F1259B"/>
    <w:rsid w:val="00F12960"/>
    <w:rsid w:val="00F12FA7"/>
    <w:rsid w:val="00F135EE"/>
    <w:rsid w:val="00F144E8"/>
    <w:rsid w:val="00F15BE2"/>
    <w:rsid w:val="00F168B6"/>
    <w:rsid w:val="00F20BD3"/>
    <w:rsid w:val="00F21268"/>
    <w:rsid w:val="00F214EC"/>
    <w:rsid w:val="00F21584"/>
    <w:rsid w:val="00F2204E"/>
    <w:rsid w:val="00F25C0A"/>
    <w:rsid w:val="00F25FD5"/>
    <w:rsid w:val="00F2687D"/>
    <w:rsid w:val="00F26919"/>
    <w:rsid w:val="00F26F2A"/>
    <w:rsid w:val="00F30724"/>
    <w:rsid w:val="00F32627"/>
    <w:rsid w:val="00F334DF"/>
    <w:rsid w:val="00F33DEC"/>
    <w:rsid w:val="00F33E04"/>
    <w:rsid w:val="00F34931"/>
    <w:rsid w:val="00F34AA1"/>
    <w:rsid w:val="00F35407"/>
    <w:rsid w:val="00F35CAA"/>
    <w:rsid w:val="00F36384"/>
    <w:rsid w:val="00F36392"/>
    <w:rsid w:val="00F36CD1"/>
    <w:rsid w:val="00F37003"/>
    <w:rsid w:val="00F3710C"/>
    <w:rsid w:val="00F3738D"/>
    <w:rsid w:val="00F379B5"/>
    <w:rsid w:val="00F37B5F"/>
    <w:rsid w:val="00F40644"/>
    <w:rsid w:val="00F40D74"/>
    <w:rsid w:val="00F412D6"/>
    <w:rsid w:val="00F418FB"/>
    <w:rsid w:val="00F43A04"/>
    <w:rsid w:val="00F4478F"/>
    <w:rsid w:val="00F4606D"/>
    <w:rsid w:val="00F46A54"/>
    <w:rsid w:val="00F54288"/>
    <w:rsid w:val="00F54504"/>
    <w:rsid w:val="00F5531D"/>
    <w:rsid w:val="00F556A2"/>
    <w:rsid w:val="00F5617B"/>
    <w:rsid w:val="00F561E4"/>
    <w:rsid w:val="00F57D6D"/>
    <w:rsid w:val="00F60073"/>
    <w:rsid w:val="00F601AC"/>
    <w:rsid w:val="00F61D7B"/>
    <w:rsid w:val="00F6326C"/>
    <w:rsid w:val="00F63763"/>
    <w:rsid w:val="00F64138"/>
    <w:rsid w:val="00F651D2"/>
    <w:rsid w:val="00F659A0"/>
    <w:rsid w:val="00F67141"/>
    <w:rsid w:val="00F671DB"/>
    <w:rsid w:val="00F675E3"/>
    <w:rsid w:val="00F67779"/>
    <w:rsid w:val="00F70155"/>
    <w:rsid w:val="00F74614"/>
    <w:rsid w:val="00F7470C"/>
    <w:rsid w:val="00F74814"/>
    <w:rsid w:val="00F76EA1"/>
    <w:rsid w:val="00F778CC"/>
    <w:rsid w:val="00F800EF"/>
    <w:rsid w:val="00F8114C"/>
    <w:rsid w:val="00F81692"/>
    <w:rsid w:val="00F81C86"/>
    <w:rsid w:val="00F81C89"/>
    <w:rsid w:val="00F8339F"/>
    <w:rsid w:val="00F8482D"/>
    <w:rsid w:val="00F8699B"/>
    <w:rsid w:val="00F90596"/>
    <w:rsid w:val="00F90911"/>
    <w:rsid w:val="00F90F1C"/>
    <w:rsid w:val="00F9158A"/>
    <w:rsid w:val="00F923E7"/>
    <w:rsid w:val="00F92F31"/>
    <w:rsid w:val="00F9440E"/>
    <w:rsid w:val="00F94FE7"/>
    <w:rsid w:val="00F95101"/>
    <w:rsid w:val="00F959D3"/>
    <w:rsid w:val="00F959EA"/>
    <w:rsid w:val="00F96228"/>
    <w:rsid w:val="00F96324"/>
    <w:rsid w:val="00F96B90"/>
    <w:rsid w:val="00F97598"/>
    <w:rsid w:val="00FA1529"/>
    <w:rsid w:val="00FA15FD"/>
    <w:rsid w:val="00FA18E1"/>
    <w:rsid w:val="00FA20B8"/>
    <w:rsid w:val="00FA2F9B"/>
    <w:rsid w:val="00FA51CA"/>
    <w:rsid w:val="00FA5433"/>
    <w:rsid w:val="00FA5C5F"/>
    <w:rsid w:val="00FA6150"/>
    <w:rsid w:val="00FA62C0"/>
    <w:rsid w:val="00FA6FAD"/>
    <w:rsid w:val="00FA7F51"/>
    <w:rsid w:val="00FB0DBC"/>
    <w:rsid w:val="00FB2D6C"/>
    <w:rsid w:val="00FB30CF"/>
    <w:rsid w:val="00FB333A"/>
    <w:rsid w:val="00FB3CD1"/>
    <w:rsid w:val="00FB429B"/>
    <w:rsid w:val="00FB44C3"/>
    <w:rsid w:val="00FB4BFA"/>
    <w:rsid w:val="00FB5160"/>
    <w:rsid w:val="00FB6D00"/>
    <w:rsid w:val="00FC02AB"/>
    <w:rsid w:val="00FC05FF"/>
    <w:rsid w:val="00FC0B38"/>
    <w:rsid w:val="00FC1676"/>
    <w:rsid w:val="00FC2254"/>
    <w:rsid w:val="00FC366B"/>
    <w:rsid w:val="00FC40EE"/>
    <w:rsid w:val="00FC51CA"/>
    <w:rsid w:val="00FC5BF1"/>
    <w:rsid w:val="00FC7464"/>
    <w:rsid w:val="00FC7DC5"/>
    <w:rsid w:val="00FC7F46"/>
    <w:rsid w:val="00FD006D"/>
    <w:rsid w:val="00FD12EE"/>
    <w:rsid w:val="00FD3829"/>
    <w:rsid w:val="00FD4603"/>
    <w:rsid w:val="00FD4D8A"/>
    <w:rsid w:val="00FD56DE"/>
    <w:rsid w:val="00FD6ECF"/>
    <w:rsid w:val="00FD7314"/>
    <w:rsid w:val="00FD7826"/>
    <w:rsid w:val="00FE03F7"/>
    <w:rsid w:val="00FE0DA0"/>
    <w:rsid w:val="00FE2212"/>
    <w:rsid w:val="00FE23BA"/>
    <w:rsid w:val="00FE29FD"/>
    <w:rsid w:val="00FE427E"/>
    <w:rsid w:val="00FE589E"/>
    <w:rsid w:val="00FE60CB"/>
    <w:rsid w:val="00FE676B"/>
    <w:rsid w:val="00FE7778"/>
    <w:rsid w:val="00FF0A67"/>
    <w:rsid w:val="00FF0BAC"/>
    <w:rsid w:val="00FF1C27"/>
    <w:rsid w:val="00FF1C65"/>
    <w:rsid w:val="00FF21F8"/>
    <w:rsid w:val="00FF247C"/>
    <w:rsid w:val="00FF2D4A"/>
    <w:rsid w:val="00FF4294"/>
    <w:rsid w:val="00FF65F9"/>
    <w:rsid w:val="01064CD2"/>
    <w:rsid w:val="010F6287"/>
    <w:rsid w:val="012034B3"/>
    <w:rsid w:val="012931F6"/>
    <w:rsid w:val="01410DD9"/>
    <w:rsid w:val="014F34B6"/>
    <w:rsid w:val="015C70C8"/>
    <w:rsid w:val="015E1496"/>
    <w:rsid w:val="01620756"/>
    <w:rsid w:val="01980504"/>
    <w:rsid w:val="019F4D04"/>
    <w:rsid w:val="01B6239B"/>
    <w:rsid w:val="01BE6CCA"/>
    <w:rsid w:val="01C3246C"/>
    <w:rsid w:val="01CC1A40"/>
    <w:rsid w:val="01CE1272"/>
    <w:rsid w:val="01D72AFA"/>
    <w:rsid w:val="01DE46B6"/>
    <w:rsid w:val="01E67E20"/>
    <w:rsid w:val="01F6617B"/>
    <w:rsid w:val="02236B64"/>
    <w:rsid w:val="023D0B8F"/>
    <w:rsid w:val="02511F45"/>
    <w:rsid w:val="02537BF0"/>
    <w:rsid w:val="025C19D8"/>
    <w:rsid w:val="025D4279"/>
    <w:rsid w:val="026E762B"/>
    <w:rsid w:val="02730257"/>
    <w:rsid w:val="02777BFD"/>
    <w:rsid w:val="02873320"/>
    <w:rsid w:val="02934DDB"/>
    <w:rsid w:val="029D2B45"/>
    <w:rsid w:val="02C10E79"/>
    <w:rsid w:val="02C646E1"/>
    <w:rsid w:val="02C963C1"/>
    <w:rsid w:val="02CE73DA"/>
    <w:rsid w:val="02DD0824"/>
    <w:rsid w:val="02E278BC"/>
    <w:rsid w:val="030809A4"/>
    <w:rsid w:val="032D650E"/>
    <w:rsid w:val="034F46D6"/>
    <w:rsid w:val="035808CA"/>
    <w:rsid w:val="03582ACB"/>
    <w:rsid w:val="035858E7"/>
    <w:rsid w:val="03616C8D"/>
    <w:rsid w:val="03694447"/>
    <w:rsid w:val="0377249C"/>
    <w:rsid w:val="037B371D"/>
    <w:rsid w:val="03894711"/>
    <w:rsid w:val="038A148D"/>
    <w:rsid w:val="038E6AC1"/>
    <w:rsid w:val="039A0638"/>
    <w:rsid w:val="03A60CA8"/>
    <w:rsid w:val="03A66576"/>
    <w:rsid w:val="03B95FF4"/>
    <w:rsid w:val="03D90444"/>
    <w:rsid w:val="03DB41BC"/>
    <w:rsid w:val="03E0077C"/>
    <w:rsid w:val="03EC63C9"/>
    <w:rsid w:val="040F6FC0"/>
    <w:rsid w:val="041047F1"/>
    <w:rsid w:val="04397422"/>
    <w:rsid w:val="044A5DED"/>
    <w:rsid w:val="044B5C73"/>
    <w:rsid w:val="045902E2"/>
    <w:rsid w:val="046F6055"/>
    <w:rsid w:val="047F58BB"/>
    <w:rsid w:val="0487100E"/>
    <w:rsid w:val="04BD3E66"/>
    <w:rsid w:val="04C54E7B"/>
    <w:rsid w:val="04CA0231"/>
    <w:rsid w:val="04DA5875"/>
    <w:rsid w:val="050A63F8"/>
    <w:rsid w:val="052755C8"/>
    <w:rsid w:val="052B0546"/>
    <w:rsid w:val="052C1856"/>
    <w:rsid w:val="052D6C99"/>
    <w:rsid w:val="052F1703"/>
    <w:rsid w:val="055A0427"/>
    <w:rsid w:val="0562681E"/>
    <w:rsid w:val="056F101C"/>
    <w:rsid w:val="05A8689A"/>
    <w:rsid w:val="05BE451B"/>
    <w:rsid w:val="05E27A84"/>
    <w:rsid w:val="05E746D4"/>
    <w:rsid w:val="05E74F64"/>
    <w:rsid w:val="05ED01D7"/>
    <w:rsid w:val="05F417A0"/>
    <w:rsid w:val="05F71525"/>
    <w:rsid w:val="05FB0B46"/>
    <w:rsid w:val="06015DF1"/>
    <w:rsid w:val="060B70A1"/>
    <w:rsid w:val="06110BCA"/>
    <w:rsid w:val="06135E8F"/>
    <w:rsid w:val="06147E01"/>
    <w:rsid w:val="061E0BA3"/>
    <w:rsid w:val="06304C93"/>
    <w:rsid w:val="065226E7"/>
    <w:rsid w:val="066206D2"/>
    <w:rsid w:val="0688277C"/>
    <w:rsid w:val="069028A2"/>
    <w:rsid w:val="06A07E91"/>
    <w:rsid w:val="06AC7CD2"/>
    <w:rsid w:val="06B50CF4"/>
    <w:rsid w:val="06BF0A4B"/>
    <w:rsid w:val="06C1427D"/>
    <w:rsid w:val="06E53A19"/>
    <w:rsid w:val="06F04F81"/>
    <w:rsid w:val="07271E68"/>
    <w:rsid w:val="072E7D8E"/>
    <w:rsid w:val="07302A71"/>
    <w:rsid w:val="07353A48"/>
    <w:rsid w:val="07361EBF"/>
    <w:rsid w:val="07416C1A"/>
    <w:rsid w:val="07525B44"/>
    <w:rsid w:val="075F2C80"/>
    <w:rsid w:val="07624E9A"/>
    <w:rsid w:val="076A188E"/>
    <w:rsid w:val="077E37DC"/>
    <w:rsid w:val="078B5EF9"/>
    <w:rsid w:val="07945326"/>
    <w:rsid w:val="07946A15"/>
    <w:rsid w:val="07A91C3A"/>
    <w:rsid w:val="07AE16DD"/>
    <w:rsid w:val="07B37C0B"/>
    <w:rsid w:val="07BC497D"/>
    <w:rsid w:val="07F93A4B"/>
    <w:rsid w:val="081629EB"/>
    <w:rsid w:val="08382A65"/>
    <w:rsid w:val="083E4F38"/>
    <w:rsid w:val="0840097F"/>
    <w:rsid w:val="08475B09"/>
    <w:rsid w:val="085A5C78"/>
    <w:rsid w:val="086730EE"/>
    <w:rsid w:val="086E0331"/>
    <w:rsid w:val="088D4869"/>
    <w:rsid w:val="08971884"/>
    <w:rsid w:val="08D91C22"/>
    <w:rsid w:val="08E51639"/>
    <w:rsid w:val="08EE6BE1"/>
    <w:rsid w:val="0905606D"/>
    <w:rsid w:val="09092D75"/>
    <w:rsid w:val="09165337"/>
    <w:rsid w:val="09277A21"/>
    <w:rsid w:val="092C4DBA"/>
    <w:rsid w:val="09370DC8"/>
    <w:rsid w:val="094054E5"/>
    <w:rsid w:val="094236D7"/>
    <w:rsid w:val="09434CDD"/>
    <w:rsid w:val="095567BF"/>
    <w:rsid w:val="09694018"/>
    <w:rsid w:val="09751765"/>
    <w:rsid w:val="097B0CEF"/>
    <w:rsid w:val="09820204"/>
    <w:rsid w:val="098F0BC0"/>
    <w:rsid w:val="09A82F3A"/>
    <w:rsid w:val="09C4597B"/>
    <w:rsid w:val="09D536E6"/>
    <w:rsid w:val="09E85885"/>
    <w:rsid w:val="09F828C3"/>
    <w:rsid w:val="09FD7AEB"/>
    <w:rsid w:val="0A2D6114"/>
    <w:rsid w:val="0A4C6356"/>
    <w:rsid w:val="0A5B6275"/>
    <w:rsid w:val="0A644A48"/>
    <w:rsid w:val="0A671952"/>
    <w:rsid w:val="0A6F05F5"/>
    <w:rsid w:val="0A7964DD"/>
    <w:rsid w:val="0A871A0F"/>
    <w:rsid w:val="0A981059"/>
    <w:rsid w:val="0A9E755D"/>
    <w:rsid w:val="0AAE6990"/>
    <w:rsid w:val="0AB00FC1"/>
    <w:rsid w:val="0ABD6D86"/>
    <w:rsid w:val="0AC168AF"/>
    <w:rsid w:val="0AD16B72"/>
    <w:rsid w:val="0ADE6C09"/>
    <w:rsid w:val="0AED2F6B"/>
    <w:rsid w:val="0AF10769"/>
    <w:rsid w:val="0AF314DB"/>
    <w:rsid w:val="0B1E3FE9"/>
    <w:rsid w:val="0B242375"/>
    <w:rsid w:val="0B3365AD"/>
    <w:rsid w:val="0B417F5A"/>
    <w:rsid w:val="0B5A4560"/>
    <w:rsid w:val="0B6E1DBA"/>
    <w:rsid w:val="0B750F32"/>
    <w:rsid w:val="0B786DA4"/>
    <w:rsid w:val="0B7C5079"/>
    <w:rsid w:val="0B7E024F"/>
    <w:rsid w:val="0B8015D4"/>
    <w:rsid w:val="0B8A0B4F"/>
    <w:rsid w:val="0B8B7C33"/>
    <w:rsid w:val="0B9218C2"/>
    <w:rsid w:val="0B992E37"/>
    <w:rsid w:val="0BA23FCD"/>
    <w:rsid w:val="0BCB720C"/>
    <w:rsid w:val="0BCF0704"/>
    <w:rsid w:val="0BF14359"/>
    <w:rsid w:val="0BFD0A48"/>
    <w:rsid w:val="0C1D75FC"/>
    <w:rsid w:val="0C26777D"/>
    <w:rsid w:val="0C2A540E"/>
    <w:rsid w:val="0C4843B9"/>
    <w:rsid w:val="0C4D10DC"/>
    <w:rsid w:val="0C63112C"/>
    <w:rsid w:val="0C9231F7"/>
    <w:rsid w:val="0CA77331"/>
    <w:rsid w:val="0CB92907"/>
    <w:rsid w:val="0CC567DC"/>
    <w:rsid w:val="0CD26ABD"/>
    <w:rsid w:val="0CDA4944"/>
    <w:rsid w:val="0CDB6F44"/>
    <w:rsid w:val="0CE60069"/>
    <w:rsid w:val="0D003A0E"/>
    <w:rsid w:val="0D193D4C"/>
    <w:rsid w:val="0D1C6862"/>
    <w:rsid w:val="0D2A1D10"/>
    <w:rsid w:val="0D38267F"/>
    <w:rsid w:val="0D6356CF"/>
    <w:rsid w:val="0D6A7E4D"/>
    <w:rsid w:val="0DA67720"/>
    <w:rsid w:val="0DB87F63"/>
    <w:rsid w:val="0DC772E5"/>
    <w:rsid w:val="0DD10FE9"/>
    <w:rsid w:val="0DD30EE5"/>
    <w:rsid w:val="0DD3537D"/>
    <w:rsid w:val="0DD40DB5"/>
    <w:rsid w:val="0DEE4400"/>
    <w:rsid w:val="0DF77E44"/>
    <w:rsid w:val="0E083E00"/>
    <w:rsid w:val="0E175885"/>
    <w:rsid w:val="0E21485C"/>
    <w:rsid w:val="0E516AE1"/>
    <w:rsid w:val="0E573B90"/>
    <w:rsid w:val="0E5B0931"/>
    <w:rsid w:val="0E5C1B74"/>
    <w:rsid w:val="0E8221BD"/>
    <w:rsid w:val="0E876694"/>
    <w:rsid w:val="0E8E5C98"/>
    <w:rsid w:val="0EC341CA"/>
    <w:rsid w:val="0EC853AF"/>
    <w:rsid w:val="0ECB57B6"/>
    <w:rsid w:val="0ED01EA6"/>
    <w:rsid w:val="0ED67282"/>
    <w:rsid w:val="0EF331A1"/>
    <w:rsid w:val="0F0B75D2"/>
    <w:rsid w:val="0F205179"/>
    <w:rsid w:val="0F287407"/>
    <w:rsid w:val="0F5A68DD"/>
    <w:rsid w:val="0F66331F"/>
    <w:rsid w:val="0F6D5DA4"/>
    <w:rsid w:val="0F9D6B95"/>
    <w:rsid w:val="0FB05C1B"/>
    <w:rsid w:val="0FC260EE"/>
    <w:rsid w:val="0FC3024D"/>
    <w:rsid w:val="0FC63F72"/>
    <w:rsid w:val="0FEA2ADC"/>
    <w:rsid w:val="100B1250"/>
    <w:rsid w:val="100E1475"/>
    <w:rsid w:val="101F5AC3"/>
    <w:rsid w:val="102962AF"/>
    <w:rsid w:val="104A5783"/>
    <w:rsid w:val="10636B58"/>
    <w:rsid w:val="1066663C"/>
    <w:rsid w:val="10680557"/>
    <w:rsid w:val="106F476A"/>
    <w:rsid w:val="108A1444"/>
    <w:rsid w:val="108A1FB5"/>
    <w:rsid w:val="10923E54"/>
    <w:rsid w:val="109F3033"/>
    <w:rsid w:val="10AB67DC"/>
    <w:rsid w:val="10BF77ED"/>
    <w:rsid w:val="10CC01C5"/>
    <w:rsid w:val="10CC3BD0"/>
    <w:rsid w:val="10D358B9"/>
    <w:rsid w:val="10D7347F"/>
    <w:rsid w:val="10D75D0B"/>
    <w:rsid w:val="10D911E7"/>
    <w:rsid w:val="10F034D3"/>
    <w:rsid w:val="10F97DC5"/>
    <w:rsid w:val="110A60E1"/>
    <w:rsid w:val="111B209C"/>
    <w:rsid w:val="11221C12"/>
    <w:rsid w:val="112469FB"/>
    <w:rsid w:val="11491157"/>
    <w:rsid w:val="11A22A61"/>
    <w:rsid w:val="11AF336F"/>
    <w:rsid w:val="11B536D3"/>
    <w:rsid w:val="11CD7DDF"/>
    <w:rsid w:val="11DD059F"/>
    <w:rsid w:val="11E44B84"/>
    <w:rsid w:val="11EA36BB"/>
    <w:rsid w:val="11FA43A7"/>
    <w:rsid w:val="11FE409D"/>
    <w:rsid w:val="12042E0D"/>
    <w:rsid w:val="121B4E6A"/>
    <w:rsid w:val="121F04D7"/>
    <w:rsid w:val="122937F4"/>
    <w:rsid w:val="123577B5"/>
    <w:rsid w:val="12396910"/>
    <w:rsid w:val="123F625E"/>
    <w:rsid w:val="124B6C24"/>
    <w:rsid w:val="12555609"/>
    <w:rsid w:val="125565B7"/>
    <w:rsid w:val="125D32C4"/>
    <w:rsid w:val="12753A2E"/>
    <w:rsid w:val="128D65FD"/>
    <w:rsid w:val="128F02BF"/>
    <w:rsid w:val="128F2D41"/>
    <w:rsid w:val="12977E48"/>
    <w:rsid w:val="12A10CC7"/>
    <w:rsid w:val="12EE1A3F"/>
    <w:rsid w:val="12EE7DCD"/>
    <w:rsid w:val="130A2A2D"/>
    <w:rsid w:val="13172903"/>
    <w:rsid w:val="1319260B"/>
    <w:rsid w:val="13534FBA"/>
    <w:rsid w:val="13693468"/>
    <w:rsid w:val="13740F16"/>
    <w:rsid w:val="138E68E8"/>
    <w:rsid w:val="13963CE7"/>
    <w:rsid w:val="139D2C81"/>
    <w:rsid w:val="13A4281C"/>
    <w:rsid w:val="13AF4383"/>
    <w:rsid w:val="13BC4225"/>
    <w:rsid w:val="13CF1B60"/>
    <w:rsid w:val="13D1738A"/>
    <w:rsid w:val="13FC084C"/>
    <w:rsid w:val="13FE1284"/>
    <w:rsid w:val="14057F33"/>
    <w:rsid w:val="140817B5"/>
    <w:rsid w:val="142A3648"/>
    <w:rsid w:val="14416F00"/>
    <w:rsid w:val="1453512E"/>
    <w:rsid w:val="145644D3"/>
    <w:rsid w:val="1460015A"/>
    <w:rsid w:val="148F5203"/>
    <w:rsid w:val="149B4124"/>
    <w:rsid w:val="14A019D6"/>
    <w:rsid w:val="14B922F8"/>
    <w:rsid w:val="14C667C2"/>
    <w:rsid w:val="14D51755"/>
    <w:rsid w:val="14D54CF1"/>
    <w:rsid w:val="14DA7696"/>
    <w:rsid w:val="14DF2495"/>
    <w:rsid w:val="14F13629"/>
    <w:rsid w:val="14F50E56"/>
    <w:rsid w:val="15064E11"/>
    <w:rsid w:val="15114515"/>
    <w:rsid w:val="152C0355"/>
    <w:rsid w:val="1537146E"/>
    <w:rsid w:val="1548409C"/>
    <w:rsid w:val="154D2A40"/>
    <w:rsid w:val="15515FA9"/>
    <w:rsid w:val="155C6AE0"/>
    <w:rsid w:val="155F7B44"/>
    <w:rsid w:val="15805A14"/>
    <w:rsid w:val="158E3B78"/>
    <w:rsid w:val="15AD515A"/>
    <w:rsid w:val="15AE0219"/>
    <w:rsid w:val="15BB78F3"/>
    <w:rsid w:val="15C42D02"/>
    <w:rsid w:val="15DE5ED3"/>
    <w:rsid w:val="15ED3500"/>
    <w:rsid w:val="15F4050D"/>
    <w:rsid w:val="15FD6214"/>
    <w:rsid w:val="16061AD9"/>
    <w:rsid w:val="161C042E"/>
    <w:rsid w:val="16361356"/>
    <w:rsid w:val="1638724C"/>
    <w:rsid w:val="163F05DA"/>
    <w:rsid w:val="16476833"/>
    <w:rsid w:val="164A5F5C"/>
    <w:rsid w:val="16504596"/>
    <w:rsid w:val="165352E5"/>
    <w:rsid w:val="165B2F3A"/>
    <w:rsid w:val="167726BB"/>
    <w:rsid w:val="16785638"/>
    <w:rsid w:val="169034F3"/>
    <w:rsid w:val="16E61369"/>
    <w:rsid w:val="16E779A9"/>
    <w:rsid w:val="16EB14EF"/>
    <w:rsid w:val="16F85143"/>
    <w:rsid w:val="170C3F19"/>
    <w:rsid w:val="17120380"/>
    <w:rsid w:val="172D3038"/>
    <w:rsid w:val="17477EA3"/>
    <w:rsid w:val="176A1B84"/>
    <w:rsid w:val="176E6B3E"/>
    <w:rsid w:val="1772678E"/>
    <w:rsid w:val="178319E9"/>
    <w:rsid w:val="179865BF"/>
    <w:rsid w:val="17A164A0"/>
    <w:rsid w:val="17B15508"/>
    <w:rsid w:val="17BE4636"/>
    <w:rsid w:val="17CB43BA"/>
    <w:rsid w:val="17F81389"/>
    <w:rsid w:val="180516B5"/>
    <w:rsid w:val="1809772A"/>
    <w:rsid w:val="18161874"/>
    <w:rsid w:val="182928B0"/>
    <w:rsid w:val="18306597"/>
    <w:rsid w:val="18315305"/>
    <w:rsid w:val="185F7C30"/>
    <w:rsid w:val="1867206B"/>
    <w:rsid w:val="18795A85"/>
    <w:rsid w:val="187A1D9E"/>
    <w:rsid w:val="187F4E94"/>
    <w:rsid w:val="18856EFF"/>
    <w:rsid w:val="188C1A0A"/>
    <w:rsid w:val="188D1AD1"/>
    <w:rsid w:val="18947F57"/>
    <w:rsid w:val="189D49AF"/>
    <w:rsid w:val="18AE1A47"/>
    <w:rsid w:val="18CD7911"/>
    <w:rsid w:val="18DE74F2"/>
    <w:rsid w:val="18ED0233"/>
    <w:rsid w:val="1909040C"/>
    <w:rsid w:val="190B7B77"/>
    <w:rsid w:val="190F56B3"/>
    <w:rsid w:val="191B6DA1"/>
    <w:rsid w:val="19232CA5"/>
    <w:rsid w:val="19516FA3"/>
    <w:rsid w:val="195F2FA8"/>
    <w:rsid w:val="1961002D"/>
    <w:rsid w:val="19706CFD"/>
    <w:rsid w:val="19831126"/>
    <w:rsid w:val="19846285"/>
    <w:rsid w:val="199D3183"/>
    <w:rsid w:val="19C808E7"/>
    <w:rsid w:val="19CC423D"/>
    <w:rsid w:val="19D04261"/>
    <w:rsid w:val="19D434BC"/>
    <w:rsid w:val="19DA70E4"/>
    <w:rsid w:val="19ED16E8"/>
    <w:rsid w:val="1A027241"/>
    <w:rsid w:val="1A034299"/>
    <w:rsid w:val="1A155A76"/>
    <w:rsid w:val="1A4661E7"/>
    <w:rsid w:val="1A4860D8"/>
    <w:rsid w:val="1A71619A"/>
    <w:rsid w:val="1A88448F"/>
    <w:rsid w:val="1AAC2DA3"/>
    <w:rsid w:val="1AC9700C"/>
    <w:rsid w:val="1AD16FEB"/>
    <w:rsid w:val="1AEB4323"/>
    <w:rsid w:val="1AEE4744"/>
    <w:rsid w:val="1AF019CE"/>
    <w:rsid w:val="1AF2058A"/>
    <w:rsid w:val="1B141E70"/>
    <w:rsid w:val="1B2A235C"/>
    <w:rsid w:val="1B2B66DA"/>
    <w:rsid w:val="1B2E301D"/>
    <w:rsid w:val="1B4159CC"/>
    <w:rsid w:val="1B566FB7"/>
    <w:rsid w:val="1B5A143A"/>
    <w:rsid w:val="1B73292F"/>
    <w:rsid w:val="1B785A20"/>
    <w:rsid w:val="1B8151F1"/>
    <w:rsid w:val="1B830F69"/>
    <w:rsid w:val="1BA504E1"/>
    <w:rsid w:val="1BA51D4F"/>
    <w:rsid w:val="1BA9065B"/>
    <w:rsid w:val="1BBC4C1E"/>
    <w:rsid w:val="1C07128D"/>
    <w:rsid w:val="1C0E31D2"/>
    <w:rsid w:val="1C36454D"/>
    <w:rsid w:val="1C4B5EC3"/>
    <w:rsid w:val="1C5D51DE"/>
    <w:rsid w:val="1C7569B9"/>
    <w:rsid w:val="1C81562C"/>
    <w:rsid w:val="1C8E7BC6"/>
    <w:rsid w:val="1C9F4294"/>
    <w:rsid w:val="1CA0712C"/>
    <w:rsid w:val="1CC37E85"/>
    <w:rsid w:val="1CD12222"/>
    <w:rsid w:val="1CFA07ED"/>
    <w:rsid w:val="1D05037B"/>
    <w:rsid w:val="1D075835"/>
    <w:rsid w:val="1D131341"/>
    <w:rsid w:val="1D155B3C"/>
    <w:rsid w:val="1D187DD7"/>
    <w:rsid w:val="1D1E1187"/>
    <w:rsid w:val="1D1E76E8"/>
    <w:rsid w:val="1D3249F5"/>
    <w:rsid w:val="1D474B34"/>
    <w:rsid w:val="1D5F73A6"/>
    <w:rsid w:val="1D666512"/>
    <w:rsid w:val="1D745932"/>
    <w:rsid w:val="1D7D18A4"/>
    <w:rsid w:val="1D992F2B"/>
    <w:rsid w:val="1DD015DB"/>
    <w:rsid w:val="1DFA2D5D"/>
    <w:rsid w:val="1DFF0F95"/>
    <w:rsid w:val="1E02637C"/>
    <w:rsid w:val="1E1F4510"/>
    <w:rsid w:val="1E2B6D2A"/>
    <w:rsid w:val="1E2D37E0"/>
    <w:rsid w:val="1E3A5E19"/>
    <w:rsid w:val="1E424571"/>
    <w:rsid w:val="1E566E09"/>
    <w:rsid w:val="1E697983"/>
    <w:rsid w:val="1E830CF8"/>
    <w:rsid w:val="1E876418"/>
    <w:rsid w:val="1E933BB9"/>
    <w:rsid w:val="1E965E24"/>
    <w:rsid w:val="1EC55D25"/>
    <w:rsid w:val="1ECC4068"/>
    <w:rsid w:val="1EDD06A8"/>
    <w:rsid w:val="1EEB512E"/>
    <w:rsid w:val="1F1D39EB"/>
    <w:rsid w:val="1F1D5B6D"/>
    <w:rsid w:val="1F1D71A6"/>
    <w:rsid w:val="1F217EEB"/>
    <w:rsid w:val="1F28628A"/>
    <w:rsid w:val="1F3F164B"/>
    <w:rsid w:val="1F4816B7"/>
    <w:rsid w:val="1F4879B3"/>
    <w:rsid w:val="1F59095F"/>
    <w:rsid w:val="1F5D7D23"/>
    <w:rsid w:val="1F6328CE"/>
    <w:rsid w:val="1F6D2133"/>
    <w:rsid w:val="1F737EAB"/>
    <w:rsid w:val="1F8D7282"/>
    <w:rsid w:val="1F991DD0"/>
    <w:rsid w:val="1F9C16F9"/>
    <w:rsid w:val="1FA8546D"/>
    <w:rsid w:val="1FB34B64"/>
    <w:rsid w:val="1FB82CE2"/>
    <w:rsid w:val="1FC63B1B"/>
    <w:rsid w:val="1FE478E3"/>
    <w:rsid w:val="1FE47927"/>
    <w:rsid w:val="200059F1"/>
    <w:rsid w:val="200D34F7"/>
    <w:rsid w:val="204A64FA"/>
    <w:rsid w:val="204C224B"/>
    <w:rsid w:val="20511AE7"/>
    <w:rsid w:val="205246C4"/>
    <w:rsid w:val="20635AAE"/>
    <w:rsid w:val="206E521E"/>
    <w:rsid w:val="2076109D"/>
    <w:rsid w:val="20784E15"/>
    <w:rsid w:val="209C6CF0"/>
    <w:rsid w:val="20A901EB"/>
    <w:rsid w:val="20D81D57"/>
    <w:rsid w:val="20E20E03"/>
    <w:rsid w:val="20E4178F"/>
    <w:rsid w:val="21012CDA"/>
    <w:rsid w:val="212159CC"/>
    <w:rsid w:val="21356A9E"/>
    <w:rsid w:val="21364EE9"/>
    <w:rsid w:val="21703D96"/>
    <w:rsid w:val="217B063C"/>
    <w:rsid w:val="21837F15"/>
    <w:rsid w:val="2196670C"/>
    <w:rsid w:val="219A3E97"/>
    <w:rsid w:val="219B0853"/>
    <w:rsid w:val="21CE7D39"/>
    <w:rsid w:val="21D3069E"/>
    <w:rsid w:val="21D73DBD"/>
    <w:rsid w:val="21D97D01"/>
    <w:rsid w:val="21FB4922"/>
    <w:rsid w:val="221A3B7F"/>
    <w:rsid w:val="22392BD8"/>
    <w:rsid w:val="223A3576"/>
    <w:rsid w:val="224845E1"/>
    <w:rsid w:val="225134B5"/>
    <w:rsid w:val="225B5806"/>
    <w:rsid w:val="22650DDE"/>
    <w:rsid w:val="226C09A9"/>
    <w:rsid w:val="226E0244"/>
    <w:rsid w:val="22734F09"/>
    <w:rsid w:val="227461C1"/>
    <w:rsid w:val="227B72AF"/>
    <w:rsid w:val="22805CCA"/>
    <w:rsid w:val="22853819"/>
    <w:rsid w:val="2287403F"/>
    <w:rsid w:val="228A7081"/>
    <w:rsid w:val="22BE7B64"/>
    <w:rsid w:val="22C372E5"/>
    <w:rsid w:val="22C500B9"/>
    <w:rsid w:val="22C65F6B"/>
    <w:rsid w:val="22E2518F"/>
    <w:rsid w:val="22E345DB"/>
    <w:rsid w:val="22E542B8"/>
    <w:rsid w:val="22F16EE9"/>
    <w:rsid w:val="22F90E47"/>
    <w:rsid w:val="22FC204C"/>
    <w:rsid w:val="230714B3"/>
    <w:rsid w:val="230F570C"/>
    <w:rsid w:val="231676B9"/>
    <w:rsid w:val="231F3C6E"/>
    <w:rsid w:val="23250B58"/>
    <w:rsid w:val="23311FF2"/>
    <w:rsid w:val="233137C8"/>
    <w:rsid w:val="233B3D88"/>
    <w:rsid w:val="23496F3C"/>
    <w:rsid w:val="238465B7"/>
    <w:rsid w:val="239176E3"/>
    <w:rsid w:val="23982480"/>
    <w:rsid w:val="23B44AB7"/>
    <w:rsid w:val="23D22A8E"/>
    <w:rsid w:val="23DD3872"/>
    <w:rsid w:val="23F05A5F"/>
    <w:rsid w:val="23FF6A83"/>
    <w:rsid w:val="24094246"/>
    <w:rsid w:val="241A7278"/>
    <w:rsid w:val="241C4DBA"/>
    <w:rsid w:val="242633C4"/>
    <w:rsid w:val="242C6A23"/>
    <w:rsid w:val="243038D8"/>
    <w:rsid w:val="2438769C"/>
    <w:rsid w:val="24403322"/>
    <w:rsid w:val="245272E6"/>
    <w:rsid w:val="245841E2"/>
    <w:rsid w:val="245E4322"/>
    <w:rsid w:val="24632E20"/>
    <w:rsid w:val="2477581A"/>
    <w:rsid w:val="247F3C66"/>
    <w:rsid w:val="249064A5"/>
    <w:rsid w:val="24974CD3"/>
    <w:rsid w:val="24985C8C"/>
    <w:rsid w:val="249F498F"/>
    <w:rsid w:val="24AF3E55"/>
    <w:rsid w:val="24BB49D0"/>
    <w:rsid w:val="24D62316"/>
    <w:rsid w:val="24EC4190"/>
    <w:rsid w:val="25095CA8"/>
    <w:rsid w:val="250F3A2C"/>
    <w:rsid w:val="251B161F"/>
    <w:rsid w:val="251F61A7"/>
    <w:rsid w:val="25373D72"/>
    <w:rsid w:val="254D4711"/>
    <w:rsid w:val="25553977"/>
    <w:rsid w:val="256233A3"/>
    <w:rsid w:val="2593449F"/>
    <w:rsid w:val="25A24E05"/>
    <w:rsid w:val="25A9321C"/>
    <w:rsid w:val="25B10F05"/>
    <w:rsid w:val="25B85290"/>
    <w:rsid w:val="25C04DA0"/>
    <w:rsid w:val="25DB430B"/>
    <w:rsid w:val="25EE0448"/>
    <w:rsid w:val="261455E0"/>
    <w:rsid w:val="261A2832"/>
    <w:rsid w:val="26296BB1"/>
    <w:rsid w:val="263041A6"/>
    <w:rsid w:val="26307F40"/>
    <w:rsid w:val="2637307C"/>
    <w:rsid w:val="265444E1"/>
    <w:rsid w:val="26562AB8"/>
    <w:rsid w:val="265C5002"/>
    <w:rsid w:val="266A16A4"/>
    <w:rsid w:val="266D6C98"/>
    <w:rsid w:val="266F4427"/>
    <w:rsid w:val="267658B5"/>
    <w:rsid w:val="26AA5F44"/>
    <w:rsid w:val="26AC7F58"/>
    <w:rsid w:val="26AE5525"/>
    <w:rsid w:val="26BB5A5B"/>
    <w:rsid w:val="26BC7A25"/>
    <w:rsid w:val="26BD721E"/>
    <w:rsid w:val="26CC26D7"/>
    <w:rsid w:val="26CF7B42"/>
    <w:rsid w:val="26DB4F88"/>
    <w:rsid w:val="26F77DBA"/>
    <w:rsid w:val="27130402"/>
    <w:rsid w:val="27194E78"/>
    <w:rsid w:val="27217A1A"/>
    <w:rsid w:val="272A209F"/>
    <w:rsid w:val="27302841"/>
    <w:rsid w:val="2731611B"/>
    <w:rsid w:val="27383550"/>
    <w:rsid w:val="2748258F"/>
    <w:rsid w:val="275C3C0F"/>
    <w:rsid w:val="2760264D"/>
    <w:rsid w:val="27663B9A"/>
    <w:rsid w:val="27691B23"/>
    <w:rsid w:val="277B343D"/>
    <w:rsid w:val="27AC35F6"/>
    <w:rsid w:val="27B6238E"/>
    <w:rsid w:val="27C546B8"/>
    <w:rsid w:val="27CA48BF"/>
    <w:rsid w:val="27CC37AB"/>
    <w:rsid w:val="27D843EB"/>
    <w:rsid w:val="27DE5F19"/>
    <w:rsid w:val="27E014F2"/>
    <w:rsid w:val="28034B28"/>
    <w:rsid w:val="28270315"/>
    <w:rsid w:val="283A32F8"/>
    <w:rsid w:val="283D44F8"/>
    <w:rsid w:val="284E28FF"/>
    <w:rsid w:val="28537F15"/>
    <w:rsid w:val="286B3C2D"/>
    <w:rsid w:val="286E5719"/>
    <w:rsid w:val="28721701"/>
    <w:rsid w:val="28724110"/>
    <w:rsid w:val="287D0614"/>
    <w:rsid w:val="289A24DB"/>
    <w:rsid w:val="28A307A5"/>
    <w:rsid w:val="28A90F4A"/>
    <w:rsid w:val="28BD53D7"/>
    <w:rsid w:val="28C35243"/>
    <w:rsid w:val="28CD0E0B"/>
    <w:rsid w:val="28D3664A"/>
    <w:rsid w:val="28DE269A"/>
    <w:rsid w:val="28E80F5B"/>
    <w:rsid w:val="28EC1FEC"/>
    <w:rsid w:val="28F64534"/>
    <w:rsid w:val="290751ED"/>
    <w:rsid w:val="29145BCD"/>
    <w:rsid w:val="295439CA"/>
    <w:rsid w:val="295D7993"/>
    <w:rsid w:val="29625B64"/>
    <w:rsid w:val="29725929"/>
    <w:rsid w:val="2989303D"/>
    <w:rsid w:val="29B36BD8"/>
    <w:rsid w:val="29BA46DD"/>
    <w:rsid w:val="29BB0E7F"/>
    <w:rsid w:val="29D6003E"/>
    <w:rsid w:val="29DB7E1A"/>
    <w:rsid w:val="29DE526C"/>
    <w:rsid w:val="29DF5605"/>
    <w:rsid w:val="2A576E80"/>
    <w:rsid w:val="2A5A11A0"/>
    <w:rsid w:val="2A605B43"/>
    <w:rsid w:val="2A6B0AA7"/>
    <w:rsid w:val="2A6E186E"/>
    <w:rsid w:val="2A70127B"/>
    <w:rsid w:val="2A895E70"/>
    <w:rsid w:val="2A9A7385"/>
    <w:rsid w:val="2AAA4765"/>
    <w:rsid w:val="2AAF1B76"/>
    <w:rsid w:val="2ACB46DB"/>
    <w:rsid w:val="2ADF5BF1"/>
    <w:rsid w:val="2AEC34A6"/>
    <w:rsid w:val="2AF00E33"/>
    <w:rsid w:val="2AF5571E"/>
    <w:rsid w:val="2B021A55"/>
    <w:rsid w:val="2B032C58"/>
    <w:rsid w:val="2B113346"/>
    <w:rsid w:val="2B241EA3"/>
    <w:rsid w:val="2B2C33CC"/>
    <w:rsid w:val="2B2D3256"/>
    <w:rsid w:val="2B3054B4"/>
    <w:rsid w:val="2B4B6E6B"/>
    <w:rsid w:val="2B50138A"/>
    <w:rsid w:val="2B722FCA"/>
    <w:rsid w:val="2B830022"/>
    <w:rsid w:val="2B9B6B8C"/>
    <w:rsid w:val="2BA21B15"/>
    <w:rsid w:val="2BA31D21"/>
    <w:rsid w:val="2BF13CCD"/>
    <w:rsid w:val="2BF52876"/>
    <w:rsid w:val="2BFC063C"/>
    <w:rsid w:val="2C0242F8"/>
    <w:rsid w:val="2C045CDA"/>
    <w:rsid w:val="2C047EA4"/>
    <w:rsid w:val="2C1216D6"/>
    <w:rsid w:val="2C1F6C5A"/>
    <w:rsid w:val="2C267066"/>
    <w:rsid w:val="2C311870"/>
    <w:rsid w:val="2C59731E"/>
    <w:rsid w:val="2C5F4E35"/>
    <w:rsid w:val="2C7E6401"/>
    <w:rsid w:val="2C950257"/>
    <w:rsid w:val="2CA07253"/>
    <w:rsid w:val="2CB26EA2"/>
    <w:rsid w:val="2CB52F4D"/>
    <w:rsid w:val="2CBD7C60"/>
    <w:rsid w:val="2CCF5CD0"/>
    <w:rsid w:val="2CF55A3F"/>
    <w:rsid w:val="2CF77A09"/>
    <w:rsid w:val="2CFD055D"/>
    <w:rsid w:val="2D0D07AF"/>
    <w:rsid w:val="2D0E5AFB"/>
    <w:rsid w:val="2D10399B"/>
    <w:rsid w:val="2D1A5290"/>
    <w:rsid w:val="2D1D5DBD"/>
    <w:rsid w:val="2D23797D"/>
    <w:rsid w:val="2D2500D2"/>
    <w:rsid w:val="2D3C5EAF"/>
    <w:rsid w:val="2D4F0073"/>
    <w:rsid w:val="2D542998"/>
    <w:rsid w:val="2D5B4C32"/>
    <w:rsid w:val="2D5D4107"/>
    <w:rsid w:val="2D723157"/>
    <w:rsid w:val="2D79041E"/>
    <w:rsid w:val="2DA3549B"/>
    <w:rsid w:val="2DAB6129"/>
    <w:rsid w:val="2DC31FF6"/>
    <w:rsid w:val="2DC5563C"/>
    <w:rsid w:val="2DC67988"/>
    <w:rsid w:val="2DD27975"/>
    <w:rsid w:val="2DDD5F26"/>
    <w:rsid w:val="2DE90DA1"/>
    <w:rsid w:val="2E141D22"/>
    <w:rsid w:val="2E193869"/>
    <w:rsid w:val="2E37663A"/>
    <w:rsid w:val="2E446CE3"/>
    <w:rsid w:val="2E481911"/>
    <w:rsid w:val="2E712D88"/>
    <w:rsid w:val="2E774C02"/>
    <w:rsid w:val="2E82647A"/>
    <w:rsid w:val="2E840A65"/>
    <w:rsid w:val="2EAB10FE"/>
    <w:rsid w:val="2EB4445A"/>
    <w:rsid w:val="2EC3154C"/>
    <w:rsid w:val="2ECF6E3E"/>
    <w:rsid w:val="2ED040B3"/>
    <w:rsid w:val="2ED15BAD"/>
    <w:rsid w:val="2ED709C6"/>
    <w:rsid w:val="2EEF4F39"/>
    <w:rsid w:val="2EEF5DED"/>
    <w:rsid w:val="2EF14A04"/>
    <w:rsid w:val="2EF51BD6"/>
    <w:rsid w:val="2EF741CE"/>
    <w:rsid w:val="2EFB76B3"/>
    <w:rsid w:val="2F0B74B6"/>
    <w:rsid w:val="2F1601E3"/>
    <w:rsid w:val="2F1C3757"/>
    <w:rsid w:val="2F200A3B"/>
    <w:rsid w:val="2F2137FE"/>
    <w:rsid w:val="2F263BA4"/>
    <w:rsid w:val="2F3A72E3"/>
    <w:rsid w:val="2F653168"/>
    <w:rsid w:val="2F6B39F5"/>
    <w:rsid w:val="2F706E19"/>
    <w:rsid w:val="2F904957"/>
    <w:rsid w:val="302208F9"/>
    <w:rsid w:val="302B4A87"/>
    <w:rsid w:val="302D729E"/>
    <w:rsid w:val="302E7A15"/>
    <w:rsid w:val="303F12D7"/>
    <w:rsid w:val="304747A7"/>
    <w:rsid w:val="305F4EA1"/>
    <w:rsid w:val="308F520A"/>
    <w:rsid w:val="30937ED9"/>
    <w:rsid w:val="30A2717A"/>
    <w:rsid w:val="30A368ED"/>
    <w:rsid w:val="30BD0622"/>
    <w:rsid w:val="30C145B6"/>
    <w:rsid w:val="30C16364"/>
    <w:rsid w:val="30CC4D09"/>
    <w:rsid w:val="30D33429"/>
    <w:rsid w:val="30F57DBC"/>
    <w:rsid w:val="30FA3624"/>
    <w:rsid w:val="31366F97"/>
    <w:rsid w:val="313E4F30"/>
    <w:rsid w:val="314532C5"/>
    <w:rsid w:val="315B5DF3"/>
    <w:rsid w:val="315D0960"/>
    <w:rsid w:val="31667C04"/>
    <w:rsid w:val="317163A3"/>
    <w:rsid w:val="317F5A93"/>
    <w:rsid w:val="31A44A74"/>
    <w:rsid w:val="31AB4304"/>
    <w:rsid w:val="31BC6DCF"/>
    <w:rsid w:val="31BE4652"/>
    <w:rsid w:val="31C549F4"/>
    <w:rsid w:val="31D0557F"/>
    <w:rsid w:val="31DD2B0F"/>
    <w:rsid w:val="31E06C07"/>
    <w:rsid w:val="31E84814"/>
    <w:rsid w:val="31F956D7"/>
    <w:rsid w:val="3210554B"/>
    <w:rsid w:val="32196588"/>
    <w:rsid w:val="32467BBD"/>
    <w:rsid w:val="324B78A1"/>
    <w:rsid w:val="32583EB4"/>
    <w:rsid w:val="32686FC0"/>
    <w:rsid w:val="328630F3"/>
    <w:rsid w:val="32987BEE"/>
    <w:rsid w:val="329D070B"/>
    <w:rsid w:val="32A4059D"/>
    <w:rsid w:val="32B81C90"/>
    <w:rsid w:val="32BA3EF2"/>
    <w:rsid w:val="32C44DB9"/>
    <w:rsid w:val="32D61BDC"/>
    <w:rsid w:val="32DF2AD1"/>
    <w:rsid w:val="32F3136D"/>
    <w:rsid w:val="33265F77"/>
    <w:rsid w:val="332D11B8"/>
    <w:rsid w:val="332D25EE"/>
    <w:rsid w:val="33390F62"/>
    <w:rsid w:val="33615351"/>
    <w:rsid w:val="33661B56"/>
    <w:rsid w:val="338462EC"/>
    <w:rsid w:val="33911E06"/>
    <w:rsid w:val="33A52295"/>
    <w:rsid w:val="33A93AA6"/>
    <w:rsid w:val="33C545E6"/>
    <w:rsid w:val="33D75E9F"/>
    <w:rsid w:val="33DF1880"/>
    <w:rsid w:val="33E4118E"/>
    <w:rsid w:val="33E8669B"/>
    <w:rsid w:val="33FE4D2C"/>
    <w:rsid w:val="34282E38"/>
    <w:rsid w:val="342A3204"/>
    <w:rsid w:val="342E12F5"/>
    <w:rsid w:val="344468B8"/>
    <w:rsid w:val="344F3C87"/>
    <w:rsid w:val="34534356"/>
    <w:rsid w:val="3457735C"/>
    <w:rsid w:val="345A507C"/>
    <w:rsid w:val="346D7F6A"/>
    <w:rsid w:val="3479664E"/>
    <w:rsid w:val="348E47AF"/>
    <w:rsid w:val="349C54E9"/>
    <w:rsid w:val="34A3542A"/>
    <w:rsid w:val="34A854DD"/>
    <w:rsid w:val="34B674D0"/>
    <w:rsid w:val="34C342EC"/>
    <w:rsid w:val="34DB6ABA"/>
    <w:rsid w:val="34E930D7"/>
    <w:rsid w:val="34EC7728"/>
    <w:rsid w:val="35025507"/>
    <w:rsid w:val="35325E66"/>
    <w:rsid w:val="353651D3"/>
    <w:rsid w:val="354C606D"/>
    <w:rsid w:val="356C4FC6"/>
    <w:rsid w:val="356E51A4"/>
    <w:rsid w:val="357429DE"/>
    <w:rsid w:val="359F00D4"/>
    <w:rsid w:val="35A822E4"/>
    <w:rsid w:val="35BC4BD1"/>
    <w:rsid w:val="35BF3693"/>
    <w:rsid w:val="35C3284D"/>
    <w:rsid w:val="35D13B5B"/>
    <w:rsid w:val="35DF5F92"/>
    <w:rsid w:val="35FA5E74"/>
    <w:rsid w:val="361030D7"/>
    <w:rsid w:val="36132FB5"/>
    <w:rsid w:val="36216BB4"/>
    <w:rsid w:val="36363350"/>
    <w:rsid w:val="366F6DF0"/>
    <w:rsid w:val="36A0112E"/>
    <w:rsid w:val="36AA0DA9"/>
    <w:rsid w:val="36C13D71"/>
    <w:rsid w:val="36C70027"/>
    <w:rsid w:val="36CC11C0"/>
    <w:rsid w:val="36CF634B"/>
    <w:rsid w:val="36D65743"/>
    <w:rsid w:val="36F17843"/>
    <w:rsid w:val="37290699"/>
    <w:rsid w:val="37310BCE"/>
    <w:rsid w:val="373F521D"/>
    <w:rsid w:val="374C0170"/>
    <w:rsid w:val="37605FB0"/>
    <w:rsid w:val="37773C20"/>
    <w:rsid w:val="377E6681"/>
    <w:rsid w:val="379A6684"/>
    <w:rsid w:val="379F7254"/>
    <w:rsid w:val="37C60482"/>
    <w:rsid w:val="37F56B43"/>
    <w:rsid w:val="38231F67"/>
    <w:rsid w:val="38343CB0"/>
    <w:rsid w:val="383508B3"/>
    <w:rsid w:val="38641F79"/>
    <w:rsid w:val="38681C18"/>
    <w:rsid w:val="38694E49"/>
    <w:rsid w:val="38695286"/>
    <w:rsid w:val="38725314"/>
    <w:rsid w:val="38904830"/>
    <w:rsid w:val="389E09C9"/>
    <w:rsid w:val="38A14AE0"/>
    <w:rsid w:val="38AD4493"/>
    <w:rsid w:val="38C12A1B"/>
    <w:rsid w:val="38C90A09"/>
    <w:rsid w:val="38D17643"/>
    <w:rsid w:val="38DE476C"/>
    <w:rsid w:val="38E14037"/>
    <w:rsid w:val="3902576C"/>
    <w:rsid w:val="392163E9"/>
    <w:rsid w:val="39327A39"/>
    <w:rsid w:val="39396CB4"/>
    <w:rsid w:val="393C3924"/>
    <w:rsid w:val="39730417"/>
    <w:rsid w:val="398C14D9"/>
    <w:rsid w:val="39910DA3"/>
    <w:rsid w:val="39A74741"/>
    <w:rsid w:val="39E41315"/>
    <w:rsid w:val="39E53DD9"/>
    <w:rsid w:val="39EB4452"/>
    <w:rsid w:val="39EC20D0"/>
    <w:rsid w:val="39ED0491"/>
    <w:rsid w:val="3A030BE1"/>
    <w:rsid w:val="3A0472C2"/>
    <w:rsid w:val="3A2C7310"/>
    <w:rsid w:val="3A383CB2"/>
    <w:rsid w:val="3A445910"/>
    <w:rsid w:val="3A574617"/>
    <w:rsid w:val="3A8A441C"/>
    <w:rsid w:val="3A8D3293"/>
    <w:rsid w:val="3A960861"/>
    <w:rsid w:val="3A9D6C8E"/>
    <w:rsid w:val="3AAA7D14"/>
    <w:rsid w:val="3AD16371"/>
    <w:rsid w:val="3ADE7B13"/>
    <w:rsid w:val="3AE53F6B"/>
    <w:rsid w:val="3B00217F"/>
    <w:rsid w:val="3B2B7AD2"/>
    <w:rsid w:val="3B2C4D22"/>
    <w:rsid w:val="3B2C713D"/>
    <w:rsid w:val="3B462C7B"/>
    <w:rsid w:val="3B463151"/>
    <w:rsid w:val="3B4958D4"/>
    <w:rsid w:val="3B670585"/>
    <w:rsid w:val="3B8C591A"/>
    <w:rsid w:val="3B8D059F"/>
    <w:rsid w:val="3B9021C0"/>
    <w:rsid w:val="3B933ABE"/>
    <w:rsid w:val="3B962B11"/>
    <w:rsid w:val="3BA1126C"/>
    <w:rsid w:val="3BA77740"/>
    <w:rsid w:val="3BAC1EAB"/>
    <w:rsid w:val="3BB72CFE"/>
    <w:rsid w:val="3BF15191"/>
    <w:rsid w:val="3BFA50AE"/>
    <w:rsid w:val="3C3418D0"/>
    <w:rsid w:val="3C355E58"/>
    <w:rsid w:val="3C3F223E"/>
    <w:rsid w:val="3C410359"/>
    <w:rsid w:val="3C443D82"/>
    <w:rsid w:val="3C4D13F4"/>
    <w:rsid w:val="3C5E5D4D"/>
    <w:rsid w:val="3C6F4072"/>
    <w:rsid w:val="3C7006C7"/>
    <w:rsid w:val="3C8D3AD5"/>
    <w:rsid w:val="3C923E23"/>
    <w:rsid w:val="3CB07889"/>
    <w:rsid w:val="3CC316B6"/>
    <w:rsid w:val="3CD910CA"/>
    <w:rsid w:val="3CEE251A"/>
    <w:rsid w:val="3CF863CC"/>
    <w:rsid w:val="3CFB76AB"/>
    <w:rsid w:val="3D052C2E"/>
    <w:rsid w:val="3D06170D"/>
    <w:rsid w:val="3D0B74C0"/>
    <w:rsid w:val="3D100746"/>
    <w:rsid w:val="3D275C42"/>
    <w:rsid w:val="3D324146"/>
    <w:rsid w:val="3D4F2619"/>
    <w:rsid w:val="3D55637A"/>
    <w:rsid w:val="3D66086A"/>
    <w:rsid w:val="3D661DAC"/>
    <w:rsid w:val="3D6F3ED9"/>
    <w:rsid w:val="3D8C03A1"/>
    <w:rsid w:val="3D9E3AA8"/>
    <w:rsid w:val="3DA950D6"/>
    <w:rsid w:val="3DBE02E4"/>
    <w:rsid w:val="3DBE2B76"/>
    <w:rsid w:val="3DC073D5"/>
    <w:rsid w:val="3DC45CFD"/>
    <w:rsid w:val="3DE26836"/>
    <w:rsid w:val="3DFC697F"/>
    <w:rsid w:val="3DFF200F"/>
    <w:rsid w:val="3E004812"/>
    <w:rsid w:val="3E01213C"/>
    <w:rsid w:val="3E4F4131"/>
    <w:rsid w:val="3E6D5D5A"/>
    <w:rsid w:val="3E950E30"/>
    <w:rsid w:val="3E9951FF"/>
    <w:rsid w:val="3EA544B0"/>
    <w:rsid w:val="3EAA1D5D"/>
    <w:rsid w:val="3EAE5A4E"/>
    <w:rsid w:val="3ECB55B2"/>
    <w:rsid w:val="3EF912D6"/>
    <w:rsid w:val="3F0833B0"/>
    <w:rsid w:val="3F1B4549"/>
    <w:rsid w:val="3F274A5A"/>
    <w:rsid w:val="3F2D452B"/>
    <w:rsid w:val="3F453B96"/>
    <w:rsid w:val="3F4A5BF9"/>
    <w:rsid w:val="3F6E5909"/>
    <w:rsid w:val="3F9478A2"/>
    <w:rsid w:val="3FA00FC2"/>
    <w:rsid w:val="3FA65787"/>
    <w:rsid w:val="3FC419CD"/>
    <w:rsid w:val="3FCE45FA"/>
    <w:rsid w:val="3FD652BE"/>
    <w:rsid w:val="3FF52017"/>
    <w:rsid w:val="3FFB594A"/>
    <w:rsid w:val="40023B72"/>
    <w:rsid w:val="40110420"/>
    <w:rsid w:val="402B1A4C"/>
    <w:rsid w:val="40350616"/>
    <w:rsid w:val="403509FF"/>
    <w:rsid w:val="403F065B"/>
    <w:rsid w:val="4042033B"/>
    <w:rsid w:val="404B0D3D"/>
    <w:rsid w:val="40793774"/>
    <w:rsid w:val="408B0EAA"/>
    <w:rsid w:val="40915C04"/>
    <w:rsid w:val="40920193"/>
    <w:rsid w:val="40A62E81"/>
    <w:rsid w:val="40B1012B"/>
    <w:rsid w:val="40B25CC9"/>
    <w:rsid w:val="40B33795"/>
    <w:rsid w:val="40C003E6"/>
    <w:rsid w:val="40ED2F94"/>
    <w:rsid w:val="40EE27D7"/>
    <w:rsid w:val="410C1159"/>
    <w:rsid w:val="412D1899"/>
    <w:rsid w:val="4132718C"/>
    <w:rsid w:val="4132783E"/>
    <w:rsid w:val="4147227C"/>
    <w:rsid w:val="415349DB"/>
    <w:rsid w:val="416517CD"/>
    <w:rsid w:val="41CC7C0D"/>
    <w:rsid w:val="41D40C2D"/>
    <w:rsid w:val="41D47424"/>
    <w:rsid w:val="41D61543"/>
    <w:rsid w:val="41EC2C76"/>
    <w:rsid w:val="420824E6"/>
    <w:rsid w:val="4215701E"/>
    <w:rsid w:val="421F2EEA"/>
    <w:rsid w:val="422B7504"/>
    <w:rsid w:val="422E1201"/>
    <w:rsid w:val="423A2505"/>
    <w:rsid w:val="42476EA5"/>
    <w:rsid w:val="424D450A"/>
    <w:rsid w:val="42517F39"/>
    <w:rsid w:val="425763AA"/>
    <w:rsid w:val="4263645E"/>
    <w:rsid w:val="427F2824"/>
    <w:rsid w:val="428C2CC2"/>
    <w:rsid w:val="429A4C67"/>
    <w:rsid w:val="42B81DAD"/>
    <w:rsid w:val="42D662E6"/>
    <w:rsid w:val="42D7177A"/>
    <w:rsid w:val="42F81DEE"/>
    <w:rsid w:val="43097E84"/>
    <w:rsid w:val="431A1904"/>
    <w:rsid w:val="432033EC"/>
    <w:rsid w:val="432D60EC"/>
    <w:rsid w:val="43355E13"/>
    <w:rsid w:val="433E6585"/>
    <w:rsid w:val="435C3CCA"/>
    <w:rsid w:val="43855ED4"/>
    <w:rsid w:val="43921836"/>
    <w:rsid w:val="43930B6D"/>
    <w:rsid w:val="439416B6"/>
    <w:rsid w:val="43AC11CE"/>
    <w:rsid w:val="43BF2BD7"/>
    <w:rsid w:val="43C37C20"/>
    <w:rsid w:val="43CD619D"/>
    <w:rsid w:val="43D116E2"/>
    <w:rsid w:val="43D1696B"/>
    <w:rsid w:val="43E87959"/>
    <w:rsid w:val="43E95D97"/>
    <w:rsid w:val="43F217F6"/>
    <w:rsid w:val="44294910"/>
    <w:rsid w:val="442D7D9E"/>
    <w:rsid w:val="4436762C"/>
    <w:rsid w:val="444F3467"/>
    <w:rsid w:val="444F55DD"/>
    <w:rsid w:val="444F7F7C"/>
    <w:rsid w:val="445C6678"/>
    <w:rsid w:val="44733383"/>
    <w:rsid w:val="447936C6"/>
    <w:rsid w:val="449F3619"/>
    <w:rsid w:val="44A771C7"/>
    <w:rsid w:val="44B801D3"/>
    <w:rsid w:val="44D64A20"/>
    <w:rsid w:val="44DE2740"/>
    <w:rsid w:val="44E7409E"/>
    <w:rsid w:val="44E93A5D"/>
    <w:rsid w:val="44F00F98"/>
    <w:rsid w:val="44FD0540"/>
    <w:rsid w:val="45266F9C"/>
    <w:rsid w:val="452E1CEA"/>
    <w:rsid w:val="45491143"/>
    <w:rsid w:val="45571E1F"/>
    <w:rsid w:val="458C51C1"/>
    <w:rsid w:val="4591247E"/>
    <w:rsid w:val="45983E90"/>
    <w:rsid w:val="45B63752"/>
    <w:rsid w:val="45C43326"/>
    <w:rsid w:val="45CB50BD"/>
    <w:rsid w:val="45E12812"/>
    <w:rsid w:val="45F434FE"/>
    <w:rsid w:val="46012F06"/>
    <w:rsid w:val="460A532F"/>
    <w:rsid w:val="460C21BF"/>
    <w:rsid w:val="460E4EEF"/>
    <w:rsid w:val="46275941"/>
    <w:rsid w:val="46342CDD"/>
    <w:rsid w:val="463843BF"/>
    <w:rsid w:val="4658115A"/>
    <w:rsid w:val="46727F29"/>
    <w:rsid w:val="469C1E2A"/>
    <w:rsid w:val="46C210EA"/>
    <w:rsid w:val="46E44703"/>
    <w:rsid w:val="471E2EF5"/>
    <w:rsid w:val="4720068A"/>
    <w:rsid w:val="472B44EB"/>
    <w:rsid w:val="472C5B74"/>
    <w:rsid w:val="473B569A"/>
    <w:rsid w:val="474C4639"/>
    <w:rsid w:val="47965B23"/>
    <w:rsid w:val="47997CE8"/>
    <w:rsid w:val="479A6D9B"/>
    <w:rsid w:val="47A31BF7"/>
    <w:rsid w:val="47AD46B5"/>
    <w:rsid w:val="47B4584B"/>
    <w:rsid w:val="47BD1989"/>
    <w:rsid w:val="47C26B38"/>
    <w:rsid w:val="47E34B6B"/>
    <w:rsid w:val="47E745AD"/>
    <w:rsid w:val="47EA598F"/>
    <w:rsid w:val="47F174A3"/>
    <w:rsid w:val="47F23536"/>
    <w:rsid w:val="47F77C7F"/>
    <w:rsid w:val="485338EE"/>
    <w:rsid w:val="4879231E"/>
    <w:rsid w:val="487A4EBD"/>
    <w:rsid w:val="487B59B4"/>
    <w:rsid w:val="48806ED1"/>
    <w:rsid w:val="48883D63"/>
    <w:rsid w:val="488E0D2C"/>
    <w:rsid w:val="48931F3C"/>
    <w:rsid w:val="48934632"/>
    <w:rsid w:val="48BC1AB5"/>
    <w:rsid w:val="48BF2D31"/>
    <w:rsid w:val="48C20A0E"/>
    <w:rsid w:val="48CD5897"/>
    <w:rsid w:val="48E61B03"/>
    <w:rsid w:val="48E66EA9"/>
    <w:rsid w:val="48E82F28"/>
    <w:rsid w:val="48E927DD"/>
    <w:rsid w:val="48EF27E2"/>
    <w:rsid w:val="491B0EAE"/>
    <w:rsid w:val="49456AD7"/>
    <w:rsid w:val="49476E0B"/>
    <w:rsid w:val="4977360C"/>
    <w:rsid w:val="497736A1"/>
    <w:rsid w:val="49860355"/>
    <w:rsid w:val="49862A39"/>
    <w:rsid w:val="49962E28"/>
    <w:rsid w:val="49A7010E"/>
    <w:rsid w:val="49C90702"/>
    <w:rsid w:val="49D86FD4"/>
    <w:rsid w:val="49DA3B9B"/>
    <w:rsid w:val="49E15307"/>
    <w:rsid w:val="4A034DB5"/>
    <w:rsid w:val="4A103E5C"/>
    <w:rsid w:val="4A1D7F31"/>
    <w:rsid w:val="4A3D2A20"/>
    <w:rsid w:val="4A4A6F73"/>
    <w:rsid w:val="4A4C1B2C"/>
    <w:rsid w:val="4A5E31D8"/>
    <w:rsid w:val="4A5F0776"/>
    <w:rsid w:val="4A652F39"/>
    <w:rsid w:val="4A680CBF"/>
    <w:rsid w:val="4A6F1FB3"/>
    <w:rsid w:val="4A702BCE"/>
    <w:rsid w:val="4AB250E2"/>
    <w:rsid w:val="4ACF7724"/>
    <w:rsid w:val="4ADC6563"/>
    <w:rsid w:val="4AEA0F46"/>
    <w:rsid w:val="4AEC1DD8"/>
    <w:rsid w:val="4AED52AE"/>
    <w:rsid w:val="4AF25728"/>
    <w:rsid w:val="4B3F61E3"/>
    <w:rsid w:val="4B44603E"/>
    <w:rsid w:val="4B466F5E"/>
    <w:rsid w:val="4B6202EA"/>
    <w:rsid w:val="4B7400C3"/>
    <w:rsid w:val="4B8449D3"/>
    <w:rsid w:val="4B922ABF"/>
    <w:rsid w:val="4B924671"/>
    <w:rsid w:val="4B9B3EE9"/>
    <w:rsid w:val="4BAE4139"/>
    <w:rsid w:val="4BB66175"/>
    <w:rsid w:val="4BB753E4"/>
    <w:rsid w:val="4BBE2D6D"/>
    <w:rsid w:val="4BC3375F"/>
    <w:rsid w:val="4BF8578E"/>
    <w:rsid w:val="4C0379FF"/>
    <w:rsid w:val="4C216F87"/>
    <w:rsid w:val="4C371778"/>
    <w:rsid w:val="4C3833CF"/>
    <w:rsid w:val="4C554FD9"/>
    <w:rsid w:val="4C5E0AB3"/>
    <w:rsid w:val="4C614CE6"/>
    <w:rsid w:val="4C660555"/>
    <w:rsid w:val="4C707694"/>
    <w:rsid w:val="4C883F4D"/>
    <w:rsid w:val="4C9D4382"/>
    <w:rsid w:val="4CAD45B8"/>
    <w:rsid w:val="4CAF6AC5"/>
    <w:rsid w:val="4CCE07B0"/>
    <w:rsid w:val="4CD65E36"/>
    <w:rsid w:val="4CE74ABA"/>
    <w:rsid w:val="4CEF25D7"/>
    <w:rsid w:val="4CEF30EC"/>
    <w:rsid w:val="4CF70A47"/>
    <w:rsid w:val="4D00600E"/>
    <w:rsid w:val="4D195B29"/>
    <w:rsid w:val="4D1969AA"/>
    <w:rsid w:val="4D2F0AFA"/>
    <w:rsid w:val="4D32236F"/>
    <w:rsid w:val="4D615C2A"/>
    <w:rsid w:val="4D8245AB"/>
    <w:rsid w:val="4DAE7818"/>
    <w:rsid w:val="4DB33A89"/>
    <w:rsid w:val="4DB34B39"/>
    <w:rsid w:val="4DB919D1"/>
    <w:rsid w:val="4DBF1198"/>
    <w:rsid w:val="4DCE117D"/>
    <w:rsid w:val="4DCE2A71"/>
    <w:rsid w:val="4DD23DCF"/>
    <w:rsid w:val="4DF407EA"/>
    <w:rsid w:val="4E093A0C"/>
    <w:rsid w:val="4E1630AB"/>
    <w:rsid w:val="4E1A34EA"/>
    <w:rsid w:val="4E35690A"/>
    <w:rsid w:val="4E370498"/>
    <w:rsid w:val="4E3C3BD6"/>
    <w:rsid w:val="4E3F401D"/>
    <w:rsid w:val="4E522FF6"/>
    <w:rsid w:val="4E616F60"/>
    <w:rsid w:val="4E662707"/>
    <w:rsid w:val="4E674EAC"/>
    <w:rsid w:val="4E8C64A0"/>
    <w:rsid w:val="4E9133C2"/>
    <w:rsid w:val="4EA604F0"/>
    <w:rsid w:val="4EA7764F"/>
    <w:rsid w:val="4EBE213C"/>
    <w:rsid w:val="4EC91F70"/>
    <w:rsid w:val="4ED2260F"/>
    <w:rsid w:val="4EDA65C3"/>
    <w:rsid w:val="4EE40363"/>
    <w:rsid w:val="4F073A38"/>
    <w:rsid w:val="4F0F7EA8"/>
    <w:rsid w:val="4F12064C"/>
    <w:rsid w:val="4F580F17"/>
    <w:rsid w:val="4F5F526E"/>
    <w:rsid w:val="4F622668"/>
    <w:rsid w:val="4F6D1220"/>
    <w:rsid w:val="4F762DAE"/>
    <w:rsid w:val="4F7D73E1"/>
    <w:rsid w:val="4F834CCA"/>
    <w:rsid w:val="4F8E3CC0"/>
    <w:rsid w:val="4F9D7B44"/>
    <w:rsid w:val="4FA24D1F"/>
    <w:rsid w:val="4FD81297"/>
    <w:rsid w:val="50241658"/>
    <w:rsid w:val="50275EA4"/>
    <w:rsid w:val="50315467"/>
    <w:rsid w:val="50425A9C"/>
    <w:rsid w:val="50450ACE"/>
    <w:rsid w:val="504A1A7A"/>
    <w:rsid w:val="50574197"/>
    <w:rsid w:val="507A1C34"/>
    <w:rsid w:val="50853BC0"/>
    <w:rsid w:val="508D6958"/>
    <w:rsid w:val="509C0195"/>
    <w:rsid w:val="509C7B80"/>
    <w:rsid w:val="509E0420"/>
    <w:rsid w:val="509E3E6C"/>
    <w:rsid w:val="50B574C2"/>
    <w:rsid w:val="50BD1E30"/>
    <w:rsid w:val="50C40AE1"/>
    <w:rsid w:val="50CA577A"/>
    <w:rsid w:val="50DF7FEA"/>
    <w:rsid w:val="50EC0822"/>
    <w:rsid w:val="51002139"/>
    <w:rsid w:val="511B7DBA"/>
    <w:rsid w:val="51355F76"/>
    <w:rsid w:val="51455820"/>
    <w:rsid w:val="51552BCE"/>
    <w:rsid w:val="51596929"/>
    <w:rsid w:val="5161689D"/>
    <w:rsid w:val="51654692"/>
    <w:rsid w:val="51701D94"/>
    <w:rsid w:val="517E588A"/>
    <w:rsid w:val="518862FE"/>
    <w:rsid w:val="518A160F"/>
    <w:rsid w:val="518D741E"/>
    <w:rsid w:val="519915B9"/>
    <w:rsid w:val="51AA2365"/>
    <w:rsid w:val="51AC2F54"/>
    <w:rsid w:val="51D365F6"/>
    <w:rsid w:val="52080969"/>
    <w:rsid w:val="520A017F"/>
    <w:rsid w:val="522E0F28"/>
    <w:rsid w:val="524C4020"/>
    <w:rsid w:val="525C15DD"/>
    <w:rsid w:val="5274232A"/>
    <w:rsid w:val="52963AF0"/>
    <w:rsid w:val="52A743DC"/>
    <w:rsid w:val="52B31BD0"/>
    <w:rsid w:val="52E06999"/>
    <w:rsid w:val="52E256D7"/>
    <w:rsid w:val="53024E4B"/>
    <w:rsid w:val="5324237E"/>
    <w:rsid w:val="532F2187"/>
    <w:rsid w:val="53392BF4"/>
    <w:rsid w:val="533B56AA"/>
    <w:rsid w:val="53554DDC"/>
    <w:rsid w:val="53557F13"/>
    <w:rsid w:val="536015B5"/>
    <w:rsid w:val="5362004C"/>
    <w:rsid w:val="53636141"/>
    <w:rsid w:val="5374531A"/>
    <w:rsid w:val="53755FB2"/>
    <w:rsid w:val="53922499"/>
    <w:rsid w:val="539D30C9"/>
    <w:rsid w:val="53AA3A7D"/>
    <w:rsid w:val="53AE4380"/>
    <w:rsid w:val="53B03121"/>
    <w:rsid w:val="53BB10C7"/>
    <w:rsid w:val="53CC7217"/>
    <w:rsid w:val="53D626C5"/>
    <w:rsid w:val="54242E4C"/>
    <w:rsid w:val="54412B36"/>
    <w:rsid w:val="54C072D9"/>
    <w:rsid w:val="54C71925"/>
    <w:rsid w:val="54CE4645"/>
    <w:rsid w:val="54D02CF7"/>
    <w:rsid w:val="54D6027E"/>
    <w:rsid w:val="54D85429"/>
    <w:rsid w:val="54E03E26"/>
    <w:rsid w:val="54EC0ECB"/>
    <w:rsid w:val="54EC7476"/>
    <w:rsid w:val="54FA756C"/>
    <w:rsid w:val="551E5311"/>
    <w:rsid w:val="552677E5"/>
    <w:rsid w:val="5527468C"/>
    <w:rsid w:val="55370C70"/>
    <w:rsid w:val="554C1057"/>
    <w:rsid w:val="55592760"/>
    <w:rsid w:val="55712419"/>
    <w:rsid w:val="55911EF9"/>
    <w:rsid w:val="55B2671B"/>
    <w:rsid w:val="55B300C2"/>
    <w:rsid w:val="55C93441"/>
    <w:rsid w:val="55D843B5"/>
    <w:rsid w:val="55E2722D"/>
    <w:rsid w:val="55FA3E5A"/>
    <w:rsid w:val="55FA55A0"/>
    <w:rsid w:val="56072E57"/>
    <w:rsid w:val="5607517C"/>
    <w:rsid w:val="560806A1"/>
    <w:rsid w:val="561A3557"/>
    <w:rsid w:val="56336B0D"/>
    <w:rsid w:val="56377B71"/>
    <w:rsid w:val="5643282E"/>
    <w:rsid w:val="56663489"/>
    <w:rsid w:val="566A2EDB"/>
    <w:rsid w:val="566E36A3"/>
    <w:rsid w:val="568850AA"/>
    <w:rsid w:val="569136F0"/>
    <w:rsid w:val="56972CD2"/>
    <w:rsid w:val="56977F23"/>
    <w:rsid w:val="56AC41A1"/>
    <w:rsid w:val="56B54777"/>
    <w:rsid w:val="56BC11C7"/>
    <w:rsid w:val="56BD7928"/>
    <w:rsid w:val="56C865C5"/>
    <w:rsid w:val="56EB5644"/>
    <w:rsid w:val="56F139D4"/>
    <w:rsid w:val="57077C7E"/>
    <w:rsid w:val="570B75B9"/>
    <w:rsid w:val="5712014B"/>
    <w:rsid w:val="571C6413"/>
    <w:rsid w:val="574E62A5"/>
    <w:rsid w:val="575325F1"/>
    <w:rsid w:val="57574A7D"/>
    <w:rsid w:val="576B18B4"/>
    <w:rsid w:val="57710DCC"/>
    <w:rsid w:val="5778488D"/>
    <w:rsid w:val="578B1A54"/>
    <w:rsid w:val="57BA796B"/>
    <w:rsid w:val="57C90407"/>
    <w:rsid w:val="57F02253"/>
    <w:rsid w:val="58030761"/>
    <w:rsid w:val="5805272B"/>
    <w:rsid w:val="58086375"/>
    <w:rsid w:val="58276B45"/>
    <w:rsid w:val="58380DE8"/>
    <w:rsid w:val="583E4016"/>
    <w:rsid w:val="583F6B6B"/>
    <w:rsid w:val="58460109"/>
    <w:rsid w:val="585E49ED"/>
    <w:rsid w:val="58627B7D"/>
    <w:rsid w:val="586654A5"/>
    <w:rsid w:val="58823F70"/>
    <w:rsid w:val="589A7EB4"/>
    <w:rsid w:val="589B264B"/>
    <w:rsid w:val="589D5702"/>
    <w:rsid w:val="58BF28DA"/>
    <w:rsid w:val="58DB2CCD"/>
    <w:rsid w:val="58FC1D80"/>
    <w:rsid w:val="59084D7B"/>
    <w:rsid w:val="59140C43"/>
    <w:rsid w:val="591E5852"/>
    <w:rsid w:val="59215992"/>
    <w:rsid w:val="59275F39"/>
    <w:rsid w:val="59276577"/>
    <w:rsid w:val="5934151A"/>
    <w:rsid w:val="5934441F"/>
    <w:rsid w:val="59502435"/>
    <w:rsid w:val="596278A9"/>
    <w:rsid w:val="59774199"/>
    <w:rsid w:val="597933D0"/>
    <w:rsid w:val="597F3BE9"/>
    <w:rsid w:val="598453B0"/>
    <w:rsid w:val="59943DEF"/>
    <w:rsid w:val="59A32BCE"/>
    <w:rsid w:val="59F62804"/>
    <w:rsid w:val="5A003654"/>
    <w:rsid w:val="5A073C2D"/>
    <w:rsid w:val="5A0E2A35"/>
    <w:rsid w:val="5A327EDE"/>
    <w:rsid w:val="5A3B170E"/>
    <w:rsid w:val="5A3B6E4F"/>
    <w:rsid w:val="5A40309E"/>
    <w:rsid w:val="5A43058D"/>
    <w:rsid w:val="5A503A0A"/>
    <w:rsid w:val="5A5326CA"/>
    <w:rsid w:val="5A633DBE"/>
    <w:rsid w:val="5A6C6A91"/>
    <w:rsid w:val="5A79263F"/>
    <w:rsid w:val="5A7D4090"/>
    <w:rsid w:val="5A812CB4"/>
    <w:rsid w:val="5A89290E"/>
    <w:rsid w:val="5A9B29A5"/>
    <w:rsid w:val="5AA87A30"/>
    <w:rsid w:val="5ABE3F58"/>
    <w:rsid w:val="5AC10B8B"/>
    <w:rsid w:val="5AE7179C"/>
    <w:rsid w:val="5AEC4C82"/>
    <w:rsid w:val="5B1F2109"/>
    <w:rsid w:val="5B202A8B"/>
    <w:rsid w:val="5B304C44"/>
    <w:rsid w:val="5B386A15"/>
    <w:rsid w:val="5B4822BF"/>
    <w:rsid w:val="5B5639C9"/>
    <w:rsid w:val="5B5B4112"/>
    <w:rsid w:val="5B5E0465"/>
    <w:rsid w:val="5B807BCC"/>
    <w:rsid w:val="5B8F54FF"/>
    <w:rsid w:val="5BBF67A3"/>
    <w:rsid w:val="5BCE20ED"/>
    <w:rsid w:val="5BD15B30"/>
    <w:rsid w:val="5BD40551"/>
    <w:rsid w:val="5BDD673D"/>
    <w:rsid w:val="5BEF34D6"/>
    <w:rsid w:val="5C1677DC"/>
    <w:rsid w:val="5C2B2110"/>
    <w:rsid w:val="5C2E5777"/>
    <w:rsid w:val="5C337866"/>
    <w:rsid w:val="5C3F08AF"/>
    <w:rsid w:val="5C4012AE"/>
    <w:rsid w:val="5C4F3C12"/>
    <w:rsid w:val="5C606182"/>
    <w:rsid w:val="5C7C5057"/>
    <w:rsid w:val="5C902173"/>
    <w:rsid w:val="5C986B36"/>
    <w:rsid w:val="5CA72209"/>
    <w:rsid w:val="5CA74618"/>
    <w:rsid w:val="5CAB6E01"/>
    <w:rsid w:val="5CD26161"/>
    <w:rsid w:val="5CDB1863"/>
    <w:rsid w:val="5CE324C6"/>
    <w:rsid w:val="5CF003E8"/>
    <w:rsid w:val="5CFC3588"/>
    <w:rsid w:val="5D0D54ED"/>
    <w:rsid w:val="5D153410"/>
    <w:rsid w:val="5D2F708B"/>
    <w:rsid w:val="5D5F0EED"/>
    <w:rsid w:val="5D664EEC"/>
    <w:rsid w:val="5D6D760A"/>
    <w:rsid w:val="5D72060F"/>
    <w:rsid w:val="5D7B1BEE"/>
    <w:rsid w:val="5D8052CB"/>
    <w:rsid w:val="5D9968BA"/>
    <w:rsid w:val="5D9978C0"/>
    <w:rsid w:val="5D9B1982"/>
    <w:rsid w:val="5DAD3C32"/>
    <w:rsid w:val="5DCB15BC"/>
    <w:rsid w:val="5DCF6A12"/>
    <w:rsid w:val="5DE66B5A"/>
    <w:rsid w:val="5DF30816"/>
    <w:rsid w:val="5DFA616A"/>
    <w:rsid w:val="5E135BA1"/>
    <w:rsid w:val="5E1C0CED"/>
    <w:rsid w:val="5E281B6A"/>
    <w:rsid w:val="5E2B3B0A"/>
    <w:rsid w:val="5E3112F0"/>
    <w:rsid w:val="5E3562A3"/>
    <w:rsid w:val="5E47154D"/>
    <w:rsid w:val="5E4E70CF"/>
    <w:rsid w:val="5E67277D"/>
    <w:rsid w:val="5E6B2608"/>
    <w:rsid w:val="5E7D354A"/>
    <w:rsid w:val="5EA26F25"/>
    <w:rsid w:val="5EA35ED1"/>
    <w:rsid w:val="5EBB4C1B"/>
    <w:rsid w:val="5ED23DAF"/>
    <w:rsid w:val="5EE27972"/>
    <w:rsid w:val="5F1A7DC5"/>
    <w:rsid w:val="5F1B7032"/>
    <w:rsid w:val="5F2C4F60"/>
    <w:rsid w:val="5F322C4B"/>
    <w:rsid w:val="5F372F42"/>
    <w:rsid w:val="5F3E6C8F"/>
    <w:rsid w:val="5F4D6E91"/>
    <w:rsid w:val="5F5D16DC"/>
    <w:rsid w:val="5F7D3BFB"/>
    <w:rsid w:val="5F892F8C"/>
    <w:rsid w:val="5F8B025D"/>
    <w:rsid w:val="5F967E82"/>
    <w:rsid w:val="5FA6034F"/>
    <w:rsid w:val="5FAE3DAD"/>
    <w:rsid w:val="5FBA3DFB"/>
    <w:rsid w:val="5FBC5DC5"/>
    <w:rsid w:val="5FCD1D80"/>
    <w:rsid w:val="5FCF332A"/>
    <w:rsid w:val="5FD674EE"/>
    <w:rsid w:val="5FDB6EB4"/>
    <w:rsid w:val="60056215"/>
    <w:rsid w:val="60076054"/>
    <w:rsid w:val="602F2DDE"/>
    <w:rsid w:val="60326B38"/>
    <w:rsid w:val="60343266"/>
    <w:rsid w:val="603E07AE"/>
    <w:rsid w:val="60411C3C"/>
    <w:rsid w:val="604A517F"/>
    <w:rsid w:val="607B2EC6"/>
    <w:rsid w:val="60846DD9"/>
    <w:rsid w:val="609664CC"/>
    <w:rsid w:val="60A04DE3"/>
    <w:rsid w:val="60A0542A"/>
    <w:rsid w:val="60AA0EEE"/>
    <w:rsid w:val="60AE2754"/>
    <w:rsid w:val="61115782"/>
    <w:rsid w:val="612B5C05"/>
    <w:rsid w:val="612C4C30"/>
    <w:rsid w:val="61405913"/>
    <w:rsid w:val="61447564"/>
    <w:rsid w:val="614E3A55"/>
    <w:rsid w:val="615846F3"/>
    <w:rsid w:val="61630CBA"/>
    <w:rsid w:val="61651168"/>
    <w:rsid w:val="616D549F"/>
    <w:rsid w:val="61736957"/>
    <w:rsid w:val="61861FE1"/>
    <w:rsid w:val="61B21FFF"/>
    <w:rsid w:val="61CB1384"/>
    <w:rsid w:val="61CF79AD"/>
    <w:rsid w:val="61D26363"/>
    <w:rsid w:val="61DF3FED"/>
    <w:rsid w:val="61EF60BC"/>
    <w:rsid w:val="61FF6A92"/>
    <w:rsid w:val="62066FF7"/>
    <w:rsid w:val="620B0139"/>
    <w:rsid w:val="621409EA"/>
    <w:rsid w:val="62161CE9"/>
    <w:rsid w:val="622759C3"/>
    <w:rsid w:val="622F0293"/>
    <w:rsid w:val="62330973"/>
    <w:rsid w:val="62361E5F"/>
    <w:rsid w:val="624D364A"/>
    <w:rsid w:val="624E2844"/>
    <w:rsid w:val="62742987"/>
    <w:rsid w:val="62A41AD0"/>
    <w:rsid w:val="62B8194C"/>
    <w:rsid w:val="62BB06BF"/>
    <w:rsid w:val="62CA1957"/>
    <w:rsid w:val="62CF1156"/>
    <w:rsid w:val="62D92AA1"/>
    <w:rsid w:val="62F43847"/>
    <w:rsid w:val="62FC72F7"/>
    <w:rsid w:val="631211E0"/>
    <w:rsid w:val="6349504B"/>
    <w:rsid w:val="6365014C"/>
    <w:rsid w:val="63AF6F71"/>
    <w:rsid w:val="63B36077"/>
    <w:rsid w:val="63B75221"/>
    <w:rsid w:val="63BB29D3"/>
    <w:rsid w:val="63BD5816"/>
    <w:rsid w:val="63D571B4"/>
    <w:rsid w:val="63E05ED1"/>
    <w:rsid w:val="63E95D63"/>
    <w:rsid w:val="63F343CC"/>
    <w:rsid w:val="63FD5676"/>
    <w:rsid w:val="641B3888"/>
    <w:rsid w:val="641C30AA"/>
    <w:rsid w:val="64287ECD"/>
    <w:rsid w:val="642D0B48"/>
    <w:rsid w:val="644D1164"/>
    <w:rsid w:val="6458699C"/>
    <w:rsid w:val="64767596"/>
    <w:rsid w:val="648B021E"/>
    <w:rsid w:val="6497397F"/>
    <w:rsid w:val="649F5113"/>
    <w:rsid w:val="64C20460"/>
    <w:rsid w:val="64C60830"/>
    <w:rsid w:val="64EE33C8"/>
    <w:rsid w:val="65160E35"/>
    <w:rsid w:val="653430D2"/>
    <w:rsid w:val="65540D6E"/>
    <w:rsid w:val="655B5A46"/>
    <w:rsid w:val="657879EC"/>
    <w:rsid w:val="657E582E"/>
    <w:rsid w:val="658B28E5"/>
    <w:rsid w:val="65BB6A14"/>
    <w:rsid w:val="65CA0986"/>
    <w:rsid w:val="65CA6C66"/>
    <w:rsid w:val="65CB53F5"/>
    <w:rsid w:val="65D07989"/>
    <w:rsid w:val="65E4187B"/>
    <w:rsid w:val="65F04260"/>
    <w:rsid w:val="65F44604"/>
    <w:rsid w:val="660D7A12"/>
    <w:rsid w:val="66174D07"/>
    <w:rsid w:val="662C56CD"/>
    <w:rsid w:val="662C665F"/>
    <w:rsid w:val="6635067F"/>
    <w:rsid w:val="665C5C0C"/>
    <w:rsid w:val="66630029"/>
    <w:rsid w:val="66650F64"/>
    <w:rsid w:val="666A3A29"/>
    <w:rsid w:val="666D0113"/>
    <w:rsid w:val="666F26A8"/>
    <w:rsid w:val="66761E92"/>
    <w:rsid w:val="667C4D3E"/>
    <w:rsid w:val="66844662"/>
    <w:rsid w:val="66990C0E"/>
    <w:rsid w:val="669C06FE"/>
    <w:rsid w:val="66A442DE"/>
    <w:rsid w:val="66AD2BEB"/>
    <w:rsid w:val="66B4274E"/>
    <w:rsid w:val="66C420D0"/>
    <w:rsid w:val="66D7087D"/>
    <w:rsid w:val="66D734E4"/>
    <w:rsid w:val="66DE2AC5"/>
    <w:rsid w:val="6712396C"/>
    <w:rsid w:val="671309C0"/>
    <w:rsid w:val="67296117"/>
    <w:rsid w:val="672C3830"/>
    <w:rsid w:val="672C6D40"/>
    <w:rsid w:val="67363F04"/>
    <w:rsid w:val="673E13FC"/>
    <w:rsid w:val="67414BB2"/>
    <w:rsid w:val="674A13A9"/>
    <w:rsid w:val="675B6178"/>
    <w:rsid w:val="6764234E"/>
    <w:rsid w:val="67650EC1"/>
    <w:rsid w:val="67671B97"/>
    <w:rsid w:val="6787315C"/>
    <w:rsid w:val="679512FB"/>
    <w:rsid w:val="6795643B"/>
    <w:rsid w:val="67AC65BB"/>
    <w:rsid w:val="67C34016"/>
    <w:rsid w:val="67D076BA"/>
    <w:rsid w:val="67D85766"/>
    <w:rsid w:val="67E52B2B"/>
    <w:rsid w:val="67EA3FC6"/>
    <w:rsid w:val="67EE0060"/>
    <w:rsid w:val="680C4F78"/>
    <w:rsid w:val="680C7752"/>
    <w:rsid w:val="68227A6A"/>
    <w:rsid w:val="68362D49"/>
    <w:rsid w:val="683F48C2"/>
    <w:rsid w:val="684211A2"/>
    <w:rsid w:val="68476448"/>
    <w:rsid w:val="68650227"/>
    <w:rsid w:val="6870387E"/>
    <w:rsid w:val="68731264"/>
    <w:rsid w:val="68766EB0"/>
    <w:rsid w:val="6877144C"/>
    <w:rsid w:val="687C2595"/>
    <w:rsid w:val="68827B95"/>
    <w:rsid w:val="68940BD2"/>
    <w:rsid w:val="68946BE1"/>
    <w:rsid w:val="68981750"/>
    <w:rsid w:val="68A7558A"/>
    <w:rsid w:val="68B42494"/>
    <w:rsid w:val="68BB4B97"/>
    <w:rsid w:val="68BE2BAE"/>
    <w:rsid w:val="68D66B8B"/>
    <w:rsid w:val="68DE19B2"/>
    <w:rsid w:val="68E454D6"/>
    <w:rsid w:val="68EC7332"/>
    <w:rsid w:val="690709D4"/>
    <w:rsid w:val="69122F9E"/>
    <w:rsid w:val="691F258E"/>
    <w:rsid w:val="694C17B1"/>
    <w:rsid w:val="695B41A2"/>
    <w:rsid w:val="69636F54"/>
    <w:rsid w:val="696A199E"/>
    <w:rsid w:val="696C43B8"/>
    <w:rsid w:val="69833DCE"/>
    <w:rsid w:val="69842A0C"/>
    <w:rsid w:val="698C6256"/>
    <w:rsid w:val="698E5D83"/>
    <w:rsid w:val="6997553F"/>
    <w:rsid w:val="69A2090D"/>
    <w:rsid w:val="69C453A3"/>
    <w:rsid w:val="69CD55CA"/>
    <w:rsid w:val="69E46644"/>
    <w:rsid w:val="69E52C5D"/>
    <w:rsid w:val="69E81031"/>
    <w:rsid w:val="69E934A7"/>
    <w:rsid w:val="69EB2EF7"/>
    <w:rsid w:val="69F64C19"/>
    <w:rsid w:val="6A100FD1"/>
    <w:rsid w:val="6A1052CA"/>
    <w:rsid w:val="6A340C62"/>
    <w:rsid w:val="6A4E5C09"/>
    <w:rsid w:val="6A500795"/>
    <w:rsid w:val="6A572BFE"/>
    <w:rsid w:val="6A617562"/>
    <w:rsid w:val="6A646982"/>
    <w:rsid w:val="6AA34B6F"/>
    <w:rsid w:val="6ADB1961"/>
    <w:rsid w:val="6ADE4DE2"/>
    <w:rsid w:val="6AE10DD5"/>
    <w:rsid w:val="6AED23DA"/>
    <w:rsid w:val="6B0A7262"/>
    <w:rsid w:val="6B1E16E2"/>
    <w:rsid w:val="6B2337A9"/>
    <w:rsid w:val="6B26156E"/>
    <w:rsid w:val="6B2A3400"/>
    <w:rsid w:val="6B43739A"/>
    <w:rsid w:val="6B4412FF"/>
    <w:rsid w:val="6B465392"/>
    <w:rsid w:val="6B582CC7"/>
    <w:rsid w:val="6B6B1987"/>
    <w:rsid w:val="6B886807"/>
    <w:rsid w:val="6B95409A"/>
    <w:rsid w:val="6BC02799"/>
    <w:rsid w:val="6BC56AB0"/>
    <w:rsid w:val="6BC6536D"/>
    <w:rsid w:val="6BCF00CF"/>
    <w:rsid w:val="6BD24A28"/>
    <w:rsid w:val="6BF71A34"/>
    <w:rsid w:val="6C045417"/>
    <w:rsid w:val="6C0C72D6"/>
    <w:rsid w:val="6C164AAF"/>
    <w:rsid w:val="6C311338"/>
    <w:rsid w:val="6C3C4AEA"/>
    <w:rsid w:val="6C44037E"/>
    <w:rsid w:val="6C5A2435"/>
    <w:rsid w:val="6C6B3052"/>
    <w:rsid w:val="6C747A57"/>
    <w:rsid w:val="6C8B53CC"/>
    <w:rsid w:val="6CBA1035"/>
    <w:rsid w:val="6CE22475"/>
    <w:rsid w:val="6D270429"/>
    <w:rsid w:val="6D393FF4"/>
    <w:rsid w:val="6D3D7C50"/>
    <w:rsid w:val="6D663D60"/>
    <w:rsid w:val="6D887088"/>
    <w:rsid w:val="6D9B6949"/>
    <w:rsid w:val="6DAA7B2D"/>
    <w:rsid w:val="6DB91B96"/>
    <w:rsid w:val="6DCD1175"/>
    <w:rsid w:val="6E001D9C"/>
    <w:rsid w:val="6E1436C4"/>
    <w:rsid w:val="6E3429FD"/>
    <w:rsid w:val="6E3711A1"/>
    <w:rsid w:val="6E5378F4"/>
    <w:rsid w:val="6E7504B7"/>
    <w:rsid w:val="6E9A6FBC"/>
    <w:rsid w:val="6EA159CA"/>
    <w:rsid w:val="6EA62907"/>
    <w:rsid w:val="6ED200A7"/>
    <w:rsid w:val="6EE000D2"/>
    <w:rsid w:val="6F4A7B5B"/>
    <w:rsid w:val="6F554224"/>
    <w:rsid w:val="6F566B1F"/>
    <w:rsid w:val="6F843776"/>
    <w:rsid w:val="6F993A2D"/>
    <w:rsid w:val="6F9B2E08"/>
    <w:rsid w:val="6FAF3D8A"/>
    <w:rsid w:val="6FD75554"/>
    <w:rsid w:val="6FE144B1"/>
    <w:rsid w:val="6FEF2F3B"/>
    <w:rsid w:val="700B2B81"/>
    <w:rsid w:val="701E3074"/>
    <w:rsid w:val="7027728A"/>
    <w:rsid w:val="702D43DF"/>
    <w:rsid w:val="70323E09"/>
    <w:rsid w:val="703B4AE4"/>
    <w:rsid w:val="703C2866"/>
    <w:rsid w:val="7047792D"/>
    <w:rsid w:val="704B06DE"/>
    <w:rsid w:val="70531535"/>
    <w:rsid w:val="709B0D4C"/>
    <w:rsid w:val="70B2459B"/>
    <w:rsid w:val="70BA3C5B"/>
    <w:rsid w:val="70BC1250"/>
    <w:rsid w:val="70C539B5"/>
    <w:rsid w:val="70EB37F0"/>
    <w:rsid w:val="70F57389"/>
    <w:rsid w:val="71080E6A"/>
    <w:rsid w:val="71271AAB"/>
    <w:rsid w:val="712C3025"/>
    <w:rsid w:val="71352566"/>
    <w:rsid w:val="714360ED"/>
    <w:rsid w:val="71701AF7"/>
    <w:rsid w:val="71A10526"/>
    <w:rsid w:val="71A1258C"/>
    <w:rsid w:val="71C85B51"/>
    <w:rsid w:val="71D25943"/>
    <w:rsid w:val="71E01713"/>
    <w:rsid w:val="71F23705"/>
    <w:rsid w:val="71FC59B1"/>
    <w:rsid w:val="722A09BE"/>
    <w:rsid w:val="72522B3A"/>
    <w:rsid w:val="72575011"/>
    <w:rsid w:val="72595F97"/>
    <w:rsid w:val="725A3D7A"/>
    <w:rsid w:val="725B146D"/>
    <w:rsid w:val="7268018E"/>
    <w:rsid w:val="726A3F38"/>
    <w:rsid w:val="727B566C"/>
    <w:rsid w:val="727C04C4"/>
    <w:rsid w:val="727C1B47"/>
    <w:rsid w:val="728A0F61"/>
    <w:rsid w:val="72912D87"/>
    <w:rsid w:val="72A51683"/>
    <w:rsid w:val="72A9423B"/>
    <w:rsid w:val="72B91D27"/>
    <w:rsid w:val="72C94629"/>
    <w:rsid w:val="72CE3A8B"/>
    <w:rsid w:val="72D16261"/>
    <w:rsid w:val="72EE0533"/>
    <w:rsid w:val="732022CC"/>
    <w:rsid w:val="732301DD"/>
    <w:rsid w:val="73351CBE"/>
    <w:rsid w:val="73423FA1"/>
    <w:rsid w:val="734C03D2"/>
    <w:rsid w:val="734D7008"/>
    <w:rsid w:val="73557974"/>
    <w:rsid w:val="736349F1"/>
    <w:rsid w:val="736A7107"/>
    <w:rsid w:val="737970D6"/>
    <w:rsid w:val="73852865"/>
    <w:rsid w:val="7385575A"/>
    <w:rsid w:val="73A155A6"/>
    <w:rsid w:val="73BD54E1"/>
    <w:rsid w:val="73C179F6"/>
    <w:rsid w:val="73C44DF0"/>
    <w:rsid w:val="73CC268A"/>
    <w:rsid w:val="73DC4AD6"/>
    <w:rsid w:val="741E2752"/>
    <w:rsid w:val="741E4234"/>
    <w:rsid w:val="742064CB"/>
    <w:rsid w:val="74692887"/>
    <w:rsid w:val="747B1BB4"/>
    <w:rsid w:val="747F7399"/>
    <w:rsid w:val="74806A05"/>
    <w:rsid w:val="74A94C32"/>
    <w:rsid w:val="74BE527A"/>
    <w:rsid w:val="74BF089A"/>
    <w:rsid w:val="74CC0299"/>
    <w:rsid w:val="74D042AC"/>
    <w:rsid w:val="74D1741D"/>
    <w:rsid w:val="74D527EC"/>
    <w:rsid w:val="74EC7ACB"/>
    <w:rsid w:val="74FD0561"/>
    <w:rsid w:val="750F0BA9"/>
    <w:rsid w:val="751F31CA"/>
    <w:rsid w:val="753149EF"/>
    <w:rsid w:val="753366D1"/>
    <w:rsid w:val="75662297"/>
    <w:rsid w:val="75762A8D"/>
    <w:rsid w:val="757E1548"/>
    <w:rsid w:val="75BE5F9B"/>
    <w:rsid w:val="75D0302D"/>
    <w:rsid w:val="75E033DC"/>
    <w:rsid w:val="75E746FE"/>
    <w:rsid w:val="75F41147"/>
    <w:rsid w:val="75F419BD"/>
    <w:rsid w:val="75FE3377"/>
    <w:rsid w:val="76007DF5"/>
    <w:rsid w:val="7601232C"/>
    <w:rsid w:val="760638D8"/>
    <w:rsid w:val="76083C55"/>
    <w:rsid w:val="763F1F43"/>
    <w:rsid w:val="764010A6"/>
    <w:rsid w:val="766405E9"/>
    <w:rsid w:val="766B0549"/>
    <w:rsid w:val="7675236E"/>
    <w:rsid w:val="767C444B"/>
    <w:rsid w:val="76A271F5"/>
    <w:rsid w:val="76C60412"/>
    <w:rsid w:val="76CD3BE5"/>
    <w:rsid w:val="76D53774"/>
    <w:rsid w:val="76D56D66"/>
    <w:rsid w:val="76E95CE4"/>
    <w:rsid w:val="76FA28B7"/>
    <w:rsid w:val="7705592D"/>
    <w:rsid w:val="772B19D9"/>
    <w:rsid w:val="7739340A"/>
    <w:rsid w:val="77867784"/>
    <w:rsid w:val="778B7A86"/>
    <w:rsid w:val="77986D0D"/>
    <w:rsid w:val="779E6EDF"/>
    <w:rsid w:val="77A6291C"/>
    <w:rsid w:val="77B81D39"/>
    <w:rsid w:val="77BD75CC"/>
    <w:rsid w:val="77C05AEF"/>
    <w:rsid w:val="77C33D3D"/>
    <w:rsid w:val="77CE799B"/>
    <w:rsid w:val="77DC6C9D"/>
    <w:rsid w:val="77E3476E"/>
    <w:rsid w:val="77EF251A"/>
    <w:rsid w:val="78037615"/>
    <w:rsid w:val="7824084C"/>
    <w:rsid w:val="78296582"/>
    <w:rsid w:val="78297787"/>
    <w:rsid w:val="785C1527"/>
    <w:rsid w:val="785C1A9B"/>
    <w:rsid w:val="78A62210"/>
    <w:rsid w:val="78B64001"/>
    <w:rsid w:val="78D30F07"/>
    <w:rsid w:val="78D83B42"/>
    <w:rsid w:val="78E0410C"/>
    <w:rsid w:val="78EC1071"/>
    <w:rsid w:val="78F11C92"/>
    <w:rsid w:val="78F14BEC"/>
    <w:rsid w:val="78F739AF"/>
    <w:rsid w:val="79155EF1"/>
    <w:rsid w:val="792F4AF7"/>
    <w:rsid w:val="794E7A87"/>
    <w:rsid w:val="796664F0"/>
    <w:rsid w:val="796D1411"/>
    <w:rsid w:val="79706B76"/>
    <w:rsid w:val="7972222E"/>
    <w:rsid w:val="799738F1"/>
    <w:rsid w:val="79B14F3F"/>
    <w:rsid w:val="79BB54BC"/>
    <w:rsid w:val="79C54573"/>
    <w:rsid w:val="79C8563A"/>
    <w:rsid w:val="79E56FDA"/>
    <w:rsid w:val="79F00295"/>
    <w:rsid w:val="79F860C9"/>
    <w:rsid w:val="79FB17A6"/>
    <w:rsid w:val="7A0423EA"/>
    <w:rsid w:val="7A1917D1"/>
    <w:rsid w:val="7A1D4B6C"/>
    <w:rsid w:val="7A2E0B19"/>
    <w:rsid w:val="7A346FD7"/>
    <w:rsid w:val="7A3E1206"/>
    <w:rsid w:val="7A3E5FE6"/>
    <w:rsid w:val="7A527CB8"/>
    <w:rsid w:val="7A5A3FC3"/>
    <w:rsid w:val="7A653600"/>
    <w:rsid w:val="7A661D44"/>
    <w:rsid w:val="7A785A42"/>
    <w:rsid w:val="7A832B4B"/>
    <w:rsid w:val="7A862E00"/>
    <w:rsid w:val="7A9B4AFD"/>
    <w:rsid w:val="7AAD3920"/>
    <w:rsid w:val="7AAD65DE"/>
    <w:rsid w:val="7AAE0D04"/>
    <w:rsid w:val="7AB20482"/>
    <w:rsid w:val="7AB71921"/>
    <w:rsid w:val="7ABB3B05"/>
    <w:rsid w:val="7ADE5152"/>
    <w:rsid w:val="7AE97737"/>
    <w:rsid w:val="7AF07DB1"/>
    <w:rsid w:val="7B084812"/>
    <w:rsid w:val="7B0C439B"/>
    <w:rsid w:val="7B1A09FD"/>
    <w:rsid w:val="7B1D7C08"/>
    <w:rsid w:val="7B3947EA"/>
    <w:rsid w:val="7B405A7F"/>
    <w:rsid w:val="7B537186"/>
    <w:rsid w:val="7B556236"/>
    <w:rsid w:val="7B753375"/>
    <w:rsid w:val="7B7549A5"/>
    <w:rsid w:val="7B8363A0"/>
    <w:rsid w:val="7B886713"/>
    <w:rsid w:val="7B931AE3"/>
    <w:rsid w:val="7BA5013E"/>
    <w:rsid w:val="7BB07EC8"/>
    <w:rsid w:val="7BB340C8"/>
    <w:rsid w:val="7BC05952"/>
    <w:rsid w:val="7BE92F0E"/>
    <w:rsid w:val="7BF0104D"/>
    <w:rsid w:val="7BF0326C"/>
    <w:rsid w:val="7BF07599"/>
    <w:rsid w:val="7C0A6FFE"/>
    <w:rsid w:val="7C1D7E29"/>
    <w:rsid w:val="7C1E0DB5"/>
    <w:rsid w:val="7C407EFA"/>
    <w:rsid w:val="7C45486F"/>
    <w:rsid w:val="7C4B4D87"/>
    <w:rsid w:val="7C5B4942"/>
    <w:rsid w:val="7C627441"/>
    <w:rsid w:val="7C6B6665"/>
    <w:rsid w:val="7C7554E9"/>
    <w:rsid w:val="7C855A65"/>
    <w:rsid w:val="7C86021E"/>
    <w:rsid w:val="7C93703D"/>
    <w:rsid w:val="7CA82D8D"/>
    <w:rsid w:val="7CC320E9"/>
    <w:rsid w:val="7CD267D0"/>
    <w:rsid w:val="7D0B11BC"/>
    <w:rsid w:val="7D102D60"/>
    <w:rsid w:val="7D1B3B82"/>
    <w:rsid w:val="7D2863F0"/>
    <w:rsid w:val="7D2B7B74"/>
    <w:rsid w:val="7D2F0831"/>
    <w:rsid w:val="7D2F6569"/>
    <w:rsid w:val="7D310332"/>
    <w:rsid w:val="7D376633"/>
    <w:rsid w:val="7D48270C"/>
    <w:rsid w:val="7D497890"/>
    <w:rsid w:val="7D4F1FCE"/>
    <w:rsid w:val="7D5A2B09"/>
    <w:rsid w:val="7D77708A"/>
    <w:rsid w:val="7D9A72EE"/>
    <w:rsid w:val="7D9D4F0C"/>
    <w:rsid w:val="7D9F1E31"/>
    <w:rsid w:val="7DAA5057"/>
    <w:rsid w:val="7DB30EED"/>
    <w:rsid w:val="7DC75C09"/>
    <w:rsid w:val="7DCE6F97"/>
    <w:rsid w:val="7DD835C5"/>
    <w:rsid w:val="7DE06CCB"/>
    <w:rsid w:val="7DE1094F"/>
    <w:rsid w:val="7DEE1724"/>
    <w:rsid w:val="7E00037C"/>
    <w:rsid w:val="7E010CDF"/>
    <w:rsid w:val="7E0F05A0"/>
    <w:rsid w:val="7E1546EC"/>
    <w:rsid w:val="7E1A64E9"/>
    <w:rsid w:val="7E391001"/>
    <w:rsid w:val="7E394D59"/>
    <w:rsid w:val="7E451B70"/>
    <w:rsid w:val="7E4E3376"/>
    <w:rsid w:val="7E6741BD"/>
    <w:rsid w:val="7EB35EF5"/>
    <w:rsid w:val="7EB86141"/>
    <w:rsid w:val="7EC75C99"/>
    <w:rsid w:val="7ECB7E75"/>
    <w:rsid w:val="7ECD54A1"/>
    <w:rsid w:val="7EE93C3D"/>
    <w:rsid w:val="7EF27FB9"/>
    <w:rsid w:val="7EF453F2"/>
    <w:rsid w:val="7F0C33E0"/>
    <w:rsid w:val="7F0C632F"/>
    <w:rsid w:val="7F4A5F04"/>
    <w:rsid w:val="7F532CE0"/>
    <w:rsid w:val="7F56065C"/>
    <w:rsid w:val="7F5F4A1B"/>
    <w:rsid w:val="7F634BD8"/>
    <w:rsid w:val="7F6654D8"/>
    <w:rsid w:val="7F6E743A"/>
    <w:rsid w:val="7F7A4D1A"/>
    <w:rsid w:val="7F857393"/>
    <w:rsid w:val="7F907323"/>
    <w:rsid w:val="7F9B5DAC"/>
    <w:rsid w:val="7FA54E83"/>
    <w:rsid w:val="7FAF6455"/>
    <w:rsid w:val="7FB16B71"/>
    <w:rsid w:val="7FC23E1B"/>
    <w:rsid w:val="7FCE57EF"/>
    <w:rsid w:val="7FEE4470"/>
    <w:rsid w:val="7FF21A2A"/>
    <w:rsid w:val="7FFD52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unhideWhenUsed="0" w:uiPriority="0" w:semiHidden="0" w:name="index 3"/>
    <w:lsdException w:qFormat="1" w:uiPriority="99"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710"/>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212"/>
    <w:qFormat/>
    <w:uiPriority w:val="0"/>
    <w:pPr>
      <w:keepNext/>
      <w:keepLines/>
      <w:spacing w:before="340" w:after="330" w:line="578" w:lineRule="auto"/>
      <w:outlineLvl w:val="0"/>
    </w:pPr>
    <w:rPr>
      <w:kern w:val="44"/>
      <w:sz w:val="44"/>
      <w:szCs w:val="44"/>
    </w:rPr>
  </w:style>
  <w:style w:type="paragraph" w:styleId="4">
    <w:name w:val="heading 2"/>
    <w:basedOn w:val="1"/>
    <w:next w:val="1"/>
    <w:link w:val="238"/>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199"/>
    <w:qFormat/>
    <w:uiPriority w:val="0"/>
    <w:pPr>
      <w:keepNext/>
      <w:keepLines/>
      <w:spacing w:before="260" w:after="260" w:line="416" w:lineRule="auto"/>
      <w:outlineLvl w:val="2"/>
    </w:pPr>
    <w:rPr>
      <w:b/>
      <w:bCs/>
      <w:sz w:val="32"/>
      <w:szCs w:val="32"/>
    </w:rPr>
  </w:style>
  <w:style w:type="paragraph" w:styleId="6">
    <w:name w:val="heading 4"/>
    <w:basedOn w:val="5"/>
    <w:next w:val="1"/>
    <w:link w:val="211"/>
    <w:qFormat/>
    <w:uiPriority w:val="0"/>
    <w:pPr>
      <w:snapToGrid w:val="0"/>
      <w:spacing w:before="156" w:after="156" w:line="360" w:lineRule="auto"/>
      <w:ind w:left="907"/>
      <w:jc w:val="left"/>
      <w:outlineLvl w:val="3"/>
    </w:pPr>
    <w:rPr>
      <w:rFonts w:ascii="Verdana" w:hAnsi="Verdana"/>
      <w:b w:val="0"/>
      <w:bCs w:val="0"/>
      <w:color w:val="000000"/>
      <w:kern w:val="0"/>
      <w:sz w:val="24"/>
      <w:szCs w:val="24"/>
    </w:rPr>
  </w:style>
  <w:style w:type="paragraph" w:styleId="7">
    <w:name w:val="heading 5"/>
    <w:basedOn w:val="1"/>
    <w:next w:val="1"/>
    <w:qFormat/>
    <w:uiPriority w:val="0"/>
    <w:pPr>
      <w:keepNext/>
      <w:keepLines/>
      <w:spacing w:before="280" w:after="290" w:line="376" w:lineRule="auto"/>
      <w:outlineLvl w:val="4"/>
    </w:pPr>
    <w:rPr>
      <w:b/>
      <w:bCs/>
      <w:sz w:val="28"/>
      <w:szCs w:val="28"/>
    </w:rPr>
  </w:style>
  <w:style w:type="paragraph" w:styleId="8">
    <w:name w:val="heading 6"/>
    <w:basedOn w:val="1"/>
    <w:next w:val="1"/>
    <w:qFormat/>
    <w:uiPriority w:val="0"/>
    <w:pPr>
      <w:keepNext/>
      <w:keepLines/>
      <w:spacing w:before="240" w:after="64" w:line="320" w:lineRule="auto"/>
      <w:outlineLvl w:val="5"/>
    </w:pPr>
    <w:rPr>
      <w:rFonts w:ascii="Arial" w:hAnsi="Arial" w:eastAsia="黑体"/>
      <w:b/>
      <w:bCs/>
      <w:sz w:val="24"/>
      <w:szCs w:val="24"/>
    </w:rPr>
  </w:style>
  <w:style w:type="paragraph" w:styleId="9">
    <w:name w:val="heading 7"/>
    <w:basedOn w:val="1"/>
    <w:next w:val="10"/>
    <w:qFormat/>
    <w:uiPriority w:val="0"/>
    <w:pPr>
      <w:keepNext/>
      <w:keepLines/>
      <w:tabs>
        <w:tab w:val="left" w:pos="1296"/>
      </w:tabs>
      <w:spacing w:before="240" w:after="64" w:line="320" w:lineRule="auto"/>
      <w:ind w:left="1296" w:hanging="1296"/>
      <w:outlineLvl w:val="6"/>
    </w:pPr>
    <w:rPr>
      <w:b/>
      <w:sz w:val="24"/>
    </w:rPr>
  </w:style>
  <w:style w:type="paragraph" w:styleId="11">
    <w:name w:val="heading 8"/>
    <w:basedOn w:val="1"/>
    <w:next w:val="10"/>
    <w:qFormat/>
    <w:uiPriority w:val="0"/>
    <w:pPr>
      <w:keepNext/>
      <w:keepLines/>
      <w:tabs>
        <w:tab w:val="left" w:pos="1440"/>
      </w:tabs>
      <w:spacing w:before="240" w:after="64" w:line="320" w:lineRule="auto"/>
      <w:ind w:left="1440" w:hanging="1440"/>
      <w:outlineLvl w:val="7"/>
    </w:pPr>
    <w:rPr>
      <w:rFonts w:ascii="Arial" w:hAnsi="Arial" w:eastAsia="黑体"/>
      <w:sz w:val="24"/>
    </w:rPr>
  </w:style>
  <w:style w:type="paragraph" w:styleId="12">
    <w:name w:val="heading 9"/>
    <w:basedOn w:val="1"/>
    <w:next w:val="10"/>
    <w:link w:val="147"/>
    <w:qFormat/>
    <w:uiPriority w:val="0"/>
    <w:pPr>
      <w:keepNext/>
      <w:keepLines/>
      <w:tabs>
        <w:tab w:val="left" w:pos="1584"/>
      </w:tabs>
      <w:spacing w:before="240" w:after="64" w:line="320" w:lineRule="auto"/>
      <w:ind w:left="1584" w:hanging="1584"/>
      <w:outlineLvl w:val="8"/>
    </w:pPr>
    <w:rPr>
      <w:rFonts w:ascii="Arial" w:hAnsi="Arial" w:eastAsia="黑体"/>
    </w:rPr>
  </w:style>
  <w:style w:type="character" w:default="1" w:styleId="78">
    <w:name w:val="Default Paragraph Font"/>
    <w:semiHidden/>
    <w:unhideWhenUsed/>
    <w:qFormat/>
    <w:uiPriority w:val="1"/>
  </w:style>
  <w:style w:type="table" w:default="1" w:styleId="76">
    <w:name w:val="Normal Table"/>
    <w:semiHidden/>
    <w:unhideWhenUsed/>
    <w:qFormat/>
    <w:uiPriority w:val="99"/>
    <w:tblPr>
      <w:tblCellMar>
        <w:top w:w="0" w:type="dxa"/>
        <w:left w:w="108" w:type="dxa"/>
        <w:bottom w:w="0" w:type="dxa"/>
        <w:right w:w="108" w:type="dxa"/>
      </w:tblCellMar>
    </w:tblPr>
  </w:style>
  <w:style w:type="paragraph" w:styleId="2">
    <w:name w:val="macro"/>
    <w:link w:val="101"/>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Times New Roman"/>
      <w:kern w:val="2"/>
      <w:sz w:val="24"/>
      <w:lang w:val="en-US" w:eastAsia="zh-CN" w:bidi="ar-SA"/>
    </w:rPr>
  </w:style>
  <w:style w:type="paragraph" w:styleId="10">
    <w:name w:val="Normal Indent"/>
    <w:basedOn w:val="1"/>
    <w:link w:val="179"/>
    <w:qFormat/>
    <w:uiPriority w:val="0"/>
    <w:pPr>
      <w:spacing w:line="360" w:lineRule="auto"/>
      <w:ind w:firstLine="200" w:firstLineChars="200"/>
    </w:pPr>
    <w:rPr>
      <w:sz w:val="24"/>
    </w:rPr>
  </w:style>
  <w:style w:type="paragraph" w:styleId="13">
    <w:name w:val="List 3"/>
    <w:basedOn w:val="1"/>
    <w:qFormat/>
    <w:uiPriority w:val="0"/>
    <w:pPr>
      <w:ind w:left="100" w:leftChars="400" w:hanging="200" w:hangingChars="200"/>
    </w:pPr>
  </w:style>
  <w:style w:type="paragraph" w:styleId="14">
    <w:name w:val="toc 7"/>
    <w:basedOn w:val="1"/>
    <w:next w:val="1"/>
    <w:qFormat/>
    <w:uiPriority w:val="0"/>
    <w:pPr>
      <w:ind w:left="1260"/>
      <w:jc w:val="left"/>
    </w:pPr>
    <w:rPr>
      <w:sz w:val="18"/>
      <w:szCs w:val="18"/>
    </w:rPr>
  </w:style>
  <w:style w:type="paragraph" w:styleId="15">
    <w:name w:val="List Number 2"/>
    <w:basedOn w:val="1"/>
    <w:qFormat/>
    <w:uiPriority w:val="0"/>
    <w:pPr>
      <w:tabs>
        <w:tab w:val="left" w:pos="420"/>
      </w:tabs>
      <w:ind w:left="420" w:hanging="420"/>
    </w:pPr>
  </w:style>
  <w:style w:type="paragraph" w:styleId="16">
    <w:name w:val="table of authorities"/>
    <w:basedOn w:val="1"/>
    <w:next w:val="1"/>
    <w:qFormat/>
    <w:uiPriority w:val="0"/>
    <w:pPr>
      <w:spacing w:line="360" w:lineRule="auto"/>
      <w:ind w:left="420" w:leftChars="200"/>
    </w:pPr>
    <w:rPr>
      <w:rFonts w:ascii="Plotter" w:hAnsi="Plotter"/>
    </w:rPr>
  </w:style>
  <w:style w:type="paragraph" w:styleId="17">
    <w:name w:val="Note Heading"/>
    <w:basedOn w:val="1"/>
    <w:next w:val="1"/>
    <w:link w:val="113"/>
    <w:qFormat/>
    <w:uiPriority w:val="0"/>
    <w:pPr>
      <w:spacing w:line="360" w:lineRule="auto"/>
      <w:jc w:val="center"/>
    </w:pPr>
    <w:rPr>
      <w:sz w:val="24"/>
    </w:rPr>
  </w:style>
  <w:style w:type="paragraph" w:styleId="18">
    <w:name w:val="List Bullet 4"/>
    <w:basedOn w:val="1"/>
    <w:qFormat/>
    <w:uiPriority w:val="0"/>
    <w:pPr>
      <w:tabs>
        <w:tab w:val="left" w:pos="360"/>
      </w:tabs>
      <w:ind w:left="360" w:hanging="420"/>
    </w:pPr>
  </w:style>
  <w:style w:type="paragraph" w:styleId="19">
    <w:name w:val="List Number"/>
    <w:basedOn w:val="1"/>
    <w:qFormat/>
    <w:uiPriority w:val="0"/>
    <w:pPr>
      <w:tabs>
        <w:tab w:val="left" w:pos="420"/>
      </w:tabs>
      <w:ind w:left="420" w:hanging="420"/>
    </w:pPr>
    <w:rPr>
      <w:szCs w:val="24"/>
    </w:rPr>
  </w:style>
  <w:style w:type="paragraph" w:styleId="20">
    <w:name w:val="caption"/>
    <w:basedOn w:val="1"/>
    <w:next w:val="1"/>
    <w:link w:val="148"/>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style>
  <w:style w:type="paragraph" w:styleId="22">
    <w:name w:val="List Bullet"/>
    <w:basedOn w:val="1"/>
    <w:qFormat/>
    <w:uiPriority w:val="0"/>
    <w:pPr>
      <w:tabs>
        <w:tab w:val="left" w:pos="420"/>
      </w:tabs>
      <w:ind w:left="420" w:hanging="420"/>
    </w:pPr>
  </w:style>
  <w:style w:type="paragraph" w:styleId="23">
    <w:name w:val="Document Map"/>
    <w:basedOn w:val="1"/>
    <w:link w:val="127"/>
    <w:qFormat/>
    <w:uiPriority w:val="0"/>
    <w:pPr>
      <w:shd w:val="clear" w:color="auto" w:fill="000080"/>
    </w:pPr>
    <w:rPr>
      <w:shd w:val="clear" w:color="auto" w:fill="000080"/>
    </w:rPr>
  </w:style>
  <w:style w:type="paragraph" w:styleId="24">
    <w:name w:val="toa heading"/>
    <w:basedOn w:val="1"/>
    <w:next w:val="1"/>
    <w:qFormat/>
    <w:uiPriority w:val="0"/>
    <w:pPr>
      <w:spacing w:before="120"/>
    </w:pPr>
    <w:rPr>
      <w:rFonts w:ascii="Arial" w:hAnsi="Arial" w:cs="Arial"/>
      <w:sz w:val="24"/>
      <w:szCs w:val="24"/>
    </w:rPr>
  </w:style>
  <w:style w:type="paragraph" w:styleId="25">
    <w:name w:val="annotation text"/>
    <w:basedOn w:val="1"/>
    <w:link w:val="242"/>
    <w:qFormat/>
    <w:uiPriority w:val="0"/>
    <w:pPr>
      <w:jc w:val="left"/>
    </w:pPr>
    <w:rPr>
      <w:szCs w:val="24"/>
    </w:rPr>
  </w:style>
  <w:style w:type="paragraph" w:styleId="26">
    <w:name w:val="Salutation"/>
    <w:basedOn w:val="1"/>
    <w:next w:val="1"/>
    <w:link w:val="151"/>
    <w:qFormat/>
    <w:uiPriority w:val="0"/>
    <w:rPr>
      <w:rFonts w:ascii="Arial" w:hAnsi="Arial"/>
      <w:sz w:val="24"/>
      <w:szCs w:val="24"/>
    </w:rPr>
  </w:style>
  <w:style w:type="paragraph" w:styleId="27">
    <w:name w:val="Body Text 3"/>
    <w:basedOn w:val="1"/>
    <w:link w:val="176"/>
    <w:qFormat/>
    <w:uiPriority w:val="0"/>
    <w:pPr>
      <w:spacing w:after="120"/>
    </w:pPr>
    <w:rPr>
      <w:sz w:val="16"/>
      <w:szCs w:val="16"/>
    </w:rPr>
  </w:style>
  <w:style w:type="paragraph" w:styleId="28">
    <w:name w:val="Closing"/>
    <w:basedOn w:val="1"/>
    <w:link w:val="123"/>
    <w:qFormat/>
    <w:uiPriority w:val="0"/>
    <w:pPr>
      <w:ind w:left="100" w:leftChars="2100"/>
    </w:pPr>
    <w:rPr>
      <w:rFonts w:ascii="宋体" w:hAnsi="宋体"/>
      <w:spacing w:val="20"/>
      <w:sz w:val="24"/>
    </w:rPr>
  </w:style>
  <w:style w:type="paragraph" w:styleId="29">
    <w:name w:val="List Bullet 3"/>
    <w:basedOn w:val="1"/>
    <w:qFormat/>
    <w:uiPriority w:val="0"/>
    <w:pPr>
      <w:tabs>
        <w:tab w:val="left" w:pos="690"/>
      </w:tabs>
      <w:spacing w:before="60" w:after="60" w:line="300" w:lineRule="auto"/>
      <w:ind w:left="690" w:hanging="360"/>
    </w:pPr>
    <w:rPr>
      <w:sz w:val="24"/>
    </w:rPr>
  </w:style>
  <w:style w:type="paragraph" w:styleId="30">
    <w:name w:val="Body Text"/>
    <w:basedOn w:val="1"/>
    <w:next w:val="31"/>
    <w:link w:val="233"/>
    <w:qFormat/>
    <w:uiPriority w:val="0"/>
    <w:pPr>
      <w:spacing w:after="120"/>
    </w:pPr>
  </w:style>
  <w:style w:type="paragraph" w:customStyle="1" w:styleId="31">
    <w:name w:val="引用1"/>
    <w:next w:val="1"/>
    <w:qFormat/>
    <w:uiPriority w:val="0"/>
    <w:pPr>
      <w:wordWrap w:val="0"/>
      <w:spacing w:before="200" w:after="160"/>
      <w:ind w:left="864" w:right="864"/>
      <w:jc w:val="center"/>
    </w:pPr>
    <w:rPr>
      <w:rFonts w:ascii="Calibri" w:hAnsi="Calibri" w:eastAsia="宋体" w:cs="Times New Roman"/>
      <w:i/>
      <w:sz w:val="21"/>
      <w:lang w:val="en-US" w:eastAsia="zh-CN" w:bidi="ar-SA"/>
    </w:rPr>
  </w:style>
  <w:style w:type="paragraph" w:styleId="32">
    <w:name w:val="Body Text Indent"/>
    <w:basedOn w:val="1"/>
    <w:next w:val="33"/>
    <w:qFormat/>
    <w:uiPriority w:val="0"/>
    <w:pPr>
      <w:spacing w:after="120"/>
      <w:ind w:left="420" w:leftChars="200"/>
    </w:pPr>
  </w:style>
  <w:style w:type="paragraph" w:customStyle="1" w:styleId="33">
    <w:name w:val="toc 61"/>
    <w:next w:val="1"/>
    <w:qFormat/>
    <w:uiPriority w:val="0"/>
    <w:pPr>
      <w:wordWrap w:val="0"/>
      <w:ind w:left="2125"/>
      <w:jc w:val="both"/>
    </w:pPr>
    <w:rPr>
      <w:rFonts w:ascii="Calibri" w:hAnsi="Calibri" w:eastAsia="宋体" w:cs="Times New Roman"/>
      <w:sz w:val="21"/>
      <w:lang w:val="en-US" w:eastAsia="zh-CN" w:bidi="ar-SA"/>
    </w:rPr>
  </w:style>
  <w:style w:type="paragraph" w:styleId="34">
    <w:name w:val="List Number 3"/>
    <w:basedOn w:val="1"/>
    <w:qFormat/>
    <w:uiPriority w:val="0"/>
    <w:pPr>
      <w:tabs>
        <w:tab w:val="left" w:pos="420"/>
      </w:tabs>
      <w:ind w:left="420" w:hanging="420"/>
    </w:pPr>
  </w:style>
  <w:style w:type="paragraph" w:styleId="35">
    <w:name w:val="List 2"/>
    <w:basedOn w:val="1"/>
    <w:qFormat/>
    <w:uiPriority w:val="0"/>
    <w:pPr>
      <w:ind w:left="100" w:leftChars="200" w:hanging="200" w:hangingChars="200"/>
    </w:pPr>
    <w:rPr>
      <w:szCs w:val="24"/>
    </w:rPr>
  </w:style>
  <w:style w:type="paragraph" w:styleId="36">
    <w:name w:val="Block Text"/>
    <w:basedOn w:val="1"/>
    <w:qFormat/>
    <w:uiPriority w:val="0"/>
    <w:pPr>
      <w:autoSpaceDE w:val="0"/>
      <w:autoSpaceDN w:val="0"/>
      <w:adjustRightInd w:val="0"/>
      <w:snapToGrid w:val="0"/>
      <w:spacing w:line="480" w:lineRule="auto"/>
      <w:ind w:left="-189" w:leftChars="-90" w:right="-567" w:firstLine="420" w:firstLineChars="200"/>
      <w:jc w:val="left"/>
    </w:pPr>
    <w:rPr>
      <w:rFonts w:ascii="宋体" w:hAnsi="宋体"/>
      <w:bCs/>
      <w:szCs w:val="24"/>
    </w:rPr>
  </w:style>
  <w:style w:type="paragraph" w:styleId="37">
    <w:name w:val="List Bullet 2"/>
    <w:basedOn w:val="1"/>
    <w:qFormat/>
    <w:uiPriority w:val="0"/>
    <w:pPr>
      <w:tabs>
        <w:tab w:val="left" w:pos="1370"/>
      </w:tabs>
      <w:spacing w:before="60" w:after="60" w:line="300" w:lineRule="auto"/>
      <w:ind w:left="1370" w:hanging="425"/>
    </w:pPr>
    <w:rPr>
      <w:sz w:val="24"/>
    </w:rPr>
  </w:style>
  <w:style w:type="paragraph" w:styleId="38">
    <w:name w:val="index 4"/>
    <w:basedOn w:val="1"/>
    <w:next w:val="1"/>
    <w:unhideWhenUsed/>
    <w:qFormat/>
    <w:uiPriority w:val="99"/>
    <w:pPr>
      <w:ind w:left="600" w:leftChars="600"/>
    </w:pPr>
    <w:rPr>
      <w:rFonts w:hint="eastAsia"/>
      <w:sz w:val="24"/>
    </w:rPr>
  </w:style>
  <w:style w:type="paragraph" w:styleId="39">
    <w:name w:val="toc 5"/>
    <w:basedOn w:val="1"/>
    <w:next w:val="1"/>
    <w:qFormat/>
    <w:uiPriority w:val="0"/>
    <w:pPr>
      <w:ind w:left="840"/>
      <w:jc w:val="left"/>
    </w:pPr>
    <w:rPr>
      <w:sz w:val="18"/>
      <w:szCs w:val="18"/>
    </w:rPr>
  </w:style>
  <w:style w:type="paragraph" w:styleId="40">
    <w:name w:val="toc 3"/>
    <w:basedOn w:val="1"/>
    <w:next w:val="1"/>
    <w:qFormat/>
    <w:uiPriority w:val="0"/>
    <w:pPr>
      <w:ind w:left="420"/>
      <w:jc w:val="left"/>
    </w:pPr>
    <w:rPr>
      <w:i/>
      <w:iCs/>
      <w:sz w:val="20"/>
    </w:rPr>
  </w:style>
  <w:style w:type="paragraph" w:styleId="41">
    <w:name w:val="Plain Text"/>
    <w:basedOn w:val="1"/>
    <w:link w:val="228"/>
    <w:qFormat/>
    <w:uiPriority w:val="0"/>
    <w:rPr>
      <w:rFonts w:ascii="宋体" w:hAnsi="Courier New"/>
      <w:sz w:val="24"/>
    </w:rPr>
  </w:style>
  <w:style w:type="paragraph" w:styleId="42">
    <w:name w:val="List Bullet 5"/>
    <w:basedOn w:val="1"/>
    <w:qFormat/>
    <w:uiPriority w:val="0"/>
    <w:pPr>
      <w:tabs>
        <w:tab w:val="left" w:pos="420"/>
      </w:tabs>
      <w:ind w:left="420" w:hanging="420"/>
    </w:pPr>
  </w:style>
  <w:style w:type="paragraph" w:styleId="43">
    <w:name w:val="List Number 4"/>
    <w:basedOn w:val="1"/>
    <w:qFormat/>
    <w:uiPriority w:val="0"/>
    <w:pPr>
      <w:tabs>
        <w:tab w:val="left" w:pos="420"/>
      </w:tabs>
      <w:ind w:left="420" w:hanging="420"/>
    </w:pPr>
  </w:style>
  <w:style w:type="paragraph" w:styleId="44">
    <w:name w:val="toc 8"/>
    <w:basedOn w:val="1"/>
    <w:next w:val="1"/>
    <w:qFormat/>
    <w:uiPriority w:val="0"/>
    <w:pPr>
      <w:ind w:left="1470"/>
      <w:jc w:val="left"/>
    </w:pPr>
    <w:rPr>
      <w:sz w:val="18"/>
      <w:szCs w:val="18"/>
    </w:rPr>
  </w:style>
  <w:style w:type="paragraph" w:styleId="45">
    <w:name w:val="Date"/>
    <w:basedOn w:val="1"/>
    <w:next w:val="1"/>
    <w:link w:val="223"/>
    <w:qFormat/>
    <w:uiPriority w:val="0"/>
    <w:pPr>
      <w:ind w:left="100" w:leftChars="2500"/>
    </w:pPr>
  </w:style>
  <w:style w:type="paragraph" w:styleId="46">
    <w:name w:val="Body Text Indent 2"/>
    <w:basedOn w:val="1"/>
    <w:link w:val="177"/>
    <w:qFormat/>
    <w:uiPriority w:val="0"/>
    <w:pPr>
      <w:spacing w:line="360" w:lineRule="auto"/>
      <w:ind w:left="-61" w:leftChars="-29" w:firstLine="458" w:firstLineChars="218"/>
    </w:pPr>
    <w:rPr>
      <w:rFonts w:ascii="宋体" w:hAnsi="宋体"/>
      <w:szCs w:val="32"/>
    </w:rPr>
  </w:style>
  <w:style w:type="paragraph" w:styleId="47">
    <w:name w:val="List Continue 5"/>
    <w:basedOn w:val="1"/>
    <w:qFormat/>
    <w:uiPriority w:val="0"/>
    <w:pPr>
      <w:spacing w:after="120"/>
      <w:ind w:left="2100" w:leftChars="1000"/>
    </w:pPr>
  </w:style>
  <w:style w:type="paragraph" w:styleId="48">
    <w:name w:val="Balloon Text"/>
    <w:basedOn w:val="1"/>
    <w:link w:val="158"/>
    <w:qFormat/>
    <w:uiPriority w:val="0"/>
    <w:rPr>
      <w:sz w:val="18"/>
      <w:szCs w:val="18"/>
    </w:rPr>
  </w:style>
  <w:style w:type="paragraph" w:styleId="49">
    <w:name w:val="footer"/>
    <w:basedOn w:val="1"/>
    <w:link w:val="153"/>
    <w:qFormat/>
    <w:uiPriority w:val="0"/>
    <w:pPr>
      <w:tabs>
        <w:tab w:val="center" w:pos="4153"/>
        <w:tab w:val="right" w:pos="8306"/>
      </w:tabs>
      <w:snapToGrid w:val="0"/>
      <w:jc w:val="left"/>
    </w:pPr>
    <w:rPr>
      <w:sz w:val="18"/>
      <w:szCs w:val="18"/>
    </w:rPr>
  </w:style>
  <w:style w:type="paragraph" w:styleId="50">
    <w:name w:val="envelope return"/>
    <w:basedOn w:val="1"/>
    <w:qFormat/>
    <w:uiPriority w:val="0"/>
    <w:pPr>
      <w:snapToGrid w:val="0"/>
      <w:spacing w:line="360" w:lineRule="auto"/>
    </w:pPr>
    <w:rPr>
      <w:rFonts w:ascii="Arial" w:hAnsi="Arial"/>
      <w:sz w:val="24"/>
    </w:rPr>
  </w:style>
  <w:style w:type="paragraph" w:styleId="51">
    <w:name w:val="header"/>
    <w:basedOn w:val="1"/>
    <w:link w:val="133"/>
    <w:qFormat/>
    <w:uiPriority w:val="0"/>
    <w:pPr>
      <w:pBdr>
        <w:bottom w:val="single" w:color="auto" w:sz="6" w:space="1"/>
      </w:pBdr>
      <w:tabs>
        <w:tab w:val="center" w:pos="4153"/>
        <w:tab w:val="right" w:pos="8306"/>
      </w:tabs>
      <w:snapToGrid w:val="0"/>
      <w:jc w:val="center"/>
    </w:pPr>
    <w:rPr>
      <w:sz w:val="18"/>
      <w:szCs w:val="18"/>
    </w:rPr>
  </w:style>
  <w:style w:type="paragraph" w:styleId="52">
    <w:name w:val="toc 1"/>
    <w:basedOn w:val="1"/>
    <w:next w:val="1"/>
    <w:qFormat/>
    <w:uiPriority w:val="39"/>
    <w:pPr>
      <w:tabs>
        <w:tab w:val="right" w:leader="dot" w:pos="9060"/>
      </w:tabs>
      <w:spacing w:after="120" w:line="360" w:lineRule="exact"/>
      <w:ind w:firstLine="198"/>
      <w:jc w:val="center"/>
    </w:pPr>
    <w:rPr>
      <w:rFonts w:ascii="宋体" w:hAnsi="宋体"/>
      <w:b/>
      <w:bCs/>
      <w:caps/>
    </w:rPr>
  </w:style>
  <w:style w:type="paragraph" w:styleId="53">
    <w:name w:val="toc 4"/>
    <w:basedOn w:val="1"/>
    <w:next w:val="1"/>
    <w:qFormat/>
    <w:uiPriority w:val="0"/>
    <w:pPr>
      <w:ind w:left="630"/>
      <w:jc w:val="left"/>
    </w:pPr>
    <w:rPr>
      <w:sz w:val="18"/>
      <w:szCs w:val="18"/>
    </w:rPr>
  </w:style>
  <w:style w:type="paragraph" w:styleId="54">
    <w:name w:val="index heading"/>
    <w:basedOn w:val="55"/>
    <w:next w:val="56"/>
    <w:qFormat/>
    <w:uiPriority w:val="0"/>
    <w:pPr>
      <w:keepLines w:val="0"/>
      <w:spacing w:before="0" w:line="480" w:lineRule="atLeast"/>
      <w:ind w:left="0"/>
    </w:pPr>
    <w:rPr>
      <w:rFonts w:ascii="Arial Black" w:hAnsi="Arial Black"/>
      <w:spacing w:val="-5"/>
      <w:kern w:val="0"/>
      <w:sz w:val="24"/>
    </w:rPr>
  </w:style>
  <w:style w:type="paragraph" w:customStyle="1" w:styleId="55">
    <w:name w:val="Heading Base"/>
    <w:basedOn w:val="1"/>
    <w:next w:val="30"/>
    <w:link w:val="250"/>
    <w:qFormat/>
    <w:uiPriority w:val="0"/>
    <w:pPr>
      <w:keepNext/>
      <w:keepLines/>
      <w:widowControl/>
      <w:spacing w:before="140" w:line="220" w:lineRule="atLeast"/>
      <w:ind w:left="1080"/>
      <w:jc w:val="left"/>
    </w:pPr>
    <w:rPr>
      <w:rFonts w:ascii="Arial" w:hAnsi="Arial" w:eastAsia="仿宋体"/>
      <w:spacing w:val="-4"/>
      <w:kern w:val="28"/>
      <w:sz w:val="22"/>
      <w:lang w:eastAsia="en-US"/>
    </w:rPr>
  </w:style>
  <w:style w:type="paragraph" w:styleId="56">
    <w:name w:val="index 1"/>
    <w:basedOn w:val="1"/>
    <w:next w:val="1"/>
    <w:qFormat/>
    <w:uiPriority w:val="0"/>
  </w:style>
  <w:style w:type="paragraph" w:styleId="57">
    <w:name w:val="Subtitle"/>
    <w:basedOn w:val="1"/>
    <w:next w:val="1"/>
    <w:link w:val="106"/>
    <w:qFormat/>
    <w:uiPriority w:val="0"/>
    <w:pPr>
      <w:widowControl/>
      <w:jc w:val="center"/>
    </w:pPr>
    <w:rPr>
      <w:rFonts w:ascii="Arial" w:hAnsi="Arial" w:eastAsia="Times New Roman"/>
      <w:b/>
      <w:kern w:val="0"/>
      <w:sz w:val="28"/>
      <w:szCs w:val="24"/>
      <w:lang w:val="fr-FR"/>
    </w:rPr>
  </w:style>
  <w:style w:type="paragraph" w:styleId="58">
    <w:name w:val="List Number 5"/>
    <w:basedOn w:val="1"/>
    <w:qFormat/>
    <w:uiPriority w:val="0"/>
    <w:pPr>
      <w:tabs>
        <w:tab w:val="left" w:pos="1260"/>
      </w:tabs>
      <w:ind w:left="1260" w:hanging="420"/>
    </w:pPr>
  </w:style>
  <w:style w:type="paragraph" w:styleId="59">
    <w:name w:val="List"/>
    <w:basedOn w:val="1"/>
    <w:qFormat/>
    <w:uiPriority w:val="0"/>
    <w:pPr>
      <w:ind w:left="200" w:hanging="200" w:hangingChars="200"/>
    </w:pPr>
    <w:rPr>
      <w:rFonts w:ascii="Arial" w:hAnsi="Arial"/>
      <w:sz w:val="24"/>
      <w:szCs w:val="24"/>
    </w:rPr>
  </w:style>
  <w:style w:type="paragraph" w:styleId="60">
    <w:name w:val="footnote text"/>
    <w:basedOn w:val="1"/>
    <w:link w:val="206"/>
    <w:qFormat/>
    <w:uiPriority w:val="0"/>
    <w:pPr>
      <w:snapToGrid w:val="0"/>
      <w:spacing w:line="360" w:lineRule="auto"/>
      <w:jc w:val="left"/>
    </w:pPr>
    <w:rPr>
      <w:sz w:val="18"/>
    </w:rPr>
  </w:style>
  <w:style w:type="paragraph" w:styleId="61">
    <w:name w:val="toc 6"/>
    <w:basedOn w:val="1"/>
    <w:next w:val="1"/>
    <w:qFormat/>
    <w:uiPriority w:val="0"/>
    <w:pPr>
      <w:ind w:left="1050"/>
      <w:jc w:val="left"/>
    </w:pPr>
    <w:rPr>
      <w:sz w:val="18"/>
      <w:szCs w:val="18"/>
    </w:rPr>
  </w:style>
  <w:style w:type="paragraph" w:styleId="62">
    <w:name w:val="Body Text Indent 3"/>
    <w:basedOn w:val="1"/>
    <w:link w:val="108"/>
    <w:qFormat/>
    <w:uiPriority w:val="0"/>
    <w:pPr>
      <w:snapToGrid w:val="0"/>
      <w:spacing w:line="657" w:lineRule="atLeast"/>
      <w:ind w:firstLine="720"/>
      <w:jc w:val="left"/>
    </w:pPr>
    <w:rPr>
      <w:rFonts w:ascii="仿宋_GB2312" w:eastAsia="仿宋_GB2312"/>
      <w:b/>
      <w:bCs/>
      <w:sz w:val="36"/>
    </w:rPr>
  </w:style>
  <w:style w:type="paragraph" w:styleId="63">
    <w:name w:val="table of figures"/>
    <w:basedOn w:val="1"/>
    <w:next w:val="1"/>
    <w:qFormat/>
    <w:uiPriority w:val="0"/>
    <w:pPr>
      <w:ind w:left="840" w:leftChars="200" w:hanging="420" w:hangingChars="200"/>
    </w:pPr>
    <w:rPr>
      <w:szCs w:val="24"/>
    </w:rPr>
  </w:style>
  <w:style w:type="paragraph" w:styleId="64">
    <w:name w:val="toc 2"/>
    <w:basedOn w:val="1"/>
    <w:next w:val="1"/>
    <w:qFormat/>
    <w:uiPriority w:val="0"/>
    <w:pPr>
      <w:ind w:left="210"/>
      <w:jc w:val="left"/>
    </w:pPr>
    <w:rPr>
      <w:smallCaps/>
      <w:sz w:val="20"/>
    </w:rPr>
  </w:style>
  <w:style w:type="paragraph" w:styleId="65">
    <w:name w:val="toc 9"/>
    <w:basedOn w:val="1"/>
    <w:next w:val="1"/>
    <w:qFormat/>
    <w:uiPriority w:val="0"/>
    <w:pPr>
      <w:ind w:left="1680"/>
      <w:jc w:val="left"/>
    </w:pPr>
    <w:rPr>
      <w:sz w:val="18"/>
      <w:szCs w:val="18"/>
    </w:rPr>
  </w:style>
  <w:style w:type="paragraph" w:styleId="66">
    <w:name w:val="Body Text 2"/>
    <w:basedOn w:val="1"/>
    <w:qFormat/>
    <w:uiPriority w:val="0"/>
    <w:pPr>
      <w:spacing w:after="120" w:line="480" w:lineRule="auto"/>
    </w:pPr>
  </w:style>
  <w:style w:type="paragraph" w:styleId="67">
    <w:name w:val="Message Header"/>
    <w:basedOn w:val="30"/>
    <w:qFormat/>
    <w:uiPriority w:val="0"/>
    <w:pPr>
      <w:keepLines/>
      <w:widowControl/>
      <w:tabs>
        <w:tab w:val="left" w:pos="0"/>
        <w:tab w:val="left" w:pos="3600"/>
        <w:tab w:val="left" w:pos="4680"/>
      </w:tabs>
      <w:spacing w:line="280" w:lineRule="exact"/>
      <w:ind w:left="907" w:right="2160" w:hanging="1080"/>
      <w:jc w:val="left"/>
    </w:pPr>
    <w:rPr>
      <w:rFonts w:ascii="仿宋体" w:hAnsi="Arial" w:eastAsia="仿宋体"/>
      <w:kern w:val="0"/>
      <w:sz w:val="22"/>
    </w:rPr>
  </w:style>
  <w:style w:type="paragraph" w:styleId="68">
    <w:name w:val="HTML Preformatted"/>
    <w:basedOn w:val="1"/>
    <w:link w:val="20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rPr>
  </w:style>
  <w:style w:type="paragraph" w:styleId="69">
    <w:name w:val="Normal (Web)"/>
    <w:basedOn w:val="1"/>
    <w:link w:val="117"/>
    <w:qFormat/>
    <w:uiPriority w:val="0"/>
    <w:pPr>
      <w:widowControl/>
      <w:spacing w:before="100" w:beforeAutospacing="1" w:after="100" w:afterAutospacing="1"/>
      <w:jc w:val="left"/>
    </w:pPr>
    <w:rPr>
      <w:rFonts w:ascii="宋体" w:hAnsi="宋体"/>
      <w:kern w:val="0"/>
      <w:sz w:val="24"/>
      <w:szCs w:val="24"/>
    </w:rPr>
  </w:style>
  <w:style w:type="paragraph" w:styleId="70">
    <w:name w:val="index 2"/>
    <w:basedOn w:val="71"/>
    <w:next w:val="1"/>
    <w:qFormat/>
    <w:uiPriority w:val="0"/>
    <w:pPr>
      <w:spacing w:line="360" w:lineRule="auto"/>
      <w:ind w:left="720" w:firstLine="432"/>
    </w:pPr>
    <w:rPr>
      <w:rFonts w:ascii="Times New Roman" w:hAnsi="Times New Roman"/>
      <w:sz w:val="28"/>
      <w:lang w:eastAsia="zh-CN"/>
    </w:rPr>
  </w:style>
  <w:style w:type="paragraph" w:customStyle="1" w:styleId="71">
    <w:name w:val="Index Base"/>
    <w:basedOn w:val="1"/>
    <w:qFormat/>
    <w:uiPriority w:val="0"/>
    <w:pPr>
      <w:widowControl/>
      <w:spacing w:line="240" w:lineRule="atLeast"/>
      <w:ind w:left="360" w:hanging="360"/>
      <w:jc w:val="left"/>
    </w:pPr>
    <w:rPr>
      <w:rFonts w:ascii="Arial" w:hAnsi="Arial" w:eastAsia="仿宋体"/>
      <w:spacing w:val="-5"/>
      <w:kern w:val="0"/>
      <w:sz w:val="18"/>
      <w:lang w:eastAsia="en-US"/>
    </w:rPr>
  </w:style>
  <w:style w:type="paragraph" w:styleId="72">
    <w:name w:val="Title"/>
    <w:basedOn w:val="1"/>
    <w:next w:val="1"/>
    <w:link w:val="724"/>
    <w:qFormat/>
    <w:uiPriority w:val="0"/>
    <w:pPr>
      <w:spacing w:before="240" w:after="60"/>
      <w:jc w:val="center"/>
      <w:outlineLvl w:val="0"/>
    </w:pPr>
    <w:rPr>
      <w:rFonts w:ascii="Arial" w:hAnsi="Arial" w:cs="Arial"/>
      <w:b/>
      <w:bCs/>
      <w:sz w:val="32"/>
      <w:szCs w:val="32"/>
    </w:rPr>
  </w:style>
  <w:style w:type="paragraph" w:styleId="73">
    <w:name w:val="annotation subject"/>
    <w:basedOn w:val="25"/>
    <w:next w:val="25"/>
    <w:link w:val="119"/>
    <w:qFormat/>
    <w:uiPriority w:val="0"/>
    <w:rPr>
      <w:b/>
      <w:bCs/>
    </w:rPr>
  </w:style>
  <w:style w:type="paragraph" w:styleId="74">
    <w:name w:val="Body Text First Indent"/>
    <w:basedOn w:val="30"/>
    <w:link w:val="142"/>
    <w:qFormat/>
    <w:uiPriority w:val="0"/>
    <w:pPr>
      <w:ind w:firstLine="420" w:firstLineChars="100"/>
    </w:pPr>
    <w:rPr>
      <w:szCs w:val="24"/>
    </w:rPr>
  </w:style>
  <w:style w:type="paragraph" w:styleId="75">
    <w:name w:val="Body Text First Indent 2"/>
    <w:basedOn w:val="32"/>
    <w:next w:val="1"/>
    <w:qFormat/>
    <w:uiPriority w:val="0"/>
    <w:pPr>
      <w:ind w:firstLine="420" w:firstLineChars="200"/>
    </w:pPr>
    <w:rPr>
      <w:szCs w:val="24"/>
    </w:rPr>
  </w:style>
  <w:style w:type="table" w:styleId="77">
    <w:name w:val="Table Grid"/>
    <w:basedOn w:val="76"/>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79">
    <w:name w:val="Strong"/>
    <w:qFormat/>
    <w:uiPriority w:val="0"/>
    <w:rPr>
      <w:b/>
      <w:bCs/>
    </w:rPr>
  </w:style>
  <w:style w:type="character" w:styleId="80">
    <w:name w:val="page number"/>
    <w:basedOn w:val="78"/>
    <w:qFormat/>
    <w:uiPriority w:val="0"/>
  </w:style>
  <w:style w:type="character" w:styleId="81">
    <w:name w:val="FollowedHyperlink"/>
    <w:qFormat/>
    <w:uiPriority w:val="0"/>
    <w:rPr>
      <w:color w:val="333333"/>
      <w:u w:val="none"/>
      <w:shd w:val="clear" w:color="auto" w:fill="BA8EA7"/>
    </w:rPr>
  </w:style>
  <w:style w:type="character" w:styleId="82">
    <w:name w:val="Emphasis"/>
    <w:qFormat/>
    <w:uiPriority w:val="0"/>
    <w:rPr>
      <w:color w:val="CC0000"/>
    </w:rPr>
  </w:style>
  <w:style w:type="character" w:styleId="83">
    <w:name w:val="HTML Definition"/>
    <w:basedOn w:val="78"/>
    <w:qFormat/>
    <w:uiPriority w:val="0"/>
  </w:style>
  <w:style w:type="character" w:styleId="84">
    <w:name w:val="HTML Typewriter"/>
    <w:basedOn w:val="78"/>
    <w:qFormat/>
    <w:uiPriority w:val="0"/>
    <w:rPr>
      <w:rFonts w:ascii="monospace" w:hAnsi="monospace" w:eastAsia="monospace" w:cs="monospace"/>
      <w:sz w:val="20"/>
    </w:rPr>
  </w:style>
  <w:style w:type="character" w:styleId="85">
    <w:name w:val="HTML Acronym"/>
    <w:basedOn w:val="78"/>
    <w:qFormat/>
    <w:uiPriority w:val="0"/>
  </w:style>
  <w:style w:type="character" w:styleId="86">
    <w:name w:val="HTML Variable"/>
    <w:basedOn w:val="78"/>
    <w:qFormat/>
    <w:uiPriority w:val="0"/>
  </w:style>
  <w:style w:type="character" w:styleId="87">
    <w:name w:val="Hyperlink"/>
    <w:qFormat/>
    <w:uiPriority w:val="99"/>
    <w:rPr>
      <w:color w:val="333333"/>
      <w:u w:val="none"/>
    </w:rPr>
  </w:style>
  <w:style w:type="character" w:styleId="88">
    <w:name w:val="HTML Code"/>
    <w:basedOn w:val="78"/>
    <w:qFormat/>
    <w:uiPriority w:val="0"/>
    <w:rPr>
      <w:rFonts w:hint="default" w:ascii="monospace" w:hAnsi="monospace" w:eastAsia="monospace" w:cs="monospace"/>
      <w:sz w:val="20"/>
    </w:rPr>
  </w:style>
  <w:style w:type="character" w:styleId="89">
    <w:name w:val="annotation reference"/>
    <w:qFormat/>
    <w:uiPriority w:val="0"/>
    <w:rPr>
      <w:sz w:val="21"/>
      <w:szCs w:val="21"/>
    </w:rPr>
  </w:style>
  <w:style w:type="character" w:styleId="90">
    <w:name w:val="HTML Cite"/>
    <w:basedOn w:val="78"/>
    <w:qFormat/>
    <w:uiPriority w:val="0"/>
  </w:style>
  <w:style w:type="character" w:styleId="91">
    <w:name w:val="HTML Keyboard"/>
    <w:basedOn w:val="78"/>
    <w:qFormat/>
    <w:uiPriority w:val="0"/>
    <w:rPr>
      <w:rFonts w:hint="default" w:ascii="monospace" w:hAnsi="monospace" w:eastAsia="monospace" w:cs="monospace"/>
      <w:sz w:val="20"/>
    </w:rPr>
  </w:style>
  <w:style w:type="character" w:styleId="92">
    <w:name w:val="HTML Sample"/>
    <w:basedOn w:val="78"/>
    <w:qFormat/>
    <w:uiPriority w:val="0"/>
    <w:rPr>
      <w:rFonts w:hint="default" w:ascii="monospace" w:hAnsi="monospace" w:eastAsia="monospace" w:cs="monospace"/>
    </w:rPr>
  </w:style>
  <w:style w:type="paragraph" w:customStyle="1" w:styleId="93">
    <w:name w:val="样式 首行缩进:  2 字符"/>
    <w:basedOn w:val="1"/>
    <w:qFormat/>
    <w:uiPriority w:val="0"/>
    <w:pPr>
      <w:spacing w:line="360" w:lineRule="auto"/>
      <w:ind w:firstLine="480" w:firstLineChars="200"/>
      <w:jc w:val="left"/>
    </w:pPr>
    <w:rPr>
      <w:rFonts w:ascii="宋体" w:hAnsi="宋体" w:cs="宋体"/>
      <w:color w:val="000000"/>
      <w:sz w:val="24"/>
    </w:rPr>
  </w:style>
  <w:style w:type="paragraph" w:customStyle="1" w:styleId="94">
    <w:name w:val="样式 样式 左侧:  2 字符 + 左侧:  0.85 厘米 首行缩进:  2 字符1"/>
    <w:basedOn w:val="1"/>
    <w:qFormat/>
    <w:uiPriority w:val="99"/>
    <w:pPr>
      <w:ind w:left="482" w:firstLine="200" w:firstLineChars="200"/>
    </w:pPr>
  </w:style>
  <w:style w:type="paragraph" w:customStyle="1" w:styleId="95">
    <w:name w:val="首行缩进"/>
    <w:basedOn w:val="96"/>
    <w:next w:val="1"/>
    <w:qFormat/>
    <w:uiPriority w:val="0"/>
    <w:pPr>
      <w:spacing w:line="360" w:lineRule="auto"/>
      <w:ind w:left="210" w:leftChars="100" w:firstLine="420" w:firstLineChars="200"/>
    </w:pPr>
    <w:rPr>
      <w:rFonts w:ascii="宋体" w:hAnsi="宋体"/>
      <w:szCs w:val="24"/>
    </w:rPr>
  </w:style>
  <w:style w:type="paragraph" w:customStyle="1" w:styleId="96">
    <w:name w:val="正文 New New New New New New"/>
    <w:next w:val="95"/>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7">
    <w:name w:val="正文新表格fffffffffffff"/>
    <w:basedOn w:val="30"/>
    <w:qFormat/>
    <w:uiPriority w:val="0"/>
    <w:pPr>
      <w:tabs>
        <w:tab w:val="center" w:pos="733"/>
      </w:tabs>
      <w:adjustRightInd w:val="0"/>
      <w:snapToGrid w:val="0"/>
    </w:pPr>
    <w:rPr>
      <w:rFonts w:hAnsi="黑体"/>
    </w:rPr>
  </w:style>
  <w:style w:type="paragraph" w:customStyle="1" w:styleId="98">
    <w:name w:val="正文-公1"/>
    <w:basedOn w:val="1"/>
    <w:qFormat/>
    <w:uiPriority w:val="0"/>
    <w:pPr>
      <w:ind w:firstLine="200" w:firstLineChars="200"/>
    </w:pPr>
    <w:rPr>
      <w:color w:val="000000"/>
    </w:rPr>
  </w:style>
  <w:style w:type="paragraph" w:customStyle="1" w:styleId="99">
    <w:name w:val="Heading2"/>
    <w:basedOn w:val="1"/>
    <w:next w:val="1"/>
    <w:qFormat/>
    <w:uiPriority w:val="0"/>
    <w:pPr>
      <w:keepNext/>
      <w:keepLines/>
      <w:spacing w:before="260" w:after="260" w:line="416" w:lineRule="auto"/>
      <w:jc w:val="both"/>
      <w:textAlignment w:val="baseline"/>
    </w:pPr>
    <w:rPr>
      <w:rFonts w:ascii="Arial" w:hAnsi="Arial" w:eastAsia="黑体" w:cs="Times New Roman"/>
      <w:b/>
      <w:bCs/>
      <w:kern w:val="2"/>
      <w:sz w:val="32"/>
      <w:szCs w:val="32"/>
      <w:lang w:val="en-US" w:eastAsia="zh-CN" w:bidi="ar-SA"/>
    </w:rPr>
  </w:style>
  <w:style w:type="paragraph" w:customStyle="1" w:styleId="100">
    <w:name w:val="目录 61"/>
    <w:next w:val="1"/>
    <w:qFormat/>
    <w:uiPriority w:val="0"/>
    <w:pPr>
      <w:wordWrap w:val="0"/>
      <w:ind w:left="2125"/>
      <w:jc w:val="both"/>
    </w:pPr>
    <w:rPr>
      <w:rFonts w:ascii="Times New Roman" w:hAnsi="Times New Roman" w:eastAsia="宋体" w:cs="Times New Roman"/>
      <w:sz w:val="21"/>
      <w:lang w:val="en-US" w:eastAsia="zh-CN" w:bidi="ar-SA"/>
    </w:rPr>
  </w:style>
  <w:style w:type="character" w:customStyle="1" w:styleId="101">
    <w:name w:val="宏文本 Char"/>
    <w:link w:val="2"/>
    <w:qFormat/>
    <w:uiPriority w:val="0"/>
    <w:rPr>
      <w:rFonts w:ascii="Courier New" w:hAnsi="Courier New"/>
      <w:kern w:val="2"/>
      <w:sz w:val="24"/>
      <w:lang w:val="en-US" w:eastAsia="zh-CN" w:bidi="ar-SA"/>
    </w:rPr>
  </w:style>
  <w:style w:type="character" w:customStyle="1" w:styleId="102">
    <w:name w:val="contentlabel1"/>
    <w:qFormat/>
    <w:uiPriority w:val="0"/>
    <w:rPr>
      <w:color w:val="336666"/>
      <w:sz w:val="18"/>
      <w:u w:val="none"/>
    </w:rPr>
  </w:style>
  <w:style w:type="character" w:customStyle="1" w:styleId="103">
    <w:name w:val="font101"/>
    <w:qFormat/>
    <w:uiPriority w:val="0"/>
    <w:rPr>
      <w:sz w:val="21"/>
    </w:rPr>
  </w:style>
  <w:style w:type="character" w:customStyle="1" w:styleId="104">
    <w:name w:val="文档正文 Char1"/>
    <w:qFormat/>
    <w:uiPriority w:val="0"/>
    <w:rPr>
      <w:rFonts w:ascii="长城仿宋" w:eastAsia="宋体"/>
      <w:sz w:val="28"/>
      <w:lang w:val="en-US" w:eastAsia="zh-CN"/>
    </w:rPr>
  </w:style>
  <w:style w:type="character" w:customStyle="1" w:styleId="105">
    <w:name w:val="style821"/>
    <w:qFormat/>
    <w:uiPriority w:val="0"/>
  </w:style>
  <w:style w:type="character" w:customStyle="1" w:styleId="106">
    <w:name w:val="副标题 Char"/>
    <w:link w:val="57"/>
    <w:qFormat/>
    <w:uiPriority w:val="0"/>
    <w:rPr>
      <w:rFonts w:ascii="Arial" w:hAnsi="Arial" w:eastAsia="Times New Roman"/>
      <w:b/>
      <w:sz w:val="28"/>
      <w:szCs w:val="24"/>
      <w:lang w:val="fr-FR"/>
    </w:rPr>
  </w:style>
  <w:style w:type="character" w:customStyle="1" w:styleId="107">
    <w:name w:val="普通文字1 Char4"/>
    <w:qFormat/>
    <w:uiPriority w:val="0"/>
    <w:rPr>
      <w:rFonts w:ascii="宋体" w:hAnsi="Courier New" w:eastAsia="宋体"/>
      <w:kern w:val="2"/>
      <w:sz w:val="24"/>
      <w:lang w:val="en-US" w:eastAsia="zh-CN" w:bidi="ar-SA"/>
    </w:rPr>
  </w:style>
  <w:style w:type="character" w:customStyle="1" w:styleId="108">
    <w:name w:val="正文文本缩进 3 Char"/>
    <w:link w:val="62"/>
    <w:qFormat/>
    <w:uiPriority w:val="0"/>
    <w:rPr>
      <w:rFonts w:ascii="仿宋_GB2312" w:eastAsia="仿宋_GB2312"/>
      <w:b/>
      <w:bCs/>
      <w:kern w:val="2"/>
      <w:sz w:val="36"/>
    </w:rPr>
  </w:style>
  <w:style w:type="character" w:customStyle="1" w:styleId="109">
    <w:name w:val="style11"/>
    <w:qFormat/>
    <w:uiPriority w:val="0"/>
    <w:rPr>
      <w:rFonts w:hint="default" w:ascii="Arial" w:hAnsi="Arial"/>
    </w:rPr>
  </w:style>
  <w:style w:type="character" w:customStyle="1" w:styleId="110">
    <w:name w:val="ft91"/>
    <w:qFormat/>
    <w:uiPriority w:val="0"/>
    <w:rPr>
      <w:sz w:val="18"/>
    </w:rPr>
  </w:style>
  <w:style w:type="character" w:customStyle="1" w:styleId="111">
    <w:name w:val="highlight1"/>
    <w:qFormat/>
    <w:uiPriority w:val="0"/>
    <w:rPr>
      <w:sz w:val="21"/>
    </w:rPr>
  </w:style>
  <w:style w:type="character" w:customStyle="1" w:styleId="112">
    <w:name w:val="li"/>
    <w:basedOn w:val="78"/>
    <w:qFormat/>
    <w:uiPriority w:val="0"/>
  </w:style>
  <w:style w:type="character" w:customStyle="1" w:styleId="113">
    <w:name w:val="注释标题 Char"/>
    <w:link w:val="17"/>
    <w:qFormat/>
    <w:uiPriority w:val="0"/>
    <w:rPr>
      <w:kern w:val="2"/>
      <w:sz w:val="24"/>
    </w:rPr>
  </w:style>
  <w:style w:type="character" w:customStyle="1" w:styleId="114">
    <w:name w:val="BIT正文 Char Char"/>
    <w:link w:val="115"/>
    <w:qFormat/>
    <w:uiPriority w:val="0"/>
    <w:rPr>
      <w:rFonts w:ascii="楷体_GB2312" w:hAnsi="宋体"/>
      <w:kern w:val="2"/>
      <w:sz w:val="24"/>
    </w:rPr>
  </w:style>
  <w:style w:type="paragraph" w:customStyle="1" w:styleId="115">
    <w:name w:val="BIT正文"/>
    <w:basedOn w:val="1"/>
    <w:link w:val="114"/>
    <w:qFormat/>
    <w:uiPriority w:val="0"/>
    <w:pPr>
      <w:spacing w:before="120" w:after="120" w:line="400" w:lineRule="exact"/>
      <w:ind w:firstLine="200" w:firstLineChars="200"/>
      <w:jc w:val="left"/>
    </w:pPr>
    <w:rPr>
      <w:rFonts w:ascii="楷体_GB2312" w:hAnsi="宋体"/>
      <w:sz w:val="24"/>
    </w:rPr>
  </w:style>
  <w:style w:type="character" w:customStyle="1" w:styleId="116">
    <w:name w:val="gray2"/>
    <w:qFormat/>
    <w:uiPriority w:val="0"/>
  </w:style>
  <w:style w:type="character" w:customStyle="1" w:styleId="117">
    <w:name w:val="普通(网站) Char"/>
    <w:link w:val="69"/>
    <w:qFormat/>
    <w:uiPriority w:val="0"/>
    <w:rPr>
      <w:rFonts w:ascii="宋体" w:hAnsi="宋体"/>
      <w:sz w:val="24"/>
      <w:szCs w:val="24"/>
    </w:rPr>
  </w:style>
  <w:style w:type="character" w:customStyle="1" w:styleId="118">
    <w:name w:val="font-12"/>
    <w:basedOn w:val="78"/>
    <w:qFormat/>
    <w:uiPriority w:val="0"/>
  </w:style>
  <w:style w:type="character" w:customStyle="1" w:styleId="119">
    <w:name w:val="批注主题 Char"/>
    <w:link w:val="73"/>
    <w:qFormat/>
    <w:uiPriority w:val="0"/>
    <w:rPr>
      <w:b/>
      <w:bCs/>
      <w:kern w:val="2"/>
      <w:sz w:val="21"/>
      <w:szCs w:val="24"/>
    </w:rPr>
  </w:style>
  <w:style w:type="character" w:customStyle="1" w:styleId="120">
    <w:name w:val="投标文件 正文首行缩进 Char Char"/>
    <w:link w:val="121"/>
    <w:qFormat/>
    <w:uiPriority w:val="0"/>
    <w:rPr>
      <w:rFonts w:ascii="Arial" w:hAnsi="Arial" w:eastAsia="宋体"/>
      <w:kern w:val="2"/>
      <w:sz w:val="21"/>
      <w:szCs w:val="24"/>
      <w:lang w:val="en-US" w:eastAsia="zh-CN" w:bidi="ar-SA"/>
    </w:rPr>
  </w:style>
  <w:style w:type="paragraph" w:customStyle="1" w:styleId="121">
    <w:name w:val="投标文件 正文首行缩进"/>
    <w:basedOn w:val="75"/>
    <w:link w:val="120"/>
    <w:qFormat/>
    <w:uiPriority w:val="0"/>
    <w:pPr>
      <w:spacing w:after="220" w:line="360" w:lineRule="auto"/>
      <w:ind w:left="0" w:leftChars="0" w:firstLine="200"/>
    </w:pPr>
    <w:rPr>
      <w:rFonts w:ascii="Arial" w:hAnsi="Arial"/>
    </w:rPr>
  </w:style>
  <w:style w:type="character" w:customStyle="1" w:styleId="122">
    <w:name w:val="font31"/>
    <w:basedOn w:val="78"/>
    <w:qFormat/>
    <w:uiPriority w:val="0"/>
    <w:rPr>
      <w:rFonts w:hint="eastAsia" w:ascii="宋体" w:hAnsi="宋体" w:eastAsia="宋体" w:cs="宋体"/>
      <w:b/>
      <w:color w:val="000000"/>
      <w:sz w:val="20"/>
      <w:szCs w:val="20"/>
      <w:u w:val="none"/>
    </w:rPr>
  </w:style>
  <w:style w:type="character" w:customStyle="1" w:styleId="123">
    <w:name w:val="结束语 Char"/>
    <w:link w:val="28"/>
    <w:qFormat/>
    <w:uiPriority w:val="0"/>
    <w:rPr>
      <w:rFonts w:ascii="宋体" w:hAnsi="宋体"/>
      <w:spacing w:val="20"/>
      <w:kern w:val="2"/>
      <w:sz w:val="24"/>
    </w:rPr>
  </w:style>
  <w:style w:type="character" w:customStyle="1" w:styleId="124">
    <w:name w:val="标题 4 Char Char Char"/>
    <w:qFormat/>
    <w:uiPriority w:val="0"/>
    <w:rPr>
      <w:rFonts w:ascii="Arial" w:hAnsi="Arial" w:eastAsia="黑体"/>
      <w:b/>
      <w:kern w:val="2"/>
      <w:sz w:val="28"/>
      <w:lang w:val="en-US" w:eastAsia="zh-CN"/>
    </w:rPr>
  </w:style>
  <w:style w:type="character" w:customStyle="1" w:styleId="125">
    <w:name w:val="正文1 Char Char"/>
    <w:qFormat/>
    <w:uiPriority w:val="0"/>
    <w:rPr>
      <w:rFonts w:ascii="宋体" w:hAnsi="宋体" w:eastAsia="宋体"/>
      <w:kern w:val="2"/>
      <w:sz w:val="24"/>
      <w:lang w:val="en-US" w:eastAsia="zh-CN" w:bidi="ar-SA"/>
    </w:rPr>
  </w:style>
  <w:style w:type="character" w:customStyle="1" w:styleId="126">
    <w:name w:val="body1"/>
    <w:qFormat/>
    <w:uiPriority w:val="0"/>
  </w:style>
  <w:style w:type="character" w:customStyle="1" w:styleId="127">
    <w:name w:val="文档结构图 Char"/>
    <w:link w:val="23"/>
    <w:qFormat/>
    <w:uiPriority w:val="0"/>
    <w:rPr>
      <w:kern w:val="2"/>
      <w:sz w:val="21"/>
      <w:shd w:val="clear" w:color="auto" w:fill="000080"/>
    </w:rPr>
  </w:style>
  <w:style w:type="character" w:customStyle="1" w:styleId="128">
    <w:name w:val="列出段落 Char"/>
    <w:link w:val="129"/>
    <w:qFormat/>
    <w:uiPriority w:val="0"/>
    <w:rPr>
      <w:kern w:val="2"/>
      <w:sz w:val="21"/>
      <w:szCs w:val="24"/>
    </w:rPr>
  </w:style>
  <w:style w:type="paragraph" w:styleId="129">
    <w:name w:val="List Paragraph"/>
    <w:basedOn w:val="1"/>
    <w:link w:val="128"/>
    <w:qFormat/>
    <w:uiPriority w:val="0"/>
    <w:pPr>
      <w:ind w:firstLine="420" w:firstLineChars="200"/>
    </w:pPr>
    <w:rPr>
      <w:szCs w:val="24"/>
    </w:rPr>
  </w:style>
  <w:style w:type="character" w:customStyle="1" w:styleId="130">
    <w:name w:val="red1"/>
    <w:qFormat/>
    <w:uiPriority w:val="0"/>
    <w:rPr>
      <w:rFonts w:hint="default" w:ascii="ˎ̥" w:hAnsi="ˎ̥"/>
      <w:color w:val="CC3300"/>
      <w:sz w:val="18"/>
      <w:u w:val="none"/>
    </w:rPr>
  </w:style>
  <w:style w:type="character" w:customStyle="1" w:styleId="131">
    <w:name w:val="正文文本缩进 2 Char"/>
    <w:qFormat/>
    <w:uiPriority w:val="0"/>
    <w:rPr>
      <w:rFonts w:ascii="宋体" w:hAnsi="宋体" w:eastAsia="宋体"/>
      <w:kern w:val="2"/>
      <w:sz w:val="21"/>
      <w:szCs w:val="32"/>
      <w:lang w:val="en-US" w:eastAsia="zh-CN" w:bidi="ar-SA"/>
    </w:rPr>
  </w:style>
  <w:style w:type="character" w:customStyle="1" w:styleId="132">
    <w:name w:val="样式 规范正文 + Arial Char"/>
    <w:qFormat/>
    <w:uiPriority w:val="0"/>
    <w:rPr>
      <w:rFonts w:ascii="Arial" w:hAnsi="Arial" w:eastAsia="宋体"/>
      <w:sz w:val="24"/>
      <w:szCs w:val="24"/>
      <w:lang w:val="en-US" w:eastAsia="zh-CN" w:bidi="ar-SA"/>
    </w:rPr>
  </w:style>
  <w:style w:type="character" w:customStyle="1" w:styleId="133">
    <w:name w:val="页眉 Char"/>
    <w:link w:val="51"/>
    <w:qFormat/>
    <w:uiPriority w:val="0"/>
    <w:rPr>
      <w:rFonts w:eastAsia="宋体"/>
      <w:kern w:val="2"/>
      <w:sz w:val="18"/>
      <w:szCs w:val="18"/>
      <w:lang w:val="en-US" w:eastAsia="zh-CN" w:bidi="ar-SA"/>
    </w:rPr>
  </w:style>
  <w:style w:type="character" w:customStyle="1" w:styleId="134">
    <w:name w:val="PIM 1 Char"/>
    <w:qFormat/>
    <w:uiPriority w:val="0"/>
    <w:rPr>
      <w:rFonts w:eastAsia="宋体"/>
      <w:b/>
      <w:bCs/>
      <w:kern w:val="44"/>
      <w:sz w:val="44"/>
      <w:szCs w:val="44"/>
      <w:lang w:val="en-US" w:eastAsia="zh-CN" w:bidi="ar-SA"/>
    </w:rPr>
  </w:style>
  <w:style w:type="character" w:customStyle="1" w:styleId="135">
    <w:name w:val="样式 样式 黑体 二号 + 小三 加粗"/>
    <w:qFormat/>
    <w:uiPriority w:val="0"/>
    <w:rPr>
      <w:rFonts w:ascii="Arial" w:hAnsi="Arial" w:eastAsia="黑体"/>
      <w:sz w:val="30"/>
    </w:rPr>
  </w:style>
  <w:style w:type="character" w:customStyle="1" w:styleId="136">
    <w:name w:val="font51"/>
    <w:basedOn w:val="78"/>
    <w:qFormat/>
    <w:uiPriority w:val="0"/>
    <w:rPr>
      <w:rFonts w:hint="eastAsia" w:ascii="宋体" w:hAnsi="宋体" w:eastAsia="宋体" w:cs="宋体"/>
      <w:color w:val="000000"/>
      <w:sz w:val="20"/>
      <w:szCs w:val="20"/>
      <w:u w:val="none"/>
    </w:rPr>
  </w:style>
  <w:style w:type="character" w:customStyle="1" w:styleId="137">
    <w:name w:val="标书正文格式 Char1"/>
    <w:link w:val="138"/>
    <w:qFormat/>
    <w:uiPriority w:val="0"/>
    <w:rPr>
      <w:kern w:val="2"/>
      <w:sz w:val="24"/>
      <w:szCs w:val="24"/>
      <w:lang w:val="en-US" w:eastAsia="zh-CN" w:bidi="ar-SA"/>
    </w:rPr>
  </w:style>
  <w:style w:type="paragraph" w:customStyle="1" w:styleId="138">
    <w:name w:val="标书正文格式"/>
    <w:link w:val="137"/>
    <w:qFormat/>
    <w:uiPriority w:val="0"/>
    <w:pPr>
      <w:ind w:firstLine="200" w:firstLineChars="200"/>
    </w:pPr>
    <w:rPr>
      <w:rFonts w:ascii="Times New Roman" w:hAnsi="Times New Roman" w:eastAsia="宋体" w:cs="Times New Roman"/>
      <w:kern w:val="2"/>
      <w:sz w:val="24"/>
      <w:szCs w:val="24"/>
      <w:lang w:val="en-US" w:eastAsia="zh-CN" w:bidi="ar-SA"/>
    </w:rPr>
  </w:style>
  <w:style w:type="character" w:customStyle="1" w:styleId="139">
    <w:name w:val="large"/>
    <w:basedOn w:val="78"/>
    <w:qFormat/>
    <w:uiPriority w:val="0"/>
  </w:style>
  <w:style w:type="character" w:customStyle="1" w:styleId="140">
    <w:name w:val="fontfzd1"/>
    <w:qFormat/>
    <w:uiPriority w:val="0"/>
    <w:rPr>
      <w:color w:val="000000"/>
      <w:sz w:val="21"/>
      <w:szCs w:val="21"/>
      <w:u w:val="none"/>
    </w:rPr>
  </w:style>
  <w:style w:type="character" w:customStyle="1" w:styleId="141">
    <w:name w:val="缩进 Char Char Char Char Char Char"/>
    <w:qFormat/>
    <w:uiPriority w:val="0"/>
    <w:rPr>
      <w:rFonts w:eastAsia="宋体"/>
      <w:kern w:val="2"/>
      <w:sz w:val="21"/>
      <w:lang w:val="en-US" w:eastAsia="zh-CN" w:bidi="ar-SA"/>
    </w:rPr>
  </w:style>
  <w:style w:type="character" w:customStyle="1" w:styleId="142">
    <w:name w:val="正文首行缩进 Char"/>
    <w:link w:val="74"/>
    <w:qFormat/>
    <w:uiPriority w:val="0"/>
    <w:rPr>
      <w:rFonts w:eastAsia="宋体"/>
      <w:kern w:val="2"/>
      <w:sz w:val="21"/>
      <w:szCs w:val="24"/>
      <w:lang w:val="en-US" w:eastAsia="zh-CN" w:bidi="ar-SA"/>
    </w:rPr>
  </w:style>
  <w:style w:type="character" w:customStyle="1" w:styleId="143">
    <w:name w:val="Char Char33"/>
    <w:qFormat/>
    <w:uiPriority w:val="0"/>
    <w:rPr>
      <w:rFonts w:eastAsia="宋体"/>
      <w:b/>
      <w:bCs/>
      <w:kern w:val="44"/>
      <w:sz w:val="44"/>
      <w:szCs w:val="44"/>
      <w:lang w:val="en-US" w:eastAsia="zh-CN" w:bidi="ar-SA"/>
    </w:rPr>
  </w:style>
  <w:style w:type="character" w:customStyle="1" w:styleId="144">
    <w:name w:val="style811"/>
    <w:qFormat/>
    <w:uiPriority w:val="0"/>
    <w:rPr>
      <w:sz w:val="20"/>
      <w:szCs w:val="20"/>
    </w:rPr>
  </w:style>
  <w:style w:type="character" w:customStyle="1" w:styleId="145">
    <w:name w:val="中文正文 Char Char Char Char Char Char Char Char"/>
    <w:link w:val="146"/>
    <w:qFormat/>
    <w:uiPriority w:val="0"/>
    <w:rPr>
      <w:rFonts w:ascii="仿宋_GB2312" w:eastAsia="仿宋_GB2312"/>
      <w:kern w:val="2"/>
      <w:sz w:val="26"/>
      <w:szCs w:val="24"/>
      <w:lang w:val="en-US" w:eastAsia="zh-CN" w:bidi="ar-SA"/>
    </w:rPr>
  </w:style>
  <w:style w:type="paragraph" w:customStyle="1" w:styleId="146">
    <w:name w:val="中文正文 Char Char Char Char Char Char"/>
    <w:link w:val="145"/>
    <w:qFormat/>
    <w:uiPriority w:val="0"/>
    <w:pPr>
      <w:adjustRightInd w:val="0"/>
      <w:spacing w:before="60" w:after="60" w:line="360" w:lineRule="auto"/>
      <w:ind w:firstLine="540" w:firstLineChars="225"/>
      <w:textAlignment w:val="baseline"/>
    </w:pPr>
    <w:rPr>
      <w:rFonts w:ascii="仿宋_GB2312" w:hAnsi="Times New Roman" w:eastAsia="仿宋_GB2312" w:cs="Times New Roman"/>
      <w:kern w:val="2"/>
      <w:sz w:val="26"/>
      <w:szCs w:val="24"/>
      <w:lang w:val="en-US" w:eastAsia="zh-CN" w:bidi="ar-SA"/>
    </w:rPr>
  </w:style>
  <w:style w:type="character" w:customStyle="1" w:styleId="147">
    <w:name w:val="标题 9 Char"/>
    <w:link w:val="12"/>
    <w:qFormat/>
    <w:uiPriority w:val="0"/>
    <w:rPr>
      <w:rFonts w:ascii="Arial" w:hAnsi="Arial" w:eastAsia="黑体"/>
      <w:kern w:val="2"/>
      <w:sz w:val="21"/>
    </w:rPr>
  </w:style>
  <w:style w:type="character" w:customStyle="1" w:styleId="148">
    <w:name w:val="题注 Char"/>
    <w:link w:val="20"/>
    <w:qFormat/>
    <w:uiPriority w:val="0"/>
    <w:rPr>
      <w:rFonts w:ascii="Arial" w:hAnsi="Arial" w:eastAsia="黑体" w:cs="Arial"/>
      <w:kern w:val="2"/>
    </w:rPr>
  </w:style>
  <w:style w:type="character" w:customStyle="1" w:styleId="149">
    <w:name w:val="表格文字 Char Char"/>
    <w:link w:val="150"/>
    <w:qFormat/>
    <w:uiPriority w:val="0"/>
    <w:rPr>
      <w:rFonts w:eastAsia="宋体"/>
      <w:kern w:val="2"/>
      <w:sz w:val="18"/>
      <w:szCs w:val="24"/>
      <w:lang w:val="en-US" w:eastAsia="zh-CN" w:bidi="ar-SA"/>
    </w:rPr>
  </w:style>
  <w:style w:type="paragraph" w:customStyle="1" w:styleId="150">
    <w:name w:val="表格文字"/>
    <w:basedOn w:val="1"/>
    <w:link w:val="149"/>
    <w:qFormat/>
    <w:uiPriority w:val="0"/>
    <w:pPr>
      <w:jc w:val="left"/>
    </w:pPr>
    <w:rPr>
      <w:sz w:val="18"/>
      <w:szCs w:val="24"/>
    </w:rPr>
  </w:style>
  <w:style w:type="character" w:customStyle="1" w:styleId="151">
    <w:name w:val="称呼 Char"/>
    <w:link w:val="26"/>
    <w:qFormat/>
    <w:uiPriority w:val="0"/>
    <w:rPr>
      <w:rFonts w:ascii="Arial" w:hAnsi="Arial"/>
      <w:kern w:val="2"/>
      <w:sz w:val="24"/>
      <w:szCs w:val="24"/>
    </w:rPr>
  </w:style>
  <w:style w:type="character" w:customStyle="1" w:styleId="152">
    <w:name w:val="hfont1"/>
    <w:qFormat/>
    <w:uiPriority w:val="0"/>
    <w:rPr>
      <w:spacing w:val="31680"/>
      <w:sz w:val="24"/>
    </w:rPr>
  </w:style>
  <w:style w:type="character" w:customStyle="1" w:styleId="153">
    <w:name w:val="页脚 Char"/>
    <w:link w:val="49"/>
    <w:qFormat/>
    <w:uiPriority w:val="0"/>
    <w:rPr>
      <w:rFonts w:eastAsia="宋体"/>
      <w:kern w:val="2"/>
      <w:sz w:val="18"/>
      <w:szCs w:val="18"/>
      <w:lang w:val="en-US" w:eastAsia="zh-CN" w:bidi="ar-SA"/>
    </w:rPr>
  </w:style>
  <w:style w:type="character" w:customStyle="1" w:styleId="154">
    <w:name w:val="南通方案正文 Char Char"/>
    <w:link w:val="155"/>
    <w:qFormat/>
    <w:uiPriority w:val="0"/>
    <w:rPr>
      <w:kern w:val="2"/>
      <w:sz w:val="24"/>
    </w:rPr>
  </w:style>
  <w:style w:type="paragraph" w:customStyle="1" w:styleId="155">
    <w:name w:val="南通方案正文"/>
    <w:basedOn w:val="1"/>
    <w:link w:val="154"/>
    <w:qFormat/>
    <w:uiPriority w:val="0"/>
    <w:pPr>
      <w:spacing w:line="360" w:lineRule="auto"/>
      <w:ind w:firstLine="480" w:firstLineChars="200"/>
    </w:pPr>
    <w:rPr>
      <w:sz w:val="24"/>
    </w:rPr>
  </w:style>
  <w:style w:type="character" w:customStyle="1" w:styleId="156">
    <w:name w:val="11-正文 Char Char"/>
    <w:link w:val="157"/>
    <w:qFormat/>
    <w:uiPriority w:val="0"/>
    <w:rPr>
      <w:rFonts w:eastAsia="宋体" w:cs="宋体"/>
      <w:kern w:val="2"/>
      <w:sz w:val="21"/>
      <w:lang w:val="en-US" w:eastAsia="zh-CN" w:bidi="ar-SA"/>
    </w:rPr>
  </w:style>
  <w:style w:type="paragraph" w:customStyle="1" w:styleId="157">
    <w:name w:val="11-正文"/>
    <w:basedOn w:val="1"/>
    <w:link w:val="156"/>
    <w:qFormat/>
    <w:uiPriority w:val="0"/>
    <w:pPr>
      <w:spacing w:beforeLines="50" w:line="360" w:lineRule="auto"/>
      <w:ind w:firstLine="420" w:firstLineChars="200"/>
    </w:pPr>
    <w:rPr>
      <w:rFonts w:cs="宋体"/>
    </w:rPr>
  </w:style>
  <w:style w:type="character" w:customStyle="1" w:styleId="158">
    <w:name w:val="批注框文本 Char"/>
    <w:link w:val="48"/>
    <w:qFormat/>
    <w:uiPriority w:val="0"/>
    <w:rPr>
      <w:kern w:val="2"/>
      <w:sz w:val="18"/>
      <w:szCs w:val="18"/>
    </w:rPr>
  </w:style>
  <w:style w:type="character" w:customStyle="1" w:styleId="159">
    <w:name w:val="font-121"/>
    <w:qFormat/>
    <w:uiPriority w:val="0"/>
    <w:rPr>
      <w:color w:val="666666"/>
      <w:sz w:val="24"/>
      <w:u w:val="none"/>
    </w:rPr>
  </w:style>
  <w:style w:type="character" w:customStyle="1" w:styleId="160">
    <w:name w:val="point_normal1"/>
    <w:qFormat/>
    <w:uiPriority w:val="0"/>
    <w:rPr>
      <w:rFonts w:hint="default" w:ascii="Arial" w:hAnsi="Arial"/>
      <w:sz w:val="18"/>
    </w:rPr>
  </w:style>
  <w:style w:type="character" w:customStyle="1" w:styleId="161">
    <w:name w:val="内容文本 Char Char"/>
    <w:link w:val="162"/>
    <w:qFormat/>
    <w:uiPriority w:val="0"/>
    <w:rPr>
      <w:rFonts w:ascii="宋体" w:hAnsi="宋体"/>
      <w:sz w:val="24"/>
      <w:szCs w:val="24"/>
      <w:lang w:eastAsia="en-US" w:bidi="en-US"/>
    </w:rPr>
  </w:style>
  <w:style w:type="paragraph" w:customStyle="1" w:styleId="162">
    <w:name w:val="内容文本"/>
    <w:basedOn w:val="129"/>
    <w:link w:val="161"/>
    <w:qFormat/>
    <w:uiPriority w:val="0"/>
    <w:pPr>
      <w:spacing w:line="360" w:lineRule="auto"/>
      <w:ind w:firstLine="200"/>
      <w:contextualSpacing/>
      <w:jc w:val="left"/>
    </w:pPr>
    <w:rPr>
      <w:rFonts w:ascii="宋体" w:hAnsi="宋体"/>
      <w:kern w:val="0"/>
      <w:sz w:val="24"/>
      <w:lang w:eastAsia="en-US" w:bidi="en-US"/>
    </w:rPr>
  </w:style>
  <w:style w:type="character" w:customStyle="1" w:styleId="163">
    <w:name w:val="●一级符号home Char Char"/>
    <w:link w:val="164"/>
    <w:qFormat/>
    <w:uiPriority w:val="0"/>
    <w:rPr>
      <w:rFonts w:ascii="Verdana" w:hAnsi="Verdana"/>
      <w:sz w:val="24"/>
      <w:szCs w:val="21"/>
      <w:lang w:val="zh-CN"/>
    </w:rPr>
  </w:style>
  <w:style w:type="paragraph" w:customStyle="1" w:styleId="164">
    <w:name w:val="●一级符号home"/>
    <w:basedOn w:val="165"/>
    <w:link w:val="163"/>
    <w:qFormat/>
    <w:uiPriority w:val="0"/>
    <w:pPr>
      <w:tabs>
        <w:tab w:val="left" w:pos="901"/>
        <w:tab w:val="left" w:pos="964"/>
      </w:tabs>
      <w:adjustRightInd w:val="0"/>
      <w:ind w:left="964" w:hanging="482" w:firstLineChars="0"/>
    </w:pPr>
    <w:rPr>
      <w:kern w:val="0"/>
      <w:szCs w:val="21"/>
      <w:lang w:val="zh-CN"/>
    </w:rPr>
  </w:style>
  <w:style w:type="paragraph" w:customStyle="1" w:styleId="165">
    <w:name w:val="正文首缩两字"/>
    <w:basedOn w:val="1"/>
    <w:link w:val="185"/>
    <w:qFormat/>
    <w:uiPriority w:val="0"/>
    <w:pPr>
      <w:spacing w:line="360" w:lineRule="auto"/>
      <w:ind w:firstLine="200" w:firstLineChars="200"/>
    </w:pPr>
    <w:rPr>
      <w:rFonts w:ascii="Verdana" w:hAnsi="Verdana"/>
      <w:sz w:val="24"/>
      <w:szCs w:val="24"/>
    </w:rPr>
  </w:style>
  <w:style w:type="character" w:customStyle="1" w:styleId="166">
    <w:name w:val="文档正文 Char Char"/>
    <w:link w:val="167"/>
    <w:qFormat/>
    <w:uiPriority w:val="0"/>
    <w:rPr>
      <w:rFonts w:eastAsia="楷体_GB2312"/>
      <w:sz w:val="28"/>
    </w:rPr>
  </w:style>
  <w:style w:type="paragraph" w:customStyle="1" w:styleId="167">
    <w:name w:val="文档正文"/>
    <w:basedOn w:val="1"/>
    <w:link w:val="166"/>
    <w:qFormat/>
    <w:uiPriority w:val="0"/>
    <w:pPr>
      <w:adjustRightInd w:val="0"/>
      <w:spacing w:line="480" w:lineRule="atLeast"/>
      <w:ind w:firstLine="567"/>
      <w:textAlignment w:val="baseline"/>
    </w:pPr>
    <w:rPr>
      <w:rFonts w:eastAsia="楷体_GB2312"/>
      <w:kern w:val="0"/>
      <w:sz w:val="28"/>
    </w:rPr>
  </w:style>
  <w:style w:type="character" w:customStyle="1" w:styleId="168">
    <w:name w:val="文字 Char Char Char Char Char"/>
    <w:link w:val="169"/>
    <w:qFormat/>
    <w:uiPriority w:val="0"/>
    <w:rPr>
      <w:rFonts w:ascii="宋体" w:eastAsia="宋体"/>
      <w:kern w:val="2"/>
      <w:sz w:val="28"/>
      <w:lang w:val="en-US" w:eastAsia="zh-CN" w:bidi="ar-SA"/>
    </w:rPr>
  </w:style>
  <w:style w:type="paragraph" w:customStyle="1" w:styleId="169">
    <w:name w:val="文字 Char Char Char"/>
    <w:basedOn w:val="1"/>
    <w:link w:val="168"/>
    <w:qFormat/>
    <w:uiPriority w:val="0"/>
    <w:pPr>
      <w:tabs>
        <w:tab w:val="left" w:pos="8520"/>
      </w:tabs>
      <w:spacing w:line="312" w:lineRule="auto"/>
      <w:ind w:right="-210" w:firstLine="556"/>
    </w:pPr>
    <w:rPr>
      <w:rFonts w:ascii="宋体"/>
      <w:sz w:val="28"/>
    </w:rPr>
  </w:style>
  <w:style w:type="character" w:customStyle="1" w:styleId="170">
    <w:name w:val="font21"/>
    <w:basedOn w:val="78"/>
    <w:qFormat/>
    <w:uiPriority w:val="0"/>
    <w:rPr>
      <w:rFonts w:hint="eastAsia" w:ascii="宋体" w:hAnsi="宋体" w:eastAsia="宋体" w:cs="宋体"/>
      <w:b/>
      <w:color w:val="000000"/>
      <w:sz w:val="20"/>
      <w:szCs w:val="20"/>
      <w:u w:val="none"/>
    </w:rPr>
  </w:style>
  <w:style w:type="character" w:customStyle="1" w:styleId="171">
    <w:name w:val="myp111"/>
    <w:basedOn w:val="78"/>
    <w:qFormat/>
    <w:uiPriority w:val="0"/>
  </w:style>
  <w:style w:type="character" w:customStyle="1" w:styleId="172">
    <w:name w:val="Table Text Char1"/>
    <w:link w:val="173"/>
    <w:qFormat/>
    <w:uiPriority w:val="0"/>
    <w:rPr>
      <w:rFonts w:ascii="Arial" w:hAnsi="Arial"/>
      <w:sz w:val="18"/>
      <w:lang w:val="en-US" w:eastAsia="zh-CN" w:bidi="ar-SA"/>
    </w:rPr>
  </w:style>
  <w:style w:type="paragraph" w:customStyle="1" w:styleId="173">
    <w:name w:val="Table Text"/>
    <w:link w:val="172"/>
    <w:qFormat/>
    <w:uiPriority w:val="0"/>
    <w:pPr>
      <w:snapToGrid w:val="0"/>
      <w:spacing w:before="80" w:after="80"/>
    </w:pPr>
    <w:rPr>
      <w:rFonts w:ascii="Arial" w:hAnsi="Arial" w:eastAsia="宋体" w:cs="Times New Roman"/>
      <w:sz w:val="18"/>
      <w:lang w:val="en-US" w:eastAsia="zh-CN" w:bidi="ar-SA"/>
    </w:rPr>
  </w:style>
  <w:style w:type="character" w:customStyle="1" w:styleId="174">
    <w:name w:val="style5"/>
    <w:basedOn w:val="78"/>
    <w:qFormat/>
    <w:uiPriority w:val="0"/>
  </w:style>
  <w:style w:type="character" w:customStyle="1" w:styleId="175">
    <w:name w:val="样式 宋体 小四"/>
    <w:qFormat/>
    <w:uiPriority w:val="0"/>
    <w:rPr>
      <w:rFonts w:ascii="宋体" w:hAnsi="宋体"/>
      <w:sz w:val="24"/>
    </w:rPr>
  </w:style>
  <w:style w:type="character" w:customStyle="1" w:styleId="176">
    <w:name w:val="正文文本 3 Char"/>
    <w:link w:val="27"/>
    <w:qFormat/>
    <w:uiPriority w:val="0"/>
    <w:rPr>
      <w:kern w:val="2"/>
      <w:sz w:val="16"/>
      <w:szCs w:val="16"/>
    </w:rPr>
  </w:style>
  <w:style w:type="character" w:customStyle="1" w:styleId="177">
    <w:name w:val="正文文本缩进 2 Char1"/>
    <w:link w:val="46"/>
    <w:qFormat/>
    <w:uiPriority w:val="0"/>
    <w:rPr>
      <w:rFonts w:ascii="宋体" w:hAnsi="宋体"/>
      <w:kern w:val="2"/>
      <w:sz w:val="21"/>
      <w:szCs w:val="32"/>
    </w:rPr>
  </w:style>
  <w:style w:type="character" w:customStyle="1" w:styleId="178">
    <w:name w:val="dt"/>
    <w:qFormat/>
    <w:uiPriority w:val="0"/>
  </w:style>
  <w:style w:type="character" w:customStyle="1" w:styleId="179">
    <w:name w:val="正文缩进 Char"/>
    <w:link w:val="10"/>
    <w:qFormat/>
    <w:uiPriority w:val="0"/>
    <w:rPr>
      <w:rFonts w:eastAsia="宋体"/>
      <w:kern w:val="2"/>
      <w:sz w:val="24"/>
      <w:lang w:val="en-US" w:eastAsia="zh-CN" w:bidi="ar-SA"/>
    </w:rPr>
  </w:style>
  <w:style w:type="character" w:customStyle="1" w:styleId="180">
    <w:name w:val="content2"/>
    <w:qFormat/>
    <w:uiPriority w:val="0"/>
    <w:rPr>
      <w:rFonts w:hint="eastAsia" w:ascii="宋体" w:hAnsi="宋体" w:eastAsia="宋体"/>
      <w:sz w:val="22"/>
    </w:rPr>
  </w:style>
  <w:style w:type="character" w:customStyle="1" w:styleId="181">
    <w:name w:val="blanktext"/>
    <w:qFormat/>
    <w:uiPriority w:val="0"/>
  </w:style>
  <w:style w:type="character" w:customStyle="1" w:styleId="182">
    <w:name w:val="Char Char4"/>
    <w:qFormat/>
    <w:uiPriority w:val="0"/>
    <w:rPr>
      <w:rFonts w:ascii="Arial" w:hAnsi="Arial" w:eastAsia="黑体"/>
      <w:b/>
      <w:kern w:val="2"/>
      <w:sz w:val="32"/>
      <w:lang w:val="en-US" w:eastAsia="zh-CN"/>
    </w:rPr>
  </w:style>
  <w:style w:type="character" w:customStyle="1" w:styleId="183">
    <w:name w:val="style31"/>
    <w:qFormat/>
    <w:uiPriority w:val="0"/>
    <w:rPr>
      <w:rFonts w:hint="eastAsia" w:ascii="宋体" w:hAnsi="宋体" w:eastAsia="宋体"/>
      <w:sz w:val="18"/>
    </w:rPr>
  </w:style>
  <w:style w:type="character" w:customStyle="1" w:styleId="184">
    <w:name w:val="text9_hi1"/>
    <w:qFormat/>
    <w:uiPriority w:val="0"/>
    <w:rPr>
      <w:sz w:val="18"/>
    </w:rPr>
  </w:style>
  <w:style w:type="character" w:customStyle="1" w:styleId="185">
    <w:name w:val="正文首缩两字 Char Char"/>
    <w:link w:val="165"/>
    <w:qFormat/>
    <w:uiPriority w:val="0"/>
    <w:rPr>
      <w:rFonts w:ascii="Verdana" w:hAnsi="Verdana" w:eastAsia="宋体"/>
      <w:kern w:val="2"/>
      <w:sz w:val="24"/>
      <w:szCs w:val="24"/>
      <w:lang w:val="en-US" w:eastAsia="zh-CN" w:bidi="ar-SA"/>
    </w:rPr>
  </w:style>
  <w:style w:type="character" w:customStyle="1" w:styleId="186">
    <w:name w:val="◆ 二级符号end Char Char"/>
    <w:link w:val="187"/>
    <w:qFormat/>
    <w:uiPriority w:val="0"/>
    <w:rPr>
      <w:rFonts w:ascii="Verdana" w:hAnsi="Verdana"/>
      <w:color w:val="FF0000"/>
      <w:kern w:val="2"/>
      <w:sz w:val="24"/>
      <w:szCs w:val="24"/>
    </w:rPr>
  </w:style>
  <w:style w:type="paragraph" w:customStyle="1" w:styleId="187">
    <w:name w:val="◆ 二级符号end"/>
    <w:basedOn w:val="1"/>
    <w:link w:val="186"/>
    <w:qFormat/>
    <w:uiPriority w:val="0"/>
    <w:pPr>
      <w:spacing w:line="360" w:lineRule="auto"/>
    </w:pPr>
    <w:rPr>
      <w:rFonts w:ascii="Verdana" w:hAnsi="Verdana"/>
      <w:color w:val="FF0000"/>
      <w:sz w:val="24"/>
      <w:szCs w:val="24"/>
    </w:rPr>
  </w:style>
  <w:style w:type="character" w:customStyle="1" w:styleId="188">
    <w:name w:val="param_td12"/>
    <w:qFormat/>
    <w:uiPriority w:val="0"/>
  </w:style>
  <w:style w:type="character" w:customStyle="1" w:styleId="189">
    <w:name w:val="常规 Char Char"/>
    <w:link w:val="190"/>
    <w:qFormat/>
    <w:uiPriority w:val="0"/>
    <w:rPr>
      <w:kern w:val="2"/>
      <w:sz w:val="21"/>
      <w:szCs w:val="21"/>
    </w:rPr>
  </w:style>
  <w:style w:type="paragraph" w:customStyle="1" w:styleId="190">
    <w:name w:val="常规"/>
    <w:basedOn w:val="1"/>
    <w:link w:val="189"/>
    <w:qFormat/>
    <w:uiPriority w:val="0"/>
    <w:pPr>
      <w:spacing w:beforeLines="100" w:afterLines="100"/>
      <w:ind w:left="1134"/>
    </w:pPr>
    <w:rPr>
      <w:szCs w:val="21"/>
    </w:rPr>
  </w:style>
  <w:style w:type="character" w:customStyle="1" w:styleId="191">
    <w:name w:val="1.1 Char Char"/>
    <w:link w:val="192"/>
    <w:qFormat/>
    <w:uiPriority w:val="0"/>
    <w:rPr>
      <w:b/>
      <w:kern w:val="2"/>
      <w:sz w:val="28"/>
      <w:lang w:eastAsia="en-US"/>
    </w:rPr>
  </w:style>
  <w:style w:type="paragraph" w:customStyle="1" w:styleId="192">
    <w:name w:val="1.1"/>
    <w:basedOn w:val="4"/>
    <w:link w:val="191"/>
    <w:qFormat/>
    <w:uiPriority w:val="0"/>
    <w:pPr>
      <w:widowControl/>
      <w:spacing w:line="240" w:lineRule="atLeast"/>
      <w:jc w:val="left"/>
    </w:pPr>
    <w:rPr>
      <w:rFonts w:ascii="Times New Roman" w:hAnsi="Times New Roman" w:eastAsia="宋体"/>
      <w:bCs w:val="0"/>
      <w:sz w:val="28"/>
      <w:szCs w:val="20"/>
      <w:lang w:eastAsia="en-US"/>
    </w:rPr>
  </w:style>
  <w:style w:type="character" w:customStyle="1" w:styleId="193">
    <w:name w:val="fo Char"/>
    <w:qFormat/>
    <w:uiPriority w:val="0"/>
    <w:rPr>
      <w:rFonts w:eastAsia="宋体"/>
      <w:kern w:val="2"/>
      <w:sz w:val="18"/>
      <w:szCs w:val="18"/>
      <w:lang w:val="en-US" w:eastAsia="zh-CN" w:bidi="ar-SA"/>
    </w:rPr>
  </w:style>
  <w:style w:type="character" w:customStyle="1" w:styleId="194">
    <w:name w:val="HTML Markup"/>
    <w:qFormat/>
    <w:uiPriority w:val="0"/>
    <w:rPr>
      <w:vanish/>
      <w:color w:val="FF0000"/>
    </w:rPr>
  </w:style>
  <w:style w:type="character" w:customStyle="1" w:styleId="195">
    <w:name w:val="sun icon texticon"/>
    <w:qFormat/>
    <w:uiPriority w:val="0"/>
  </w:style>
  <w:style w:type="character" w:customStyle="1" w:styleId="196">
    <w:name w:val="中铁-正文 Char Char"/>
    <w:link w:val="197"/>
    <w:qFormat/>
    <w:uiPriority w:val="0"/>
    <w:rPr>
      <w:rFonts w:ascii="Calibri" w:hAnsi="Calibri" w:eastAsia="华文中宋"/>
      <w:kern w:val="2"/>
      <w:sz w:val="24"/>
      <w:szCs w:val="21"/>
    </w:rPr>
  </w:style>
  <w:style w:type="paragraph" w:customStyle="1" w:styleId="197">
    <w:name w:val="中铁-正文"/>
    <w:basedOn w:val="1"/>
    <w:link w:val="196"/>
    <w:qFormat/>
    <w:uiPriority w:val="0"/>
    <w:pPr>
      <w:ind w:firstLine="200" w:firstLineChars="200"/>
    </w:pPr>
    <w:rPr>
      <w:rFonts w:ascii="Calibri" w:hAnsi="Calibri" w:eastAsia="华文中宋"/>
      <w:sz w:val="24"/>
      <w:szCs w:val="21"/>
    </w:rPr>
  </w:style>
  <w:style w:type="character" w:customStyle="1" w:styleId="198">
    <w:name w:val="style51"/>
    <w:qFormat/>
    <w:uiPriority w:val="0"/>
    <w:rPr>
      <w:sz w:val="12"/>
    </w:rPr>
  </w:style>
  <w:style w:type="character" w:customStyle="1" w:styleId="199">
    <w:name w:val="标题 3 Char"/>
    <w:link w:val="5"/>
    <w:qFormat/>
    <w:uiPriority w:val="0"/>
    <w:rPr>
      <w:rFonts w:eastAsia="宋体"/>
      <w:b/>
      <w:bCs/>
      <w:kern w:val="2"/>
      <w:sz w:val="32"/>
      <w:szCs w:val="32"/>
      <w:lang w:val="en-US" w:eastAsia="zh-CN" w:bidi="ar-SA"/>
    </w:rPr>
  </w:style>
  <w:style w:type="character" w:customStyle="1" w:styleId="200">
    <w:name w:val="t41"/>
    <w:qFormat/>
    <w:uiPriority w:val="0"/>
    <w:rPr>
      <w:sz w:val="21"/>
    </w:rPr>
  </w:style>
  <w:style w:type="character" w:customStyle="1" w:styleId="201">
    <w:name w:val="首行缩进2字符 Char Char"/>
    <w:link w:val="202"/>
    <w:qFormat/>
    <w:uiPriority w:val="0"/>
    <w:rPr>
      <w:snapToGrid/>
      <w:sz w:val="21"/>
    </w:rPr>
  </w:style>
  <w:style w:type="paragraph" w:customStyle="1" w:styleId="202">
    <w:name w:val="首行缩进2字符"/>
    <w:basedOn w:val="1"/>
    <w:link w:val="201"/>
    <w:qFormat/>
    <w:uiPriority w:val="0"/>
    <w:pPr>
      <w:autoSpaceDE w:val="0"/>
      <w:autoSpaceDN w:val="0"/>
      <w:adjustRightInd w:val="0"/>
      <w:spacing w:line="360" w:lineRule="auto"/>
      <w:ind w:firstLine="420" w:firstLineChars="200"/>
      <w:jc w:val="left"/>
    </w:pPr>
    <w:rPr>
      <w:kern w:val="0"/>
    </w:rPr>
  </w:style>
  <w:style w:type="character" w:customStyle="1" w:styleId="203">
    <w:name w:val="子系统 Char"/>
    <w:qFormat/>
    <w:uiPriority w:val="0"/>
    <w:rPr>
      <w:rFonts w:eastAsia="宋体"/>
      <w:b/>
      <w:bCs/>
      <w:kern w:val="2"/>
      <w:sz w:val="32"/>
      <w:szCs w:val="32"/>
      <w:lang w:val="en-US" w:eastAsia="zh-CN" w:bidi="ar-SA"/>
    </w:rPr>
  </w:style>
  <w:style w:type="character" w:customStyle="1" w:styleId="204">
    <w:name w:val="方案正文 Char Char"/>
    <w:link w:val="205"/>
    <w:qFormat/>
    <w:uiPriority w:val="0"/>
    <w:rPr>
      <w:rFonts w:eastAsia="宋体"/>
      <w:kern w:val="2"/>
      <w:sz w:val="24"/>
      <w:szCs w:val="24"/>
      <w:lang w:val="en-US" w:eastAsia="zh-CN" w:bidi="ar-SA"/>
    </w:rPr>
  </w:style>
  <w:style w:type="paragraph" w:customStyle="1" w:styleId="205">
    <w:name w:val="方案正文"/>
    <w:basedOn w:val="1"/>
    <w:link w:val="204"/>
    <w:qFormat/>
    <w:uiPriority w:val="0"/>
    <w:pPr>
      <w:spacing w:line="360" w:lineRule="auto"/>
    </w:pPr>
    <w:rPr>
      <w:sz w:val="24"/>
      <w:szCs w:val="24"/>
    </w:rPr>
  </w:style>
  <w:style w:type="character" w:customStyle="1" w:styleId="206">
    <w:name w:val="脚注文本 Char"/>
    <w:link w:val="60"/>
    <w:qFormat/>
    <w:uiPriority w:val="0"/>
    <w:rPr>
      <w:kern w:val="2"/>
      <w:sz w:val="18"/>
    </w:rPr>
  </w:style>
  <w:style w:type="character" w:customStyle="1" w:styleId="207">
    <w:name w:val="投标文件 表格正文 Char Char"/>
    <w:link w:val="208"/>
    <w:qFormat/>
    <w:uiPriority w:val="0"/>
    <w:rPr>
      <w:rFonts w:ascii="Arial" w:hAnsi="Arial" w:eastAsia="宋体"/>
      <w:kern w:val="2"/>
      <w:sz w:val="21"/>
      <w:szCs w:val="24"/>
      <w:lang w:val="en-US" w:eastAsia="zh-CN" w:bidi="ar-SA"/>
    </w:rPr>
  </w:style>
  <w:style w:type="paragraph" w:customStyle="1" w:styleId="208">
    <w:name w:val="投标文件 表格正文"/>
    <w:basedOn w:val="1"/>
    <w:link w:val="207"/>
    <w:qFormat/>
    <w:uiPriority w:val="0"/>
    <w:pPr>
      <w:spacing w:line="360" w:lineRule="auto"/>
      <w:jc w:val="left"/>
    </w:pPr>
    <w:rPr>
      <w:rFonts w:ascii="Arial" w:hAnsi="Arial"/>
      <w:szCs w:val="24"/>
    </w:rPr>
  </w:style>
  <w:style w:type="character" w:customStyle="1" w:styleId="209">
    <w:name w:val="HTML 预设格式 Char"/>
    <w:link w:val="68"/>
    <w:qFormat/>
    <w:uiPriority w:val="0"/>
    <w:rPr>
      <w:rFonts w:ascii="黑体" w:hAnsi="Courier New" w:eastAsia="黑体"/>
    </w:rPr>
  </w:style>
  <w:style w:type="character" w:customStyle="1" w:styleId="210">
    <w:name w:val="textcontents"/>
    <w:qFormat/>
    <w:uiPriority w:val="0"/>
    <w:rPr>
      <w:rFonts w:ascii="宋体" w:hAnsi="宋体" w:eastAsia="宋体"/>
      <w:b/>
      <w:kern w:val="2"/>
      <w:sz w:val="24"/>
      <w:lang w:val="en-US" w:eastAsia="zh-CN"/>
    </w:rPr>
  </w:style>
  <w:style w:type="character" w:customStyle="1" w:styleId="211">
    <w:name w:val="标题 4 Char"/>
    <w:link w:val="6"/>
    <w:qFormat/>
    <w:uiPriority w:val="0"/>
    <w:rPr>
      <w:rFonts w:ascii="Verdana" w:hAnsi="Verdana" w:eastAsia="宋体"/>
      <w:color w:val="000000"/>
      <w:sz w:val="24"/>
      <w:szCs w:val="24"/>
      <w:lang w:val="en-US" w:eastAsia="zh-CN" w:bidi="ar-SA"/>
    </w:rPr>
  </w:style>
  <w:style w:type="character" w:customStyle="1" w:styleId="212">
    <w:name w:val="标题 1 Char"/>
    <w:link w:val="3"/>
    <w:qFormat/>
    <w:uiPriority w:val="0"/>
    <w:rPr>
      <w:b/>
      <w:bCs/>
      <w:kern w:val="44"/>
      <w:sz w:val="44"/>
      <w:szCs w:val="44"/>
    </w:rPr>
  </w:style>
  <w:style w:type="character" w:customStyle="1" w:styleId="213">
    <w:name w:val="中文正文 Char Char Char Char Char Char Char Char Char"/>
    <w:link w:val="214"/>
    <w:qFormat/>
    <w:uiPriority w:val="0"/>
    <w:rPr>
      <w:rFonts w:ascii="仿宋_GB2312" w:eastAsia="仿宋_GB2312"/>
      <w:kern w:val="2"/>
      <w:sz w:val="26"/>
      <w:szCs w:val="24"/>
      <w:lang w:val="en-US" w:eastAsia="zh-CN" w:bidi="ar-SA"/>
    </w:rPr>
  </w:style>
  <w:style w:type="paragraph" w:customStyle="1" w:styleId="214">
    <w:name w:val="中文正文 Char Char Char Char"/>
    <w:link w:val="213"/>
    <w:qFormat/>
    <w:uiPriority w:val="0"/>
    <w:pPr>
      <w:adjustRightInd w:val="0"/>
      <w:spacing w:before="60" w:after="60" w:line="360" w:lineRule="auto"/>
      <w:ind w:firstLine="540" w:firstLineChars="225"/>
      <w:textAlignment w:val="baseline"/>
    </w:pPr>
    <w:rPr>
      <w:rFonts w:ascii="仿宋_GB2312" w:hAnsi="Times New Roman" w:eastAsia="仿宋_GB2312" w:cs="Times New Roman"/>
      <w:kern w:val="2"/>
      <w:sz w:val="26"/>
      <w:szCs w:val="24"/>
      <w:lang w:val="en-US" w:eastAsia="zh-CN" w:bidi="ar-SA"/>
    </w:rPr>
  </w:style>
  <w:style w:type="character" w:customStyle="1" w:styleId="215">
    <w:name w:val="R定义正文 Char Char"/>
    <w:link w:val="216"/>
    <w:qFormat/>
    <w:uiPriority w:val="0"/>
    <w:rPr>
      <w:rFonts w:eastAsia="宋体"/>
      <w:sz w:val="24"/>
      <w:lang w:val="en-US" w:eastAsia="zh-CN" w:bidi="ar-SA"/>
    </w:rPr>
  </w:style>
  <w:style w:type="paragraph" w:customStyle="1" w:styleId="216">
    <w:name w:val="R定义正文"/>
    <w:basedOn w:val="1"/>
    <w:link w:val="215"/>
    <w:qFormat/>
    <w:uiPriority w:val="0"/>
    <w:pPr>
      <w:widowControl/>
      <w:spacing w:before="120" w:after="120"/>
      <w:ind w:left="893" w:hanging="691"/>
    </w:pPr>
    <w:rPr>
      <w:kern w:val="0"/>
      <w:sz w:val="24"/>
    </w:rPr>
  </w:style>
  <w:style w:type="character" w:customStyle="1" w:styleId="217">
    <w:name w:val="Char Char1"/>
    <w:qFormat/>
    <w:uiPriority w:val="0"/>
    <w:rPr>
      <w:rFonts w:ascii="Arial" w:hAnsi="Arial" w:eastAsia="黑体"/>
      <w:b/>
      <w:kern w:val="2"/>
      <w:sz w:val="28"/>
      <w:lang w:val="en-US" w:eastAsia="zh-CN"/>
    </w:rPr>
  </w:style>
  <w:style w:type="character" w:customStyle="1" w:styleId="218">
    <w:name w:val="unnamed11"/>
    <w:qFormat/>
    <w:uiPriority w:val="0"/>
    <w:rPr>
      <w:color w:val="333333"/>
      <w:sz w:val="18"/>
    </w:rPr>
  </w:style>
  <w:style w:type="character" w:customStyle="1" w:styleId="219">
    <w:name w:val="postbody1"/>
    <w:qFormat/>
    <w:uiPriority w:val="0"/>
    <w:rPr>
      <w:spacing w:val="300"/>
      <w:sz w:val="21"/>
    </w:rPr>
  </w:style>
  <w:style w:type="character" w:customStyle="1" w:styleId="220">
    <w:name w:val="文字 Char Char"/>
    <w:link w:val="221"/>
    <w:qFormat/>
    <w:uiPriority w:val="0"/>
    <w:rPr>
      <w:rFonts w:ascii="宋体" w:eastAsia="宋体"/>
      <w:kern w:val="2"/>
      <w:sz w:val="28"/>
      <w:lang w:val="en-US" w:eastAsia="zh-CN" w:bidi="ar-SA"/>
    </w:rPr>
  </w:style>
  <w:style w:type="paragraph" w:customStyle="1" w:styleId="221">
    <w:name w:val="文字"/>
    <w:basedOn w:val="1"/>
    <w:link w:val="220"/>
    <w:qFormat/>
    <w:uiPriority w:val="0"/>
    <w:pPr>
      <w:tabs>
        <w:tab w:val="left" w:pos="8520"/>
      </w:tabs>
      <w:spacing w:line="312" w:lineRule="auto"/>
      <w:ind w:right="-210" w:firstLine="556"/>
    </w:pPr>
    <w:rPr>
      <w:rFonts w:ascii="宋体"/>
      <w:sz w:val="28"/>
    </w:rPr>
  </w:style>
  <w:style w:type="character" w:customStyle="1" w:styleId="222">
    <w:name w:val="apple-style-span"/>
    <w:basedOn w:val="78"/>
    <w:qFormat/>
    <w:uiPriority w:val="0"/>
  </w:style>
  <w:style w:type="character" w:customStyle="1" w:styleId="223">
    <w:name w:val="日期 Char"/>
    <w:link w:val="45"/>
    <w:qFormat/>
    <w:uiPriority w:val="0"/>
    <w:rPr>
      <w:kern w:val="2"/>
      <w:sz w:val="21"/>
    </w:rPr>
  </w:style>
  <w:style w:type="character" w:customStyle="1" w:styleId="224">
    <w:name w:val="BIT表格 Char Char"/>
    <w:link w:val="225"/>
    <w:qFormat/>
    <w:uiPriority w:val="0"/>
    <w:rPr>
      <w:rFonts w:ascii="楷体_GB2312" w:hAnsi="宋体"/>
      <w:kern w:val="2"/>
      <w:sz w:val="21"/>
    </w:rPr>
  </w:style>
  <w:style w:type="paragraph" w:customStyle="1" w:styleId="225">
    <w:name w:val="BIT表格"/>
    <w:basedOn w:val="115"/>
    <w:link w:val="224"/>
    <w:qFormat/>
    <w:uiPriority w:val="0"/>
    <w:pPr>
      <w:ind w:firstLine="560"/>
    </w:pPr>
    <w:rPr>
      <w:sz w:val="21"/>
    </w:rPr>
  </w:style>
  <w:style w:type="character" w:customStyle="1" w:styleId="226">
    <w:name w:val="样式 正文缩进 + 首行缩进:  2 字符 Char Char"/>
    <w:link w:val="227"/>
    <w:qFormat/>
    <w:uiPriority w:val="0"/>
    <w:rPr>
      <w:rFonts w:eastAsia="宋体"/>
      <w:kern w:val="2"/>
      <w:sz w:val="24"/>
      <w:lang w:val="en-US" w:eastAsia="zh-CN" w:bidi="ar-SA"/>
    </w:rPr>
  </w:style>
  <w:style w:type="paragraph" w:customStyle="1" w:styleId="227">
    <w:name w:val="样式 正文缩进 + 首行缩进:  2 字符"/>
    <w:basedOn w:val="10"/>
    <w:link w:val="226"/>
    <w:qFormat/>
    <w:uiPriority w:val="0"/>
    <w:pPr>
      <w:spacing w:after="80"/>
      <w:ind w:firstLine="480"/>
    </w:pPr>
  </w:style>
  <w:style w:type="character" w:customStyle="1" w:styleId="228">
    <w:name w:val="纯文本 Char"/>
    <w:link w:val="41"/>
    <w:qFormat/>
    <w:uiPriority w:val="0"/>
    <w:rPr>
      <w:rFonts w:ascii="宋体" w:hAnsi="Courier New" w:eastAsia="宋体"/>
      <w:kern w:val="2"/>
      <w:sz w:val="24"/>
      <w:lang w:val="en-US" w:eastAsia="zh-CN" w:bidi="ar-SA"/>
    </w:rPr>
  </w:style>
  <w:style w:type="character" w:customStyle="1" w:styleId="229">
    <w:name w:val="图片格式 Char Char"/>
    <w:link w:val="230"/>
    <w:qFormat/>
    <w:uiPriority w:val="0"/>
    <w:rPr>
      <w:rFonts w:ascii="宋体" w:hAnsi="宋体"/>
      <w:sz w:val="24"/>
      <w:szCs w:val="24"/>
      <w:lang w:bidi="en-US"/>
    </w:rPr>
  </w:style>
  <w:style w:type="paragraph" w:customStyle="1" w:styleId="230">
    <w:name w:val="图片格式"/>
    <w:basedOn w:val="1"/>
    <w:link w:val="229"/>
    <w:qFormat/>
    <w:uiPriority w:val="0"/>
    <w:pPr>
      <w:spacing w:line="360" w:lineRule="auto"/>
      <w:contextualSpacing/>
      <w:jc w:val="center"/>
    </w:pPr>
    <w:rPr>
      <w:rFonts w:ascii="宋体" w:hAnsi="宋体"/>
      <w:kern w:val="0"/>
      <w:sz w:val="24"/>
      <w:szCs w:val="24"/>
      <w:lang w:bidi="en-US"/>
    </w:rPr>
  </w:style>
  <w:style w:type="character" w:customStyle="1" w:styleId="231">
    <w:name w:val="contentheaderrev"/>
    <w:qFormat/>
    <w:uiPriority w:val="0"/>
  </w:style>
  <w:style w:type="character" w:customStyle="1" w:styleId="232">
    <w:name w:val="纯文本 Char1"/>
    <w:qFormat/>
    <w:locked/>
    <w:uiPriority w:val="0"/>
    <w:rPr>
      <w:rFonts w:ascii="宋体" w:hAnsi="Courier New"/>
      <w:kern w:val="2"/>
      <w:sz w:val="24"/>
    </w:rPr>
  </w:style>
  <w:style w:type="character" w:customStyle="1" w:styleId="233">
    <w:name w:val="正文文本 Char"/>
    <w:link w:val="30"/>
    <w:qFormat/>
    <w:uiPriority w:val="0"/>
    <w:rPr>
      <w:rFonts w:eastAsia="宋体"/>
      <w:kern w:val="2"/>
      <w:sz w:val="21"/>
      <w:lang w:val="en-US" w:eastAsia="zh-CN" w:bidi="ar-SA"/>
    </w:rPr>
  </w:style>
  <w:style w:type="character" w:customStyle="1" w:styleId="234">
    <w:name w:val="huei12b1"/>
    <w:qFormat/>
    <w:uiPriority w:val="0"/>
    <w:rPr>
      <w:b/>
      <w:color w:val="333333"/>
      <w:sz w:val="18"/>
    </w:rPr>
  </w:style>
  <w:style w:type="character" w:customStyle="1" w:styleId="235">
    <w:name w:val="方案正文 Char1"/>
    <w:qFormat/>
    <w:uiPriority w:val="0"/>
    <w:rPr>
      <w:kern w:val="2"/>
      <w:sz w:val="24"/>
    </w:rPr>
  </w:style>
  <w:style w:type="character" w:customStyle="1" w:styleId="236">
    <w:name w:val="缺省文本 Char Char"/>
    <w:link w:val="237"/>
    <w:qFormat/>
    <w:uiPriority w:val="0"/>
    <w:rPr>
      <w:rFonts w:eastAsia="宋体"/>
      <w:sz w:val="24"/>
      <w:lang w:val="en-US" w:eastAsia="zh-CN" w:bidi="ar-SA"/>
    </w:rPr>
  </w:style>
  <w:style w:type="paragraph" w:customStyle="1" w:styleId="237">
    <w:name w:val="缺省文本"/>
    <w:basedOn w:val="1"/>
    <w:link w:val="236"/>
    <w:qFormat/>
    <w:uiPriority w:val="0"/>
    <w:pPr>
      <w:autoSpaceDE w:val="0"/>
      <w:autoSpaceDN w:val="0"/>
      <w:adjustRightInd w:val="0"/>
      <w:ind w:firstLine="454"/>
    </w:pPr>
    <w:rPr>
      <w:kern w:val="0"/>
      <w:sz w:val="24"/>
    </w:rPr>
  </w:style>
  <w:style w:type="character" w:customStyle="1" w:styleId="238">
    <w:name w:val="标题 2 Char"/>
    <w:link w:val="4"/>
    <w:qFormat/>
    <w:uiPriority w:val="0"/>
    <w:rPr>
      <w:rFonts w:ascii="Arial" w:hAnsi="Arial" w:eastAsia="黑体"/>
      <w:b/>
      <w:bCs/>
      <w:kern w:val="2"/>
      <w:sz w:val="32"/>
      <w:szCs w:val="32"/>
    </w:rPr>
  </w:style>
  <w:style w:type="character" w:customStyle="1" w:styleId="239">
    <w:name w:val="cntext1"/>
    <w:qFormat/>
    <w:uiPriority w:val="0"/>
    <w:rPr>
      <w:sz w:val="18"/>
    </w:rPr>
  </w:style>
  <w:style w:type="character" w:customStyle="1" w:styleId="240">
    <w:name w:val="style501"/>
    <w:qFormat/>
    <w:uiPriority w:val="0"/>
  </w:style>
  <w:style w:type="character" w:customStyle="1" w:styleId="241">
    <w:name w:val="title1"/>
    <w:qFormat/>
    <w:uiPriority w:val="0"/>
    <w:rPr>
      <w:b/>
      <w:color w:val="FF6600"/>
      <w:spacing w:val="60"/>
      <w:sz w:val="21"/>
      <w:u w:val="none"/>
    </w:rPr>
  </w:style>
  <w:style w:type="character" w:customStyle="1" w:styleId="242">
    <w:name w:val="批注文字 Char"/>
    <w:link w:val="25"/>
    <w:qFormat/>
    <w:uiPriority w:val="0"/>
    <w:rPr>
      <w:kern w:val="2"/>
      <w:sz w:val="21"/>
      <w:szCs w:val="24"/>
    </w:rPr>
  </w:style>
  <w:style w:type="character" w:customStyle="1" w:styleId="243">
    <w:name w:val="普通文字1 Char2"/>
    <w:qFormat/>
    <w:locked/>
    <w:uiPriority w:val="0"/>
    <w:rPr>
      <w:rFonts w:ascii="宋体" w:hAnsi="Courier New" w:eastAsia="宋体" w:cs="宋体"/>
      <w:kern w:val="2"/>
      <w:sz w:val="24"/>
      <w:szCs w:val="24"/>
      <w:lang w:val="en-US" w:eastAsia="zh-CN"/>
    </w:rPr>
  </w:style>
  <w:style w:type="character" w:customStyle="1" w:styleId="244">
    <w:name w:val="Table Text Char Char Char Char"/>
    <w:link w:val="245"/>
    <w:qFormat/>
    <w:uiPriority w:val="0"/>
    <w:rPr>
      <w:rFonts w:ascii="Arial" w:hAnsi="Arial"/>
      <w:sz w:val="18"/>
      <w:lang w:val="en-US" w:eastAsia="zh-CN" w:bidi="ar-SA"/>
    </w:rPr>
  </w:style>
  <w:style w:type="paragraph" w:customStyle="1" w:styleId="245">
    <w:name w:val="Table Text Char"/>
    <w:link w:val="244"/>
    <w:qFormat/>
    <w:uiPriority w:val="0"/>
    <w:pPr>
      <w:snapToGrid w:val="0"/>
      <w:spacing w:before="80" w:after="80"/>
    </w:pPr>
    <w:rPr>
      <w:rFonts w:ascii="Arial" w:hAnsi="Arial" w:eastAsia="宋体" w:cs="Times New Roman"/>
      <w:sz w:val="18"/>
      <w:lang w:val="en-US" w:eastAsia="zh-CN" w:bidi="ar-SA"/>
    </w:rPr>
  </w:style>
  <w:style w:type="character" w:customStyle="1" w:styleId="246">
    <w:name w:val="font121"/>
    <w:qFormat/>
    <w:uiPriority w:val="0"/>
    <w:rPr>
      <w:sz w:val="18"/>
    </w:rPr>
  </w:style>
  <w:style w:type="character" w:customStyle="1" w:styleId="247">
    <w:name w:val="font01"/>
    <w:basedOn w:val="78"/>
    <w:qFormat/>
    <w:uiPriority w:val="0"/>
    <w:rPr>
      <w:rFonts w:hint="eastAsia" w:ascii="宋体" w:hAnsi="宋体" w:eastAsia="宋体" w:cs="宋体"/>
      <w:color w:val="FF0000"/>
      <w:sz w:val="20"/>
      <w:szCs w:val="20"/>
      <w:u w:val="none"/>
    </w:rPr>
  </w:style>
  <w:style w:type="character" w:customStyle="1" w:styleId="248">
    <w:name w:val="Body Char Char"/>
    <w:link w:val="249"/>
    <w:qFormat/>
    <w:uiPriority w:val="0"/>
    <w:rPr>
      <w:rFonts w:eastAsia="宋体"/>
      <w:sz w:val="24"/>
      <w:szCs w:val="24"/>
      <w:lang w:val="pt-BR" w:eastAsia="zh-CN" w:bidi="ar-SA"/>
    </w:rPr>
  </w:style>
  <w:style w:type="paragraph" w:customStyle="1" w:styleId="249">
    <w:name w:val="Body"/>
    <w:basedOn w:val="1"/>
    <w:link w:val="248"/>
    <w:qFormat/>
    <w:uiPriority w:val="0"/>
    <w:pPr>
      <w:widowControl/>
      <w:tabs>
        <w:tab w:val="left" w:pos="9356"/>
      </w:tabs>
      <w:spacing w:before="80" w:after="80" w:line="360" w:lineRule="auto"/>
      <w:ind w:firstLine="480" w:firstLineChars="200"/>
    </w:pPr>
    <w:rPr>
      <w:kern w:val="0"/>
      <w:sz w:val="24"/>
      <w:szCs w:val="24"/>
      <w:lang w:val="pt-BR"/>
    </w:rPr>
  </w:style>
  <w:style w:type="character" w:customStyle="1" w:styleId="250">
    <w:name w:val="Heading Base Char Char"/>
    <w:link w:val="55"/>
    <w:qFormat/>
    <w:uiPriority w:val="0"/>
    <w:rPr>
      <w:rFonts w:ascii="Arial" w:hAnsi="Arial" w:eastAsia="仿宋体"/>
      <w:spacing w:val="-4"/>
      <w:kern w:val="28"/>
      <w:sz w:val="22"/>
      <w:lang w:eastAsia="en-US"/>
    </w:rPr>
  </w:style>
  <w:style w:type="character" w:customStyle="1" w:styleId="251">
    <w:name w:val="style81"/>
    <w:qFormat/>
    <w:uiPriority w:val="0"/>
    <w:rPr>
      <w:rFonts w:hint="default" w:ascii="Arial" w:hAnsi="Arial"/>
      <w:b/>
      <w:color w:val="336699"/>
      <w:sz w:val="18"/>
    </w:rPr>
  </w:style>
  <w:style w:type="paragraph" w:customStyle="1" w:styleId="252">
    <w:name w:val="xl90"/>
    <w:basedOn w:val="1"/>
    <w:qFormat/>
    <w:uiPriority w:val="0"/>
    <w:pPr>
      <w:widowControl/>
      <w:pBdr>
        <w:right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253">
    <w:name w:val="Default"/>
    <w:basedOn w:val="72"/>
    <w:qFormat/>
    <w:uiPriority w:val="0"/>
    <w:pPr>
      <w:widowControl w:val="0"/>
    </w:pPr>
    <w:rPr>
      <w:rFonts w:ascii="Times New Roman" w:hAnsi="Times New Roman" w:eastAsia="Times New Roman" w:cs="Times New Roman"/>
      <w:color w:val="000000"/>
      <w:sz w:val="24"/>
      <w:lang w:val="en-US" w:eastAsia="en-US" w:bidi="ar-SA"/>
    </w:rPr>
  </w:style>
  <w:style w:type="paragraph" w:customStyle="1" w:styleId="254">
    <w:name w:val="xl76"/>
    <w:basedOn w:val="1"/>
    <w:qFormat/>
    <w:uiPriority w:val="0"/>
    <w:pPr>
      <w:widowControl/>
      <w:pBdr>
        <w:left w:val="single" w:color="auto" w:sz="8" w:space="0"/>
      </w:pBdr>
      <w:spacing w:before="100" w:beforeAutospacing="1" w:after="100" w:afterAutospacing="1"/>
      <w:jc w:val="center"/>
      <w:textAlignment w:val="center"/>
    </w:pPr>
    <w:rPr>
      <w:rFonts w:ascii="宋体" w:hAnsi="宋体"/>
      <w:kern w:val="0"/>
      <w:sz w:val="20"/>
    </w:rPr>
  </w:style>
  <w:style w:type="paragraph" w:customStyle="1" w:styleId="255">
    <w:name w:val="xl79"/>
    <w:basedOn w:val="1"/>
    <w:qFormat/>
    <w:uiPriority w:val="0"/>
    <w:pPr>
      <w:widowControl/>
      <w:pBdr>
        <w:bottom w:val="single" w:color="auto" w:sz="8" w:space="0"/>
      </w:pBdr>
      <w:spacing w:before="100" w:beforeAutospacing="1" w:after="100" w:afterAutospacing="1"/>
      <w:jc w:val="center"/>
    </w:pPr>
    <w:rPr>
      <w:rFonts w:ascii="宋体" w:hAnsi="宋体"/>
      <w:b/>
      <w:kern w:val="0"/>
      <w:sz w:val="28"/>
    </w:rPr>
  </w:style>
  <w:style w:type="paragraph" w:customStyle="1" w:styleId="256">
    <w:name w:val="图注"/>
    <w:next w:val="1"/>
    <w:qFormat/>
    <w:uiPriority w:val="0"/>
    <w:pPr>
      <w:spacing w:before="120" w:after="120"/>
      <w:jc w:val="center"/>
    </w:pPr>
    <w:rPr>
      <w:rFonts w:ascii="宋体" w:hAnsi="Times New Roman" w:eastAsia="宋体" w:cs="Times New Roman"/>
      <w:kern w:val="2"/>
      <w:sz w:val="18"/>
      <w:lang w:val="en-US" w:eastAsia="zh-CN" w:bidi="ar-SA"/>
    </w:rPr>
  </w:style>
  <w:style w:type="paragraph" w:customStyle="1" w:styleId="257">
    <w:name w:val="xl57"/>
    <w:basedOn w:val="1"/>
    <w:qFormat/>
    <w:uiPriority w:val="0"/>
    <w:pPr>
      <w:widowControl/>
      <w:shd w:val="clear" w:color="auto" w:fill="FFFF00"/>
      <w:spacing w:before="100" w:beforeAutospacing="1" w:after="100" w:afterAutospacing="1"/>
      <w:jc w:val="left"/>
    </w:pPr>
    <w:rPr>
      <w:rFonts w:ascii="宋体" w:hAnsi="宋体"/>
      <w:kern w:val="0"/>
      <w:sz w:val="20"/>
    </w:rPr>
  </w:style>
  <w:style w:type="paragraph" w:customStyle="1" w:styleId="258">
    <w:name w:val="Char Char Char1 Char Char Char Char"/>
    <w:basedOn w:val="1"/>
    <w:qFormat/>
    <w:uiPriority w:val="0"/>
    <w:rPr>
      <w:rFonts w:ascii="Tahoma" w:hAnsi="Tahoma"/>
      <w:sz w:val="24"/>
    </w:rPr>
  </w:style>
  <w:style w:type="paragraph" w:customStyle="1" w:styleId="259">
    <w:name w:val="Char Char Char Char Char Char"/>
    <w:basedOn w:val="1"/>
    <w:qFormat/>
    <w:uiPriority w:val="0"/>
    <w:rPr>
      <w:rFonts w:ascii="Tahoma" w:hAnsi="Tahoma"/>
      <w:sz w:val="24"/>
    </w:rPr>
  </w:style>
  <w:style w:type="paragraph" w:customStyle="1" w:styleId="260">
    <w:name w:val="contr_bull_list"/>
    <w:basedOn w:val="1"/>
    <w:qFormat/>
    <w:uiPriority w:val="0"/>
    <w:pPr>
      <w:widowControl/>
      <w:tabs>
        <w:tab w:val="left" w:pos="1080"/>
      </w:tabs>
      <w:ind w:left="1080" w:hanging="420"/>
      <w:jc w:val="left"/>
    </w:pPr>
    <w:rPr>
      <w:rFonts w:ascii="Arial" w:hAnsi="Arial"/>
      <w:kern w:val="0"/>
      <w:sz w:val="24"/>
      <w:lang w:val="en-GB" w:eastAsia="en-US"/>
    </w:rPr>
  </w:style>
  <w:style w:type="paragraph" w:customStyle="1" w:styleId="261">
    <w:name w:val="0"/>
    <w:basedOn w:val="1"/>
    <w:qFormat/>
    <w:uiPriority w:val="0"/>
    <w:pPr>
      <w:widowControl/>
    </w:pPr>
    <w:rPr>
      <w:kern w:val="0"/>
    </w:rPr>
  </w:style>
  <w:style w:type="paragraph" w:customStyle="1" w:styleId="262">
    <w:name w:val="CM22"/>
    <w:basedOn w:val="253"/>
    <w:next w:val="253"/>
    <w:qFormat/>
    <w:uiPriority w:val="0"/>
    <w:pPr>
      <w:autoSpaceDE w:val="0"/>
      <w:autoSpaceDN w:val="0"/>
      <w:adjustRightInd w:val="0"/>
      <w:spacing w:line="203" w:lineRule="atLeast"/>
    </w:pPr>
    <w:rPr>
      <w:rFonts w:ascii="HYDaHeiJ" w:eastAsia="HYDaHeiJ"/>
      <w:color w:val="auto"/>
      <w:lang w:eastAsia="zh-CN"/>
    </w:rPr>
  </w:style>
  <w:style w:type="paragraph" w:customStyle="1" w:styleId="263">
    <w:name w:val="列项"/>
    <w:basedOn w:val="1"/>
    <w:qFormat/>
    <w:uiPriority w:val="0"/>
    <w:rPr>
      <w:rFonts w:ascii="宋体"/>
      <w:sz w:val="24"/>
      <w:szCs w:val="18"/>
    </w:rPr>
  </w:style>
  <w:style w:type="paragraph" w:customStyle="1" w:styleId="264">
    <w:name w:val="xl109"/>
    <w:basedOn w:val="1"/>
    <w:qFormat/>
    <w:uiPriority w:val="0"/>
    <w:pPr>
      <w:widowControl/>
      <w:pBdr>
        <w:top w:val="single" w:color="auto" w:sz="4" w:space="0"/>
      </w:pBdr>
      <w:spacing w:before="100" w:beforeAutospacing="1" w:after="100" w:afterAutospacing="1"/>
      <w:jc w:val="left"/>
    </w:pPr>
    <w:rPr>
      <w:rFonts w:ascii="宋体" w:hAnsi="宋体" w:cs="宋体"/>
      <w:kern w:val="0"/>
      <w:sz w:val="24"/>
      <w:szCs w:val="24"/>
    </w:rPr>
  </w:style>
  <w:style w:type="paragraph" w:customStyle="1" w:styleId="265">
    <w:name w:val="xl67"/>
    <w:basedOn w:val="1"/>
    <w:qFormat/>
    <w:uiPriority w:val="0"/>
    <w:pPr>
      <w:widowControl/>
      <w:pBdr>
        <w:top w:val="single" w:color="auto" w:sz="4" w:space="0"/>
        <w:left w:val="single" w:color="auto" w:sz="4" w:space="0"/>
        <w:right w:val="single" w:color="auto" w:sz="8" w:space="0"/>
      </w:pBdr>
      <w:shd w:val="clear" w:color="auto" w:fill="FFFF00"/>
      <w:spacing w:before="100" w:beforeAutospacing="1" w:after="100" w:afterAutospacing="1"/>
      <w:jc w:val="right"/>
    </w:pPr>
    <w:rPr>
      <w:rFonts w:ascii="宋体" w:hAnsi="宋体"/>
      <w:kern w:val="0"/>
      <w:sz w:val="20"/>
    </w:rPr>
  </w:style>
  <w:style w:type="paragraph" w:customStyle="1" w:styleId="26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267">
    <w:name w:val="xl59"/>
    <w:basedOn w:val="1"/>
    <w:qFormat/>
    <w:uiPriority w:val="0"/>
    <w:pPr>
      <w:widowControl/>
      <w:shd w:val="clear" w:color="auto" w:fill="FFFF00"/>
      <w:spacing w:before="100" w:beforeAutospacing="1" w:after="100" w:afterAutospacing="1"/>
      <w:jc w:val="right"/>
    </w:pPr>
    <w:rPr>
      <w:rFonts w:ascii="宋体" w:hAnsi="宋体"/>
      <w:kern w:val="0"/>
      <w:sz w:val="20"/>
    </w:rPr>
  </w:style>
  <w:style w:type="paragraph" w:customStyle="1" w:styleId="268">
    <w:name w:val="样式 标题 3 + Arial 段前: 7.75 磅 段后: 7.75 磅 行距: 固定值 22 磅"/>
    <w:basedOn w:val="5"/>
    <w:qFormat/>
    <w:uiPriority w:val="0"/>
    <w:pPr>
      <w:tabs>
        <w:tab w:val="left" w:pos="2711"/>
      </w:tabs>
      <w:spacing w:before="155" w:after="155" w:line="440" w:lineRule="exact"/>
      <w:ind w:left="1838" w:hanging="567"/>
    </w:pPr>
    <w:rPr>
      <w:rFonts w:ascii="Arial" w:hAnsi="Arial"/>
      <w:bCs w:val="0"/>
      <w:sz w:val="28"/>
      <w:szCs w:val="20"/>
    </w:rPr>
  </w:style>
  <w:style w:type="paragraph" w:customStyle="1" w:styleId="269">
    <w:name w:val="块引用"/>
    <w:basedOn w:val="30"/>
    <w:qFormat/>
    <w:uiPriority w:val="0"/>
    <w:pPr>
      <w:keepLines/>
      <w:widowControl/>
      <w:pBdr>
        <w:left w:val="single" w:color="808080" w:sz="36" w:space="3"/>
        <w:bottom w:val="single" w:color="FFFFFF" w:sz="48" w:space="3"/>
      </w:pBdr>
      <w:tabs>
        <w:tab w:val="left" w:pos="0"/>
      </w:tabs>
      <w:spacing w:before="120" w:line="360" w:lineRule="auto"/>
      <w:ind w:left="990" w:right="720"/>
      <w:jc w:val="left"/>
    </w:pPr>
    <w:rPr>
      <w:rFonts w:ascii="仿宋体" w:eastAsia="仿宋体"/>
      <w:i/>
      <w:kern w:val="0"/>
      <w:sz w:val="24"/>
    </w:rPr>
  </w:style>
  <w:style w:type="paragraph" w:customStyle="1" w:styleId="270">
    <w:name w:val="样式 项 + 小五 居中 左侧:  1.5 厘米 悬挂缩进: 4.2 字符"/>
    <w:basedOn w:val="1"/>
    <w:qFormat/>
    <w:uiPriority w:val="0"/>
    <w:pPr>
      <w:tabs>
        <w:tab w:val="left" w:pos="690"/>
      </w:tabs>
      <w:ind w:left="690" w:hanging="360"/>
      <w:jc w:val="center"/>
    </w:pPr>
    <w:rPr>
      <w:rFonts w:ascii="Arial" w:hAnsi="Arial" w:cs="宋体"/>
      <w:sz w:val="18"/>
    </w:rPr>
  </w:style>
  <w:style w:type="paragraph" w:customStyle="1" w:styleId="271">
    <w:name w:val="项目符号1"/>
    <w:basedOn w:val="1"/>
    <w:qFormat/>
    <w:uiPriority w:val="0"/>
    <w:pPr>
      <w:tabs>
        <w:tab w:val="left" w:pos="1560"/>
      </w:tabs>
      <w:spacing w:line="312" w:lineRule="atLeast"/>
      <w:ind w:left="1560" w:hanging="720"/>
    </w:pPr>
  </w:style>
  <w:style w:type="paragraph" w:customStyle="1" w:styleId="272">
    <w:name w:val="Char Char Char Char Char Char Char Char Char1 Char Char Char Char Char Char Char Char Char Char Char Char Char Char Char Char Char Char Char Char Char Char Char Char Char Char Char Char Char Char Char Char Char Char Char Char"/>
    <w:basedOn w:val="1"/>
    <w:qFormat/>
    <w:uiPriority w:val="0"/>
    <w:pPr>
      <w:keepNext/>
      <w:keepLines/>
      <w:adjustRightInd w:val="0"/>
      <w:spacing w:beforeLines="100" w:afterLines="100" w:line="300" w:lineRule="auto"/>
      <w:ind w:firstLine="200" w:firstLineChars="200"/>
      <w:textAlignment w:val="center"/>
    </w:pPr>
    <w:rPr>
      <w:rFonts w:ascii="仿宋_GB2312" w:hAnsi="宋体" w:eastAsia="仿宋_GB2312"/>
      <w:kern w:val="0"/>
      <w:sz w:val="24"/>
    </w:rPr>
  </w:style>
  <w:style w:type="paragraph" w:customStyle="1" w:styleId="273">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rPr>
  </w:style>
  <w:style w:type="paragraph" w:customStyle="1" w:styleId="274">
    <w:name w:val="正文内容"/>
    <w:basedOn w:val="30"/>
    <w:qFormat/>
    <w:uiPriority w:val="0"/>
    <w:pPr>
      <w:adjustRightInd w:val="0"/>
      <w:snapToGrid w:val="0"/>
      <w:spacing w:beforeLines="50" w:afterLines="50" w:line="400" w:lineRule="exact"/>
      <w:ind w:firstLine="505" w:firstLineChars="200"/>
      <w:textAlignment w:val="baseline"/>
    </w:pPr>
    <w:rPr>
      <w:rFonts w:ascii="宋体" w:hAnsi="宋体"/>
      <w:color w:val="000000"/>
      <w:spacing w:val="10"/>
      <w:kern w:val="0"/>
      <w:sz w:val="24"/>
    </w:rPr>
  </w:style>
  <w:style w:type="paragraph" w:customStyle="1" w:styleId="275">
    <w:name w:val="xl108"/>
    <w:basedOn w:val="1"/>
    <w:qFormat/>
    <w:uiPriority w:val="0"/>
    <w:pPr>
      <w:widowControl/>
      <w:pBdr>
        <w:top w:val="single" w:color="auto" w:sz="4" w:space="0"/>
        <w:left w:val="single" w:color="auto" w:sz="4" w:space="0"/>
      </w:pBdr>
      <w:spacing w:before="100" w:beforeAutospacing="1" w:after="100" w:afterAutospacing="1"/>
      <w:jc w:val="left"/>
    </w:pPr>
    <w:rPr>
      <w:rFonts w:ascii="宋体" w:hAnsi="宋体" w:cs="宋体"/>
      <w:kern w:val="0"/>
      <w:sz w:val="24"/>
      <w:szCs w:val="24"/>
    </w:rPr>
  </w:style>
  <w:style w:type="paragraph" w:customStyle="1" w:styleId="276">
    <w:name w:val="CM1"/>
    <w:basedOn w:val="253"/>
    <w:next w:val="253"/>
    <w:qFormat/>
    <w:uiPriority w:val="0"/>
    <w:pPr>
      <w:autoSpaceDE w:val="0"/>
      <w:autoSpaceDN w:val="0"/>
      <w:adjustRightInd w:val="0"/>
    </w:pPr>
    <w:rPr>
      <w:rFonts w:ascii="HYDaHeiJ" w:eastAsia="HYDaHeiJ"/>
      <w:color w:val="auto"/>
      <w:lang w:eastAsia="zh-CN"/>
    </w:rPr>
  </w:style>
  <w:style w:type="paragraph" w:customStyle="1" w:styleId="277">
    <w:name w:val="CM23"/>
    <w:basedOn w:val="253"/>
    <w:next w:val="253"/>
    <w:qFormat/>
    <w:uiPriority w:val="0"/>
    <w:pPr>
      <w:autoSpaceDE w:val="0"/>
      <w:autoSpaceDN w:val="0"/>
      <w:adjustRightInd w:val="0"/>
      <w:spacing w:after="370"/>
    </w:pPr>
    <w:rPr>
      <w:rFonts w:ascii="Arial Black" w:hAnsi="Arial Black" w:eastAsia="宋体"/>
      <w:color w:val="auto"/>
      <w:sz w:val="20"/>
      <w:lang w:eastAsia="zh-CN"/>
    </w:rPr>
  </w:style>
  <w:style w:type="paragraph" w:customStyle="1" w:styleId="278">
    <w:name w:val="xl9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color w:val="000000"/>
      <w:kern w:val="0"/>
      <w:sz w:val="20"/>
    </w:rPr>
  </w:style>
  <w:style w:type="paragraph" w:customStyle="1" w:styleId="279">
    <w:name w:val="IN Step"/>
    <w:basedOn w:val="1"/>
    <w:qFormat/>
    <w:uiPriority w:val="0"/>
    <w:pPr>
      <w:keepLines/>
      <w:widowControl/>
      <w:spacing w:before="80" w:after="80" w:line="300" w:lineRule="auto"/>
      <w:ind w:left="1134"/>
      <w:outlineLvl w:val="8"/>
    </w:pPr>
    <w:rPr>
      <w:rFonts w:ascii="Arial" w:hAnsi="Arial"/>
      <w:kern w:val="0"/>
    </w:rPr>
  </w:style>
  <w:style w:type="paragraph" w:customStyle="1" w:styleId="280">
    <w:name w:val="模板正文"/>
    <w:qFormat/>
    <w:uiPriority w:val="0"/>
    <w:pPr>
      <w:spacing w:beforeLines="50" w:afterLines="50" w:line="360" w:lineRule="auto"/>
      <w:ind w:firstLine="200" w:firstLineChars="200"/>
    </w:pPr>
    <w:rPr>
      <w:rFonts w:ascii="宋体" w:hAnsi="宋体" w:eastAsia="宋体" w:cs="Times New Roman"/>
      <w:sz w:val="24"/>
      <w:lang w:val="en-US" w:eastAsia="zh-CN" w:bidi="ar-SA"/>
    </w:rPr>
  </w:style>
  <w:style w:type="paragraph" w:customStyle="1" w:styleId="281">
    <w:name w:val="正文文本 21"/>
    <w:basedOn w:val="1"/>
    <w:qFormat/>
    <w:uiPriority w:val="0"/>
    <w:pPr>
      <w:widowControl/>
      <w:tabs>
        <w:tab w:val="left" w:pos="120"/>
      </w:tabs>
      <w:autoSpaceDE w:val="0"/>
      <w:autoSpaceDN w:val="0"/>
      <w:adjustRightInd w:val="0"/>
      <w:spacing w:line="360" w:lineRule="auto"/>
      <w:ind w:left="45" w:firstLine="720"/>
      <w:textAlignment w:val="baseline"/>
    </w:pPr>
    <w:rPr>
      <w:rFonts w:ascii="宋体"/>
      <w:kern w:val="0"/>
      <w:sz w:val="32"/>
      <w:lang w:val="en-AU"/>
    </w:rPr>
  </w:style>
  <w:style w:type="paragraph" w:customStyle="1" w:styleId="282">
    <w:name w:val="CM29"/>
    <w:basedOn w:val="253"/>
    <w:next w:val="253"/>
    <w:qFormat/>
    <w:uiPriority w:val="0"/>
    <w:pPr>
      <w:autoSpaceDE w:val="0"/>
      <w:autoSpaceDN w:val="0"/>
      <w:adjustRightInd w:val="0"/>
      <w:spacing w:after="395"/>
    </w:pPr>
    <w:rPr>
      <w:rFonts w:ascii="HYDaHeiJ" w:eastAsia="HYDaHeiJ"/>
      <w:color w:val="auto"/>
      <w:lang w:eastAsia="zh-CN"/>
    </w:rPr>
  </w:style>
  <w:style w:type="paragraph" w:customStyle="1" w:styleId="283">
    <w:name w:val="xl93"/>
    <w:basedOn w:val="1"/>
    <w:qFormat/>
    <w:uiPriority w:val="0"/>
    <w:pPr>
      <w:widowControl/>
      <w:pBdr>
        <w:bottom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284">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85">
    <w:name w:val="xl40"/>
    <w:basedOn w:val="1"/>
    <w:qFormat/>
    <w:uiPriority w:val="0"/>
    <w:pPr>
      <w:widowControl/>
      <w:pBdr>
        <w:left w:val="single" w:color="auto" w:sz="4" w:space="0"/>
      </w:pBdr>
      <w:spacing w:before="100" w:beforeAutospacing="1" w:after="100" w:afterAutospacing="1"/>
      <w:jc w:val="center"/>
    </w:pPr>
    <w:rPr>
      <w:rFonts w:ascii="宋体" w:hAnsi="宋体" w:cs="宋体"/>
      <w:kern w:val="0"/>
      <w:sz w:val="24"/>
      <w:szCs w:val="24"/>
    </w:rPr>
  </w:style>
  <w:style w:type="paragraph" w:customStyle="1" w:styleId="286">
    <w:name w:val="样式 样式 1-正文 + 段前: 0.5 行 + 首行缩进:  4 字符 段前: 0.5 行"/>
    <w:basedOn w:val="1"/>
    <w:qFormat/>
    <w:uiPriority w:val="0"/>
    <w:pPr>
      <w:spacing w:beforeLines="50" w:line="360" w:lineRule="auto"/>
      <w:ind w:firstLine="200" w:firstLineChars="200"/>
    </w:pPr>
    <w:rPr>
      <w:rFonts w:cs="宋体"/>
    </w:rPr>
  </w:style>
  <w:style w:type="paragraph" w:customStyle="1" w:styleId="287">
    <w:name w:val="z-窗体底端1"/>
    <w:basedOn w:val="1"/>
    <w:next w:val="1"/>
    <w:qFormat/>
    <w:uiPriority w:val="0"/>
    <w:pPr>
      <w:widowControl/>
      <w:pBdr>
        <w:top w:val="single" w:color="auto" w:sz="6" w:space="1"/>
      </w:pBdr>
      <w:jc w:val="center"/>
    </w:pPr>
    <w:rPr>
      <w:rFonts w:ascii="Arial" w:hAnsi="Arial" w:cs="Arial"/>
      <w:vanish/>
      <w:kern w:val="0"/>
      <w:sz w:val="16"/>
      <w:szCs w:val="16"/>
    </w:rPr>
  </w:style>
  <w:style w:type="paragraph" w:customStyle="1" w:styleId="288">
    <w:name w:val="样式"/>
    <w:basedOn w:val="1"/>
    <w:qFormat/>
    <w:uiPriority w:val="0"/>
    <w:pPr>
      <w:tabs>
        <w:tab w:val="left" w:pos="567"/>
        <w:tab w:val="left" w:pos="720"/>
        <w:tab w:val="left" w:pos="980"/>
      </w:tabs>
      <w:snapToGrid w:val="0"/>
      <w:spacing w:line="460" w:lineRule="atLeast"/>
      <w:ind w:left="980" w:hanging="420"/>
    </w:pPr>
    <w:rPr>
      <w:rFonts w:ascii="Arial" w:hAnsi="Arial"/>
      <w:spacing w:val="6"/>
      <w:sz w:val="24"/>
    </w:rPr>
  </w:style>
  <w:style w:type="paragraph" w:customStyle="1" w:styleId="289">
    <w:name w:val="red"/>
    <w:basedOn w:val="1"/>
    <w:qFormat/>
    <w:uiPriority w:val="0"/>
    <w:pPr>
      <w:widowControl/>
      <w:spacing w:before="100" w:beforeAutospacing="1" w:after="100" w:afterAutospacing="1" w:line="300" w:lineRule="atLeast"/>
      <w:jc w:val="left"/>
    </w:pPr>
    <w:rPr>
      <w:rFonts w:ascii="ˎ̥" w:hAnsi="ˎ̥"/>
      <w:color w:val="CC3300"/>
      <w:kern w:val="0"/>
      <w:sz w:val="18"/>
    </w:rPr>
  </w:style>
  <w:style w:type="paragraph" w:customStyle="1" w:styleId="290">
    <w:name w:val="Char Char Char Char1"/>
    <w:basedOn w:val="1"/>
    <w:qFormat/>
    <w:uiPriority w:val="0"/>
    <w:pPr>
      <w:adjustRightInd w:val="0"/>
      <w:spacing w:line="360" w:lineRule="auto"/>
      <w:textAlignment w:val="center"/>
    </w:pPr>
    <w:rPr>
      <w:kern w:val="0"/>
      <w:sz w:val="24"/>
    </w:rPr>
  </w:style>
  <w:style w:type="paragraph" w:customStyle="1" w:styleId="291">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kern w:val="0"/>
      <w:sz w:val="20"/>
    </w:rPr>
  </w:style>
  <w:style w:type="paragraph" w:customStyle="1" w:styleId="292">
    <w:name w:val="xl75"/>
    <w:basedOn w:val="1"/>
    <w:qFormat/>
    <w:uiPriority w:val="0"/>
    <w:pPr>
      <w:widowControl/>
      <w:pBdr>
        <w:top w:val="single" w:color="auto" w:sz="4" w:space="0"/>
        <w:left w:val="single" w:color="auto" w:sz="4" w:space="0"/>
        <w:bottom w:val="single" w:color="auto" w:sz="8" w:space="0"/>
        <w:right w:val="single" w:color="auto" w:sz="8" w:space="0"/>
      </w:pBdr>
      <w:shd w:val="clear" w:color="auto" w:fill="FFFF00"/>
      <w:spacing w:before="100" w:beforeAutospacing="1" w:after="100" w:afterAutospacing="1"/>
      <w:jc w:val="right"/>
    </w:pPr>
    <w:rPr>
      <w:rFonts w:ascii="宋体" w:hAnsi="宋体"/>
      <w:kern w:val="0"/>
      <w:sz w:val="20"/>
    </w:rPr>
  </w:style>
  <w:style w:type="paragraph" w:customStyle="1" w:styleId="293">
    <w:name w:val="xl70"/>
    <w:basedOn w:val="1"/>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jc w:val="left"/>
    </w:pPr>
    <w:rPr>
      <w:rFonts w:ascii="宋体" w:hAnsi="宋体"/>
      <w:kern w:val="0"/>
      <w:sz w:val="20"/>
    </w:rPr>
  </w:style>
  <w:style w:type="paragraph" w:customStyle="1" w:styleId="294">
    <w:name w:val="marcus"/>
    <w:basedOn w:val="1"/>
    <w:qFormat/>
    <w:uiPriority w:val="0"/>
    <w:pPr>
      <w:widowControl/>
      <w:ind w:left="1134"/>
      <w:jc w:val="left"/>
    </w:pPr>
    <w:rPr>
      <w:rFonts w:ascii="Arial" w:hAnsi="Arial"/>
      <w:kern w:val="0"/>
      <w:sz w:val="20"/>
      <w:lang w:val="en-GB" w:eastAsia="en-US"/>
    </w:rPr>
  </w:style>
  <w:style w:type="paragraph" w:customStyle="1" w:styleId="295">
    <w:name w:val="xl111"/>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szCs w:val="24"/>
    </w:rPr>
  </w:style>
  <w:style w:type="paragraph" w:customStyle="1" w:styleId="296">
    <w:name w:val="af0"/>
    <w:basedOn w:val="1"/>
    <w:qFormat/>
    <w:uiPriority w:val="0"/>
    <w:pPr>
      <w:widowControl/>
      <w:spacing w:before="120" w:after="120" w:line="300" w:lineRule="atLeast"/>
      <w:jc w:val="center"/>
    </w:pPr>
    <w:rPr>
      <w:rFonts w:ascii="宋体" w:hAnsi="宋体" w:cs="宋体"/>
      <w:kern w:val="0"/>
      <w:sz w:val="18"/>
      <w:szCs w:val="18"/>
    </w:rPr>
  </w:style>
  <w:style w:type="paragraph" w:customStyle="1" w:styleId="297">
    <w:name w:val="扉页产品名称"/>
    <w:qFormat/>
    <w:uiPriority w:val="0"/>
    <w:pPr>
      <w:autoSpaceDE w:val="0"/>
      <w:autoSpaceDN w:val="0"/>
      <w:spacing w:after="60" w:line="360" w:lineRule="auto"/>
      <w:ind w:left="360" w:firstLine="540"/>
      <w:jc w:val="both"/>
      <w:textAlignment w:val="bottom"/>
    </w:pPr>
    <w:rPr>
      <w:rFonts w:ascii="宋体" w:hAnsi="宋体" w:eastAsia="宋体" w:cs="Times New Roman"/>
      <w:sz w:val="24"/>
      <w:lang w:val="en-US" w:eastAsia="zh-CN" w:bidi="ar-SA"/>
    </w:rPr>
  </w:style>
  <w:style w:type="paragraph" w:customStyle="1" w:styleId="298">
    <w:name w:val="font6"/>
    <w:basedOn w:val="1"/>
    <w:qFormat/>
    <w:uiPriority w:val="0"/>
    <w:pPr>
      <w:widowControl/>
      <w:spacing w:before="100" w:beforeAutospacing="1" w:after="100" w:afterAutospacing="1"/>
      <w:jc w:val="left"/>
    </w:pPr>
    <w:rPr>
      <w:rFonts w:hint="eastAsia" w:ascii="宋体" w:hAnsi="宋体"/>
      <w:kern w:val="0"/>
      <w:sz w:val="20"/>
    </w:rPr>
  </w:style>
  <w:style w:type="paragraph" w:customStyle="1" w:styleId="299">
    <w:name w:val="表项"/>
    <w:next w:val="300"/>
    <w:qFormat/>
    <w:uiPriority w:val="0"/>
    <w:pPr>
      <w:keepNext/>
      <w:spacing w:line="300" w:lineRule="auto"/>
      <w:jc w:val="center"/>
      <w:textAlignment w:val="baseline"/>
    </w:pPr>
    <w:rPr>
      <w:rFonts w:ascii="Arial" w:hAnsi="Arial" w:eastAsia="黑体" w:cs="Times New Roman"/>
      <w:sz w:val="21"/>
      <w:lang w:val="en-US" w:eastAsia="zh-CN" w:bidi="ar-SA"/>
    </w:rPr>
  </w:style>
  <w:style w:type="paragraph" w:customStyle="1" w:styleId="300">
    <w:name w:val="表身"/>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301">
    <w:name w:val="xl88"/>
    <w:basedOn w:val="1"/>
    <w:qFormat/>
    <w:uiPriority w:val="0"/>
    <w:pPr>
      <w:widowControl/>
      <w:pBdr>
        <w:left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302">
    <w:name w:val="zhengwen"/>
    <w:basedOn w:val="1"/>
    <w:qFormat/>
    <w:uiPriority w:val="0"/>
    <w:pPr>
      <w:widowControl/>
      <w:spacing w:before="100" w:beforeAutospacing="1" w:after="100" w:afterAutospacing="1" w:line="270" w:lineRule="atLeast"/>
      <w:jc w:val="left"/>
    </w:pPr>
    <w:rPr>
      <w:color w:val="6B6B6B"/>
      <w:kern w:val="0"/>
      <w:sz w:val="23"/>
      <w:szCs w:val="23"/>
    </w:rPr>
  </w:style>
  <w:style w:type="paragraph" w:customStyle="1" w:styleId="303">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rPr>
  </w:style>
  <w:style w:type="paragraph" w:customStyle="1" w:styleId="304">
    <w:name w:val="xl100"/>
    <w:basedOn w:val="1"/>
    <w:qFormat/>
    <w:uiPriority w:val="0"/>
    <w:pPr>
      <w:widowControl/>
      <w:spacing w:before="100" w:beforeAutospacing="1" w:after="100" w:afterAutospacing="1"/>
      <w:jc w:val="left"/>
    </w:pPr>
    <w:rPr>
      <w:rFonts w:ascii="宋体" w:hAnsi="宋体" w:cs="宋体"/>
      <w:kern w:val="0"/>
      <w:sz w:val="20"/>
    </w:rPr>
  </w:style>
  <w:style w:type="paragraph" w:customStyle="1" w:styleId="305">
    <w:name w:val="自定义正文 Char Char"/>
    <w:basedOn w:val="1"/>
    <w:next w:val="1"/>
    <w:qFormat/>
    <w:uiPriority w:val="0"/>
    <w:pPr>
      <w:widowControl/>
      <w:spacing w:line="560" w:lineRule="exact"/>
      <w:ind w:firstLine="560" w:firstLineChars="200"/>
    </w:pPr>
    <w:rPr>
      <w:rFonts w:ascii="宋体" w:hAnsi="宋体"/>
      <w:b/>
      <w:sz w:val="24"/>
    </w:rPr>
  </w:style>
  <w:style w:type="paragraph" w:customStyle="1" w:styleId="306">
    <w:name w:val="section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07">
    <w:name w:val="xl2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308">
    <w:name w:val="标题四"/>
    <w:basedOn w:val="1"/>
    <w:next w:val="1"/>
    <w:qFormat/>
    <w:uiPriority w:val="0"/>
    <w:pPr>
      <w:keepLines/>
      <w:autoSpaceDE w:val="0"/>
      <w:autoSpaceDN w:val="0"/>
      <w:adjustRightInd w:val="0"/>
      <w:spacing w:line="360" w:lineRule="auto"/>
      <w:ind w:left="907"/>
      <w:outlineLvl w:val="0"/>
    </w:pPr>
    <w:rPr>
      <w:rFonts w:ascii="Arial" w:hAnsi="Arial" w:eastAsia="幼圆"/>
      <w:color w:val="000000"/>
      <w:spacing w:val="30"/>
      <w:kern w:val="10"/>
      <w:sz w:val="28"/>
    </w:rPr>
  </w:style>
  <w:style w:type="paragraph" w:customStyle="1" w:styleId="309">
    <w:name w:val="CM37"/>
    <w:basedOn w:val="253"/>
    <w:next w:val="253"/>
    <w:qFormat/>
    <w:uiPriority w:val="0"/>
    <w:pPr>
      <w:autoSpaceDE w:val="0"/>
      <w:autoSpaceDN w:val="0"/>
      <w:adjustRightInd w:val="0"/>
      <w:spacing w:after="208"/>
    </w:pPr>
    <w:rPr>
      <w:rFonts w:ascii="HYDaHeiJ" w:eastAsia="HYDaHeiJ"/>
      <w:color w:val="auto"/>
      <w:lang w:eastAsia="zh-CN"/>
    </w:rPr>
  </w:style>
  <w:style w:type="paragraph" w:customStyle="1" w:styleId="310">
    <w:name w:val="Item Step"/>
    <w:basedOn w:val="1"/>
    <w:qFormat/>
    <w:uiPriority w:val="0"/>
    <w:pPr>
      <w:widowControl/>
      <w:tabs>
        <w:tab w:val="left" w:pos="1134"/>
      </w:tabs>
      <w:spacing w:afterLines="50"/>
      <w:ind w:left="1554" w:hanging="420"/>
      <w:jc w:val="left"/>
    </w:pPr>
    <w:rPr>
      <w:szCs w:val="24"/>
    </w:rPr>
  </w:style>
  <w:style w:type="paragraph" w:customStyle="1" w:styleId="311">
    <w:name w:val="正文 1"/>
    <w:basedOn w:val="1"/>
    <w:qFormat/>
    <w:uiPriority w:val="0"/>
    <w:pPr>
      <w:widowControl/>
      <w:snapToGrid w:val="0"/>
      <w:spacing w:before="80" w:after="80" w:line="360" w:lineRule="auto"/>
      <w:ind w:left="1134"/>
    </w:pPr>
  </w:style>
  <w:style w:type="paragraph" w:customStyle="1" w:styleId="312">
    <w:name w:val="样式 正文文本正文文字 + 首行缩进:  2 字符"/>
    <w:basedOn w:val="30"/>
    <w:qFormat/>
    <w:uiPriority w:val="0"/>
    <w:pPr>
      <w:autoSpaceDE w:val="0"/>
      <w:autoSpaceDN w:val="0"/>
      <w:adjustRightInd w:val="0"/>
      <w:spacing w:before="60" w:after="60" w:line="460" w:lineRule="exact"/>
      <w:ind w:firstLine="200" w:firstLineChars="200"/>
      <w:jc w:val="left"/>
      <w:textAlignment w:val="baseline"/>
    </w:pPr>
    <w:rPr>
      <w:rFonts w:ascii="宋体" w:hAnsi="Arial"/>
      <w:kern w:val="0"/>
      <w:sz w:val="24"/>
      <w:lang w:val="en-GB"/>
    </w:rPr>
  </w:style>
  <w:style w:type="paragraph" w:customStyle="1" w:styleId="313">
    <w:name w:val="xl63"/>
    <w:basedOn w:val="1"/>
    <w:qFormat/>
    <w:uiPriority w:val="0"/>
    <w:pPr>
      <w:widowControl/>
      <w:pBdr>
        <w:top w:val="single" w:color="auto" w:sz="4" w:space="0"/>
        <w:left w:val="single" w:color="auto" w:sz="4" w:space="0"/>
        <w:bottom w:val="single" w:color="auto" w:sz="4" w:space="0"/>
      </w:pBdr>
      <w:shd w:val="clear" w:color="auto" w:fill="FFFF00"/>
      <w:spacing w:before="100" w:beforeAutospacing="1" w:after="100" w:afterAutospacing="1"/>
      <w:jc w:val="right"/>
    </w:pPr>
    <w:rPr>
      <w:kern w:val="0"/>
      <w:sz w:val="20"/>
    </w:rPr>
  </w:style>
  <w:style w:type="paragraph" w:customStyle="1" w:styleId="314">
    <w:name w:val="次小点说明"/>
    <w:basedOn w:val="10"/>
    <w:qFormat/>
    <w:uiPriority w:val="0"/>
    <w:pPr>
      <w:tabs>
        <w:tab w:val="left" w:pos="840"/>
      </w:tabs>
      <w:spacing w:after="80"/>
      <w:ind w:left="840" w:hanging="420" w:firstLineChars="0"/>
    </w:pPr>
    <w:rPr>
      <w:szCs w:val="24"/>
    </w:rPr>
  </w:style>
  <w:style w:type="paragraph" w:customStyle="1" w:styleId="315">
    <w:name w:val="graph"/>
    <w:basedOn w:val="30"/>
    <w:qFormat/>
    <w:uiPriority w:val="0"/>
    <w:pPr>
      <w:adjustRightInd w:val="0"/>
      <w:spacing w:line="360" w:lineRule="auto"/>
      <w:ind w:right="74"/>
      <w:jc w:val="center"/>
      <w:textAlignment w:val="baseline"/>
    </w:pPr>
    <w:rPr>
      <w:kern w:val="0"/>
      <w:sz w:val="24"/>
    </w:rPr>
  </w:style>
  <w:style w:type="paragraph" w:customStyle="1" w:styleId="316">
    <w:name w:val="xl4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kern w:val="0"/>
      <w:sz w:val="20"/>
    </w:rPr>
  </w:style>
  <w:style w:type="paragraph" w:customStyle="1" w:styleId="317">
    <w:name w:val="p-title"/>
    <w:basedOn w:val="1"/>
    <w:qFormat/>
    <w:uiPriority w:val="0"/>
    <w:pPr>
      <w:widowControl/>
      <w:spacing w:before="100" w:beforeAutospacing="1" w:after="100" w:afterAutospacing="1"/>
      <w:jc w:val="left"/>
    </w:pPr>
    <w:rPr>
      <w:rFonts w:ascii="Arial Unicode MS" w:hAnsi="Arial Unicode MS" w:eastAsia="Arial Unicode MS"/>
      <w:color w:val="000000"/>
      <w:kern w:val="0"/>
      <w:sz w:val="24"/>
    </w:rPr>
  </w:style>
  <w:style w:type="paragraph" w:customStyle="1" w:styleId="318">
    <w:name w:val="CM21"/>
    <w:basedOn w:val="253"/>
    <w:next w:val="253"/>
    <w:qFormat/>
    <w:uiPriority w:val="0"/>
    <w:pPr>
      <w:autoSpaceDE w:val="0"/>
      <w:autoSpaceDN w:val="0"/>
      <w:adjustRightInd w:val="0"/>
    </w:pPr>
    <w:rPr>
      <w:rFonts w:ascii="HYDaHeiJ" w:eastAsia="HYDaHeiJ"/>
      <w:color w:val="auto"/>
      <w:lang w:eastAsia="zh-CN"/>
    </w:rPr>
  </w:style>
  <w:style w:type="paragraph" w:customStyle="1" w:styleId="319">
    <w:name w:val="xl34"/>
    <w:basedOn w:val="1"/>
    <w:qFormat/>
    <w:uiPriority w:val="0"/>
    <w:pPr>
      <w:widowControl/>
      <w:spacing w:before="100" w:beforeAutospacing="1" w:after="100" w:afterAutospacing="1"/>
      <w:jc w:val="left"/>
    </w:pPr>
    <w:rPr>
      <w:rFonts w:ascii="Arial" w:hAnsi="Arial" w:eastAsia="Arial Unicode MS" w:cs="Arial"/>
      <w:kern w:val="0"/>
      <w:sz w:val="24"/>
      <w:szCs w:val="24"/>
    </w:rPr>
  </w:style>
  <w:style w:type="paragraph" w:customStyle="1" w:styleId="320">
    <w:name w:val="批注框文本1"/>
    <w:basedOn w:val="1"/>
    <w:qFormat/>
    <w:uiPriority w:val="0"/>
    <w:rPr>
      <w:sz w:val="18"/>
      <w:szCs w:val="18"/>
    </w:rPr>
  </w:style>
  <w:style w:type="paragraph" w:customStyle="1" w:styleId="321">
    <w:name w:val="xl113"/>
    <w:basedOn w:val="1"/>
    <w:qFormat/>
    <w:uiPriority w:val="0"/>
    <w:pPr>
      <w:widowControl/>
      <w:pBdr>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322">
    <w:name w:val="Char Char25 Char Char1 Char Char Char Char"/>
    <w:basedOn w:val="23"/>
    <w:qFormat/>
    <w:uiPriority w:val="0"/>
    <w:rPr>
      <w:rFonts w:ascii="宋体" w:hAnsi="宋体"/>
      <w:b/>
      <w:sz w:val="24"/>
      <w:shd w:val="clear" w:color="auto" w:fill="auto"/>
    </w:rPr>
  </w:style>
  <w:style w:type="paragraph" w:customStyle="1" w:styleId="323">
    <w:name w:val="contents Title"/>
    <w:basedOn w:val="57"/>
    <w:qFormat/>
    <w:uiPriority w:val="0"/>
    <w:pPr>
      <w:widowControl w:val="0"/>
      <w:adjustRightInd w:val="0"/>
      <w:spacing w:before="760" w:after="280"/>
      <w:jc w:val="left"/>
      <w:textAlignment w:val="baseline"/>
    </w:pPr>
    <w:rPr>
      <w:rFonts w:eastAsia="黑体"/>
      <w:b w:val="0"/>
      <w:spacing w:val="40"/>
      <w:sz w:val="30"/>
      <w:szCs w:val="20"/>
      <w:u w:val="single"/>
      <w:lang w:val="en-US"/>
    </w:rPr>
  </w:style>
  <w:style w:type="paragraph" w:customStyle="1" w:styleId="324">
    <w:name w:val="CM33"/>
    <w:basedOn w:val="253"/>
    <w:next w:val="253"/>
    <w:qFormat/>
    <w:uiPriority w:val="0"/>
    <w:pPr>
      <w:autoSpaceDE w:val="0"/>
      <w:autoSpaceDN w:val="0"/>
      <w:adjustRightInd w:val="0"/>
      <w:spacing w:after="635"/>
    </w:pPr>
    <w:rPr>
      <w:rFonts w:ascii="HYDaHeiJ" w:eastAsia="HYDaHeiJ"/>
      <w:color w:val="auto"/>
      <w:lang w:eastAsia="zh-CN"/>
    </w:rPr>
  </w:style>
  <w:style w:type="paragraph" w:customStyle="1" w:styleId="325">
    <w:name w:val="样式 正文文本btBody Text(ch) Char Char Char Char Char Char Char Cha..."/>
    <w:basedOn w:val="30"/>
    <w:qFormat/>
    <w:uiPriority w:val="0"/>
    <w:pPr>
      <w:tabs>
        <w:tab w:val="left" w:pos="420"/>
      </w:tabs>
      <w:adjustRightInd w:val="0"/>
      <w:snapToGrid w:val="0"/>
      <w:spacing w:after="0" w:line="360" w:lineRule="auto"/>
      <w:ind w:left="360" w:hanging="360"/>
    </w:pPr>
    <w:rPr>
      <w:rFonts w:ascii="宋体" w:hAnsi="宋体"/>
      <w:sz w:val="24"/>
    </w:rPr>
  </w:style>
  <w:style w:type="paragraph" w:customStyle="1" w:styleId="326">
    <w:name w:val="样式 标题 2H2部分标题Heading 2 HiddenHeading 2 CCBSheading 2Titre3...1"/>
    <w:basedOn w:val="4"/>
    <w:qFormat/>
    <w:uiPriority w:val="0"/>
    <w:pPr>
      <w:tabs>
        <w:tab w:val="left" w:pos="1680"/>
      </w:tabs>
      <w:spacing w:before="0" w:after="0" w:line="360" w:lineRule="auto"/>
      <w:ind w:left="2010" w:hanging="420"/>
      <w:outlineLvl w:val="2"/>
    </w:pPr>
    <w:rPr>
      <w:rFonts w:ascii="宋体" w:hAnsi="宋体" w:eastAsia="宋体"/>
      <w:bCs w:val="0"/>
      <w:color w:val="FF0000"/>
      <w:sz w:val="24"/>
      <w:szCs w:val="20"/>
    </w:rPr>
  </w:style>
  <w:style w:type="paragraph" w:customStyle="1" w:styleId="327">
    <w:name w:val="xl115"/>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szCs w:val="24"/>
    </w:rPr>
  </w:style>
  <w:style w:type="paragraph" w:customStyle="1" w:styleId="328">
    <w:name w:val="样式 行距: 1.5 倍行距"/>
    <w:basedOn w:val="1"/>
    <w:qFormat/>
    <w:uiPriority w:val="0"/>
    <w:pPr>
      <w:spacing w:line="360" w:lineRule="auto"/>
      <w:ind w:firstLine="420" w:firstLineChars="200"/>
    </w:pPr>
    <w:rPr>
      <w:sz w:val="28"/>
    </w:rPr>
  </w:style>
  <w:style w:type="paragraph" w:customStyle="1" w:styleId="329">
    <w:name w:val="二级标题"/>
    <w:basedOn w:val="3"/>
    <w:qFormat/>
    <w:uiPriority w:val="0"/>
    <w:pPr>
      <w:tabs>
        <w:tab w:val="left" w:pos="1369"/>
      </w:tabs>
      <w:spacing w:before="100" w:beforeAutospacing="1" w:after="0" w:line="400" w:lineRule="atLeast"/>
      <w:ind w:left="421" w:hanging="132"/>
      <w:jc w:val="left"/>
      <w:outlineLvl w:val="2"/>
    </w:pPr>
    <w:rPr>
      <w:rFonts w:eastAsia="黑体"/>
      <w:spacing w:val="10"/>
      <w:sz w:val="24"/>
      <w:szCs w:val="20"/>
    </w:rPr>
  </w:style>
  <w:style w:type="paragraph" w:customStyle="1" w:styleId="330">
    <w:name w:val="Char Char12 Char Char Char Char Char Char"/>
    <w:basedOn w:val="23"/>
    <w:qFormat/>
    <w:uiPriority w:val="0"/>
    <w:rPr>
      <w:rFonts w:ascii="宋体" w:hAnsi="宋体"/>
      <w:b/>
      <w:sz w:val="24"/>
      <w:shd w:val="clear" w:color="auto" w:fill="auto"/>
    </w:rPr>
  </w:style>
  <w:style w:type="paragraph" w:customStyle="1" w:styleId="331">
    <w:name w:val="xl68"/>
    <w:basedOn w:val="1"/>
    <w:qFormat/>
    <w:uiPriority w:val="0"/>
    <w:pPr>
      <w:widowControl/>
      <w:pBdr>
        <w:top w:val="single" w:color="auto" w:sz="4" w:space="0"/>
        <w:left w:val="single" w:color="auto" w:sz="8" w:space="0"/>
        <w:bottom w:val="single" w:color="auto" w:sz="8" w:space="0"/>
      </w:pBdr>
      <w:shd w:val="clear" w:color="auto" w:fill="FFFF00"/>
      <w:spacing w:before="100" w:beforeAutospacing="1" w:after="100" w:afterAutospacing="1"/>
      <w:jc w:val="left"/>
    </w:pPr>
    <w:rPr>
      <w:rFonts w:ascii="宋体" w:hAnsi="宋体"/>
      <w:kern w:val="0"/>
      <w:sz w:val="20"/>
    </w:rPr>
  </w:style>
  <w:style w:type="paragraph" w:customStyle="1" w:styleId="332">
    <w:name w:val="CM34"/>
    <w:basedOn w:val="253"/>
    <w:next w:val="253"/>
    <w:qFormat/>
    <w:uiPriority w:val="0"/>
    <w:pPr>
      <w:autoSpaceDE w:val="0"/>
      <w:autoSpaceDN w:val="0"/>
      <w:adjustRightInd w:val="0"/>
      <w:spacing w:after="1048"/>
    </w:pPr>
    <w:rPr>
      <w:rFonts w:ascii="HYDaHeiJ" w:eastAsia="HYDaHeiJ"/>
      <w:color w:val="auto"/>
      <w:lang w:eastAsia="zh-CN"/>
    </w:rPr>
  </w:style>
  <w:style w:type="paragraph" w:customStyle="1" w:styleId="333">
    <w:name w:val="_Style 88"/>
    <w:basedOn w:val="1"/>
    <w:qFormat/>
    <w:uiPriority w:val="0"/>
  </w:style>
  <w:style w:type="paragraph" w:customStyle="1" w:styleId="33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kern w:val="0"/>
      <w:sz w:val="20"/>
    </w:rPr>
  </w:style>
  <w:style w:type="paragraph" w:customStyle="1" w:styleId="335">
    <w:name w:val="Char1 Char Char Char Char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336">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337">
    <w:name w:val="内容1"/>
    <w:basedOn w:val="1"/>
    <w:qFormat/>
    <w:uiPriority w:val="0"/>
    <w:pPr>
      <w:tabs>
        <w:tab w:val="left" w:pos="420"/>
      </w:tabs>
      <w:spacing w:line="480" w:lineRule="auto"/>
      <w:ind w:left="420" w:hanging="420"/>
    </w:pPr>
    <w:rPr>
      <w:rFonts w:ascii="宋体" w:hAnsi="宋体"/>
      <w:b/>
    </w:rPr>
  </w:style>
  <w:style w:type="paragraph" w:customStyle="1" w:styleId="338">
    <w:name w:val="部分"/>
    <w:basedOn w:val="3"/>
    <w:next w:val="3"/>
    <w:qFormat/>
    <w:uiPriority w:val="0"/>
    <w:pPr>
      <w:spacing w:before="300" w:after="100" w:afterAutospacing="1" w:line="400" w:lineRule="exact"/>
      <w:jc w:val="center"/>
      <w:textAlignment w:val="center"/>
    </w:pPr>
    <w:rPr>
      <w:rFonts w:eastAsia="黑体"/>
      <w:color w:val="008000"/>
      <w:spacing w:val="10"/>
      <w:sz w:val="36"/>
      <w:szCs w:val="20"/>
    </w:rPr>
  </w:style>
  <w:style w:type="paragraph" w:customStyle="1" w:styleId="339">
    <w:name w:val="xl33"/>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340">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lang w:val="en-US" w:eastAsia="zh-CN" w:bidi="ar-SA"/>
    </w:rPr>
  </w:style>
  <w:style w:type="paragraph" w:customStyle="1" w:styleId="341">
    <w:name w:val="样式 标题 3 + 左侧:  0 厘米 首行缩进:  0 厘米"/>
    <w:basedOn w:val="5"/>
    <w:qFormat/>
    <w:uiPriority w:val="0"/>
    <w:pPr>
      <w:spacing w:line="413" w:lineRule="auto"/>
    </w:pPr>
    <w:rPr>
      <w:bCs w:val="0"/>
      <w:sz w:val="28"/>
      <w:szCs w:val="20"/>
    </w:rPr>
  </w:style>
  <w:style w:type="paragraph" w:customStyle="1" w:styleId="342">
    <w:name w:val="GCEBStyles1"/>
    <w:basedOn w:val="1"/>
    <w:qFormat/>
    <w:uiPriority w:val="0"/>
    <w:pPr>
      <w:jc w:val="left"/>
      <w:outlineLvl w:val="1"/>
    </w:pPr>
    <w:rPr>
      <w:rFonts w:ascii="黑体" w:hAnsi="宋体" w:eastAsia="黑体"/>
      <w:b/>
      <w:bCs/>
      <w:kern w:val="0"/>
      <w:sz w:val="32"/>
      <w:szCs w:val="24"/>
    </w:rPr>
  </w:style>
  <w:style w:type="paragraph" w:customStyle="1" w:styleId="343">
    <w:name w:val="样式 正文文本缩进 + 段前: 2 字符"/>
    <w:basedOn w:val="1"/>
    <w:qFormat/>
    <w:uiPriority w:val="0"/>
    <w:pPr>
      <w:ind w:left="420" w:leftChars="200"/>
      <w:jc w:val="left"/>
    </w:pPr>
    <w:rPr>
      <w:sz w:val="28"/>
      <w:szCs w:val="24"/>
      <w:lang w:eastAsia="zh-TW"/>
    </w:rPr>
  </w:style>
  <w:style w:type="paragraph" w:customStyle="1" w:styleId="344">
    <w:name w:val="表格数据"/>
    <w:basedOn w:val="1"/>
    <w:qFormat/>
    <w:uiPriority w:val="0"/>
    <w:pPr>
      <w:jc w:val="right"/>
    </w:pPr>
    <w:rPr>
      <w:color w:val="000000"/>
      <w:kern w:val="0"/>
      <w:sz w:val="18"/>
      <w:szCs w:val="21"/>
    </w:rPr>
  </w:style>
  <w:style w:type="paragraph" w:customStyle="1" w:styleId="345">
    <w:name w:val="正文段落"/>
    <w:basedOn w:val="1"/>
    <w:qFormat/>
    <w:uiPriority w:val="0"/>
    <w:pPr>
      <w:spacing w:line="300" w:lineRule="auto"/>
      <w:ind w:firstLine="510"/>
    </w:pPr>
    <w:rPr>
      <w:sz w:val="24"/>
    </w:rPr>
  </w:style>
  <w:style w:type="paragraph" w:customStyle="1" w:styleId="346">
    <w:name w:val="Char Char1 Char Char Char Char Char Char"/>
    <w:basedOn w:val="1"/>
    <w:qFormat/>
    <w:uiPriority w:val="0"/>
    <w:rPr>
      <w:szCs w:val="24"/>
    </w:rPr>
  </w:style>
  <w:style w:type="paragraph" w:customStyle="1" w:styleId="347">
    <w:name w:val="样式3"/>
    <w:basedOn w:val="348"/>
    <w:next w:val="349"/>
    <w:qFormat/>
    <w:uiPriority w:val="0"/>
    <w:pPr>
      <w:tabs>
        <w:tab w:val="left" w:pos="420"/>
        <w:tab w:val="left" w:pos="720"/>
      </w:tabs>
      <w:ind w:left="720" w:hanging="360"/>
    </w:pPr>
  </w:style>
  <w:style w:type="paragraph" w:customStyle="1" w:styleId="348">
    <w:name w:val="标题一"/>
    <w:basedOn w:val="1"/>
    <w:next w:val="349"/>
    <w:qFormat/>
    <w:uiPriority w:val="0"/>
    <w:pPr>
      <w:keepLines/>
      <w:tabs>
        <w:tab w:val="left" w:pos="420"/>
      </w:tabs>
      <w:autoSpaceDE w:val="0"/>
      <w:autoSpaceDN w:val="0"/>
      <w:adjustRightInd w:val="0"/>
      <w:spacing w:before="120" w:after="120" w:line="480" w:lineRule="auto"/>
      <w:ind w:left="420" w:hanging="420"/>
      <w:jc w:val="center"/>
      <w:outlineLvl w:val="3"/>
    </w:pPr>
    <w:rPr>
      <w:rFonts w:ascii="幼圆" w:eastAsia="幼圆"/>
      <w:b/>
      <w:color w:val="000000"/>
      <w:spacing w:val="60"/>
      <w:kern w:val="10"/>
      <w:position w:val="8"/>
      <w:sz w:val="30"/>
    </w:rPr>
  </w:style>
  <w:style w:type="paragraph" w:customStyle="1" w:styleId="349">
    <w:name w:val="标题二"/>
    <w:basedOn w:val="1"/>
    <w:next w:val="350"/>
    <w:qFormat/>
    <w:uiPriority w:val="0"/>
    <w:pPr>
      <w:tabs>
        <w:tab w:val="left" w:pos="1370"/>
      </w:tabs>
      <w:autoSpaceDE w:val="0"/>
      <w:autoSpaceDN w:val="0"/>
      <w:adjustRightInd w:val="0"/>
      <w:spacing w:line="360" w:lineRule="auto"/>
      <w:ind w:left="1370" w:hanging="425"/>
      <w:outlineLvl w:val="2"/>
    </w:pPr>
    <w:rPr>
      <w:rFonts w:ascii="幼圆" w:eastAsia="幼圆"/>
      <w:b/>
      <w:color w:val="000000"/>
      <w:spacing w:val="38"/>
      <w:kern w:val="10"/>
      <w:sz w:val="28"/>
    </w:rPr>
  </w:style>
  <w:style w:type="paragraph" w:customStyle="1" w:styleId="350">
    <w:name w:val="标题三"/>
    <w:basedOn w:val="1"/>
    <w:next w:val="308"/>
    <w:qFormat/>
    <w:uiPriority w:val="0"/>
    <w:pPr>
      <w:tabs>
        <w:tab w:val="left" w:pos="1080"/>
      </w:tabs>
      <w:autoSpaceDE w:val="0"/>
      <w:autoSpaceDN w:val="0"/>
      <w:adjustRightInd w:val="0"/>
      <w:spacing w:line="360" w:lineRule="auto"/>
      <w:ind w:left="432" w:hanging="432"/>
    </w:pPr>
    <w:rPr>
      <w:rFonts w:ascii="幼圆" w:eastAsia="幼圆"/>
      <w:b/>
      <w:color w:val="000000"/>
      <w:spacing w:val="34"/>
      <w:kern w:val="10"/>
      <w:sz w:val="24"/>
    </w:rPr>
  </w:style>
  <w:style w:type="paragraph" w:customStyle="1" w:styleId="351">
    <w:name w:val="l18"/>
    <w:basedOn w:val="1"/>
    <w:qFormat/>
    <w:uiPriority w:val="0"/>
    <w:pPr>
      <w:widowControl/>
      <w:spacing w:before="30" w:after="100" w:line="270" w:lineRule="atLeast"/>
      <w:ind w:left="90"/>
      <w:jc w:val="left"/>
    </w:pPr>
    <w:rPr>
      <w:rFonts w:ascii="Arial" w:hAnsi="Arial"/>
      <w:color w:val="000000"/>
      <w:kern w:val="0"/>
      <w:sz w:val="18"/>
    </w:rPr>
  </w:style>
  <w:style w:type="paragraph" w:customStyle="1" w:styleId="352">
    <w:name w:val="模板普通正文"/>
    <w:basedOn w:val="32"/>
    <w:qFormat/>
    <w:uiPriority w:val="0"/>
    <w:pPr>
      <w:spacing w:beforeLines="50" w:after="10" w:line="360" w:lineRule="auto"/>
      <w:ind w:left="0" w:leftChars="0" w:firstLine="490" w:firstLineChars="175"/>
      <w:jc w:val="left"/>
    </w:pPr>
    <w:rPr>
      <w:sz w:val="24"/>
    </w:rPr>
  </w:style>
  <w:style w:type="paragraph" w:customStyle="1" w:styleId="353">
    <w:name w:val="样式 标题 3Level 3 HeadH3level_3PIM 3h33l3CTBOD 0sect1.2.3...1"/>
    <w:basedOn w:val="5"/>
    <w:qFormat/>
    <w:uiPriority w:val="0"/>
    <w:pPr>
      <w:tabs>
        <w:tab w:val="left" w:pos="851"/>
      </w:tabs>
      <w:spacing w:before="0" w:after="0" w:line="360" w:lineRule="auto"/>
      <w:ind w:left="2100" w:hanging="420"/>
      <w:outlineLvl w:val="3"/>
    </w:pPr>
    <w:rPr>
      <w:rFonts w:ascii="宋体" w:hAnsi="宋体"/>
      <w:bCs w:val="0"/>
      <w:sz w:val="24"/>
      <w:szCs w:val="20"/>
    </w:rPr>
  </w:style>
  <w:style w:type="paragraph" w:customStyle="1" w:styleId="354">
    <w:name w:val="Footnote Base"/>
    <w:basedOn w:val="1"/>
    <w:qFormat/>
    <w:uiPriority w:val="0"/>
    <w:pPr>
      <w:keepLines/>
      <w:widowControl/>
      <w:spacing w:line="200" w:lineRule="atLeast"/>
      <w:ind w:left="1080"/>
      <w:jc w:val="left"/>
    </w:pPr>
    <w:rPr>
      <w:rFonts w:ascii="Arial" w:hAnsi="Arial" w:eastAsia="仿宋体"/>
      <w:smallCaps/>
      <w:spacing w:val="-5"/>
      <w:kern w:val="0"/>
      <w:sz w:val="16"/>
      <w:lang w:eastAsia="en-US"/>
    </w:rPr>
  </w:style>
  <w:style w:type="paragraph" w:customStyle="1" w:styleId="355">
    <w:name w:val="表格1"/>
    <w:basedOn w:val="1"/>
    <w:qFormat/>
    <w:uiPriority w:val="0"/>
    <w:pPr>
      <w:spacing w:line="360" w:lineRule="auto"/>
      <w:ind w:firstLine="480" w:firstLineChars="200"/>
    </w:pPr>
    <w:rPr>
      <w:rFonts w:ascii="宋体" w:hAnsi="宋体"/>
      <w:sz w:val="24"/>
      <w:szCs w:val="24"/>
    </w:rPr>
  </w:style>
  <w:style w:type="paragraph" w:customStyle="1" w:styleId="356">
    <w:name w:val="newtext"/>
    <w:basedOn w:val="1"/>
    <w:qFormat/>
    <w:uiPriority w:val="0"/>
    <w:pPr>
      <w:widowControl/>
      <w:spacing w:before="100" w:beforeAutospacing="1" w:after="100" w:afterAutospacing="1" w:line="480" w:lineRule="atLeast"/>
      <w:jc w:val="left"/>
    </w:pPr>
    <w:rPr>
      <w:rFonts w:ascii="Arial Unicode MS" w:hAnsi="Arial Unicode MS"/>
      <w:kern w:val="0"/>
      <w:sz w:val="28"/>
    </w:rPr>
  </w:style>
  <w:style w:type="paragraph" w:customStyle="1" w:styleId="357">
    <w:name w:val="CM11"/>
    <w:basedOn w:val="253"/>
    <w:next w:val="253"/>
    <w:qFormat/>
    <w:uiPriority w:val="0"/>
    <w:pPr>
      <w:autoSpaceDE w:val="0"/>
      <w:autoSpaceDN w:val="0"/>
      <w:adjustRightInd w:val="0"/>
      <w:spacing w:line="300" w:lineRule="atLeast"/>
    </w:pPr>
    <w:rPr>
      <w:rFonts w:ascii="Arial Black" w:hAnsi="Arial Black" w:eastAsia="宋体"/>
      <w:color w:val="auto"/>
      <w:sz w:val="20"/>
      <w:lang w:eastAsia="zh-CN"/>
    </w:rPr>
  </w:style>
  <w:style w:type="paragraph" w:customStyle="1" w:styleId="358">
    <w:name w:val="字元 字元"/>
    <w:basedOn w:val="1"/>
    <w:qFormat/>
    <w:uiPriority w:val="0"/>
  </w:style>
  <w:style w:type="paragraph" w:customStyle="1" w:styleId="359">
    <w:name w:val="Char Char1 Char"/>
    <w:basedOn w:val="1"/>
    <w:qFormat/>
    <w:uiPriority w:val="0"/>
  </w:style>
  <w:style w:type="paragraph" w:customStyle="1" w:styleId="360">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61">
    <w:name w:val="批注主题1"/>
    <w:basedOn w:val="25"/>
    <w:next w:val="25"/>
    <w:qFormat/>
    <w:uiPriority w:val="0"/>
    <w:rPr>
      <w:b/>
      <w:bCs/>
      <w:sz w:val="18"/>
      <w:szCs w:val="18"/>
    </w:rPr>
  </w:style>
  <w:style w:type="paragraph" w:customStyle="1" w:styleId="362">
    <w:name w:val="Char Char1 Char Char Char Char Char Char Char Char Char Char Char Char Char Char Char Char Char Char Char Char"/>
    <w:basedOn w:val="1"/>
    <w:qFormat/>
    <w:uiPriority w:val="0"/>
    <w:pPr>
      <w:keepNext/>
      <w:keepLines/>
      <w:adjustRightInd w:val="0"/>
      <w:spacing w:beforeLines="100" w:afterLines="100" w:line="300" w:lineRule="auto"/>
      <w:ind w:firstLine="200" w:firstLineChars="200"/>
      <w:textAlignment w:val="center"/>
    </w:pPr>
    <w:rPr>
      <w:rFonts w:ascii="仿宋_GB2312" w:hAnsi="宋体" w:eastAsia="仿宋_GB2312"/>
      <w:kern w:val="0"/>
      <w:sz w:val="24"/>
    </w:rPr>
  </w:style>
  <w:style w:type="paragraph" w:customStyle="1" w:styleId="363">
    <w:name w:val="B标题3"/>
    <w:basedOn w:val="1"/>
    <w:qFormat/>
    <w:uiPriority w:val="0"/>
    <w:pPr>
      <w:spacing w:before="120" w:after="240" w:line="400" w:lineRule="exact"/>
      <w:ind w:firstLine="200" w:firstLineChars="200"/>
      <w:outlineLvl w:val="2"/>
    </w:pPr>
    <w:rPr>
      <w:rFonts w:ascii="楷体_GB2312" w:hAnsi="宋体" w:eastAsia="黑体"/>
      <w:b/>
      <w:sz w:val="24"/>
    </w:rPr>
  </w:style>
  <w:style w:type="paragraph" w:customStyle="1" w:styleId="364">
    <w:name w:val="标记1"/>
    <w:basedOn w:val="1"/>
    <w:qFormat/>
    <w:uiPriority w:val="0"/>
    <w:pPr>
      <w:spacing w:beforeLines="50" w:afterLines="50" w:line="360" w:lineRule="auto"/>
    </w:pPr>
    <w:rPr>
      <w:b/>
      <w:bCs/>
      <w:sz w:val="24"/>
      <w:szCs w:val="24"/>
    </w:rPr>
  </w:style>
  <w:style w:type="paragraph" w:customStyle="1" w:styleId="365">
    <w:name w:val="Char Char6 Char Char"/>
    <w:basedOn w:val="23"/>
    <w:qFormat/>
    <w:uiPriority w:val="0"/>
    <w:rPr>
      <w:rFonts w:ascii="宋体" w:hAnsi="宋体"/>
      <w:b/>
      <w:sz w:val="24"/>
      <w:shd w:val="clear" w:color="auto" w:fill="auto"/>
    </w:rPr>
  </w:style>
  <w:style w:type="paragraph" w:customStyle="1" w:styleId="366">
    <w:name w:val="样式1"/>
    <w:basedOn w:val="51"/>
    <w:qFormat/>
    <w:uiPriority w:val="0"/>
    <w:rPr>
      <w:rFonts w:ascii="Calibri" w:hAnsi="Calibri"/>
    </w:rPr>
  </w:style>
  <w:style w:type="paragraph" w:customStyle="1" w:styleId="367">
    <w:name w:val="德标正文"/>
    <w:qFormat/>
    <w:uiPriority w:val="0"/>
    <w:pPr>
      <w:autoSpaceDE w:val="0"/>
      <w:autoSpaceDN w:val="0"/>
      <w:adjustRightInd w:val="0"/>
      <w:snapToGrid w:val="0"/>
      <w:spacing w:before="40" w:after="40" w:line="312" w:lineRule="auto"/>
      <w:ind w:left="1134"/>
    </w:pPr>
    <w:rPr>
      <w:rFonts w:ascii="Times New Roman" w:hAnsi="Times New Roman" w:eastAsia="宋体" w:cs="Times New Roman"/>
      <w:snapToGrid w:val="0"/>
      <w:sz w:val="18"/>
      <w:lang w:val="en-US" w:eastAsia="zh-CN" w:bidi="ar-SA"/>
    </w:rPr>
  </w:style>
  <w:style w:type="paragraph" w:customStyle="1" w:styleId="368">
    <w:name w:val="CM5"/>
    <w:basedOn w:val="253"/>
    <w:next w:val="253"/>
    <w:qFormat/>
    <w:uiPriority w:val="0"/>
    <w:pPr>
      <w:autoSpaceDE w:val="0"/>
      <w:autoSpaceDN w:val="0"/>
      <w:adjustRightInd w:val="0"/>
    </w:pPr>
    <w:rPr>
      <w:rFonts w:ascii="HYDaHeiJ" w:eastAsia="HYDaHeiJ"/>
      <w:color w:val="auto"/>
      <w:lang w:eastAsia="zh-CN"/>
    </w:rPr>
  </w:style>
  <w:style w:type="paragraph" w:customStyle="1" w:styleId="369">
    <w:name w:val="00"/>
    <w:basedOn w:val="1"/>
    <w:qFormat/>
    <w:uiPriority w:val="0"/>
    <w:pPr>
      <w:autoSpaceDE w:val="0"/>
      <w:autoSpaceDN w:val="0"/>
      <w:adjustRightInd w:val="0"/>
      <w:jc w:val="left"/>
    </w:pPr>
    <w:rPr>
      <w:rFonts w:ascii="黑体" w:eastAsia="黑体"/>
      <w:b/>
      <w:kern w:val="0"/>
      <w:sz w:val="20"/>
    </w:rPr>
  </w:style>
  <w:style w:type="paragraph" w:customStyle="1" w:styleId="370">
    <w:name w:val="间隔正文"/>
    <w:basedOn w:val="1"/>
    <w:qFormat/>
    <w:uiPriority w:val="0"/>
    <w:pPr>
      <w:adjustRightInd w:val="0"/>
      <w:spacing w:before="40" w:after="120" w:line="360" w:lineRule="atLeast"/>
      <w:jc w:val="left"/>
      <w:textAlignment w:val="baseline"/>
    </w:pPr>
    <w:rPr>
      <w:kern w:val="0"/>
      <w:sz w:val="24"/>
    </w:rPr>
  </w:style>
  <w:style w:type="paragraph" w:customStyle="1" w:styleId="371">
    <w:name w:val="正文首行缩进:  2 字符"/>
    <w:basedOn w:val="30"/>
    <w:qFormat/>
    <w:uiPriority w:val="0"/>
    <w:pPr>
      <w:spacing w:after="0" w:line="360" w:lineRule="auto"/>
      <w:ind w:firstLine="480" w:firstLineChars="200"/>
      <w:jc w:val="left"/>
    </w:pPr>
    <w:rPr>
      <w:rFonts w:ascii="Arial" w:hAnsi="Arial"/>
      <w:sz w:val="24"/>
    </w:rPr>
  </w:style>
  <w:style w:type="paragraph" w:customStyle="1" w:styleId="372">
    <w:name w:val="样式 正文首行缩进 2 + 首行缩进:  2 字符 行距: 1.5 倍行距 左  0 字符"/>
    <w:basedOn w:val="75"/>
    <w:qFormat/>
    <w:uiPriority w:val="0"/>
    <w:pPr>
      <w:spacing w:line="360" w:lineRule="auto"/>
      <w:ind w:left="0" w:leftChars="0" w:firstLine="480"/>
    </w:pPr>
    <w:rPr>
      <w:rFonts w:ascii="宋体" w:hAnsi="宋体" w:cs="宋体"/>
      <w:sz w:val="24"/>
    </w:rPr>
  </w:style>
  <w:style w:type="paragraph" w:customStyle="1" w:styleId="373">
    <w:name w:val="正文段"/>
    <w:basedOn w:val="1"/>
    <w:qFormat/>
    <w:uiPriority w:val="0"/>
    <w:pPr>
      <w:widowControl/>
      <w:adjustRightInd w:val="0"/>
      <w:spacing w:after="240" w:line="360" w:lineRule="atLeast"/>
      <w:ind w:firstLine="454"/>
      <w:textAlignment w:val="bottom"/>
    </w:pPr>
    <w:rPr>
      <w:rFonts w:ascii="宋体"/>
      <w:kern w:val="0"/>
      <w:sz w:val="24"/>
    </w:rPr>
  </w:style>
  <w:style w:type="paragraph" w:customStyle="1" w:styleId="374">
    <w:name w:val="样式 标题 2h2l22nd level2Header 2Titre2Head 2H2sect 1.2H21..."/>
    <w:basedOn w:val="4"/>
    <w:qFormat/>
    <w:uiPriority w:val="0"/>
    <w:pPr>
      <w:keepLines w:val="0"/>
      <w:widowControl/>
      <w:tabs>
        <w:tab w:val="left" w:pos="576"/>
      </w:tabs>
      <w:overflowPunct w:val="0"/>
      <w:spacing w:before="480" w:after="480" w:line="460" w:lineRule="atLeast"/>
      <w:ind w:left="576" w:hanging="576"/>
      <w:jc w:val="left"/>
    </w:pPr>
    <w:rPr>
      <w:rFonts w:ascii="宋体" w:hAnsi="宋体" w:eastAsia="宋体" w:cs="宋体"/>
      <w:kern w:val="0"/>
    </w:rPr>
  </w:style>
  <w:style w:type="paragraph" w:customStyle="1" w:styleId="375">
    <w:name w:val="style3"/>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76">
    <w:name w:val="v15"/>
    <w:basedOn w:val="1"/>
    <w:qFormat/>
    <w:uiPriority w:val="0"/>
    <w:pPr>
      <w:widowControl/>
      <w:spacing w:before="100" w:beforeAutospacing="1" w:after="100" w:afterAutospacing="1"/>
      <w:jc w:val="left"/>
    </w:pPr>
    <w:rPr>
      <w:rFonts w:ascii="宋体" w:hAnsi="宋体"/>
      <w:kern w:val="0"/>
      <w:sz w:val="24"/>
    </w:rPr>
  </w:style>
  <w:style w:type="paragraph" w:customStyle="1" w:styleId="377">
    <w:name w:val="正文（首行缩进2字符）"/>
    <w:basedOn w:val="1"/>
    <w:qFormat/>
    <w:uiPriority w:val="0"/>
    <w:pPr>
      <w:spacing w:line="360" w:lineRule="auto"/>
      <w:ind w:firstLine="480" w:firstLineChars="200"/>
    </w:pPr>
    <w:rPr>
      <w:sz w:val="24"/>
    </w:rPr>
  </w:style>
  <w:style w:type="paragraph" w:customStyle="1" w:styleId="378">
    <w:name w:val="列出段落1"/>
    <w:basedOn w:val="1"/>
    <w:qFormat/>
    <w:uiPriority w:val="0"/>
    <w:pPr>
      <w:ind w:firstLine="420" w:firstLineChars="200"/>
    </w:pPr>
    <w:rPr>
      <w:szCs w:val="22"/>
    </w:rPr>
  </w:style>
  <w:style w:type="paragraph" w:customStyle="1" w:styleId="379">
    <w:name w:val="关注类型"/>
    <w:basedOn w:val="6"/>
    <w:qFormat/>
    <w:uiPriority w:val="0"/>
    <w:pPr>
      <w:widowControl/>
      <w:tabs>
        <w:tab w:val="left" w:pos="1571"/>
      </w:tabs>
      <w:snapToGrid/>
      <w:spacing w:before="240" w:after="120"/>
      <w:ind w:left="720" w:hanging="720"/>
      <w:jc w:val="both"/>
      <w:textAlignment w:val="baseline"/>
    </w:pPr>
    <w:rPr>
      <w:rFonts w:ascii="Arial" w:hAnsi="Arial" w:eastAsia="黑体"/>
      <w:color w:val="auto"/>
      <w:szCs w:val="20"/>
    </w:rPr>
  </w:style>
  <w:style w:type="paragraph" w:customStyle="1" w:styleId="380">
    <w:name w:val="ººÒéÏ¸µÈÏß¼ò8"/>
    <w:qFormat/>
    <w:uiPriority w:val="0"/>
    <w:pPr>
      <w:widowControl w:val="0"/>
      <w:overflowPunct w:val="0"/>
      <w:autoSpaceDE w:val="0"/>
      <w:autoSpaceDN w:val="0"/>
      <w:adjustRightInd w:val="0"/>
      <w:spacing w:line="260" w:lineRule="atLeast"/>
      <w:jc w:val="both"/>
      <w:textAlignment w:val="baseline"/>
    </w:pPr>
    <w:rPr>
      <w:rFonts w:ascii="汉仪细等线简" w:hAnsi="Times New Roman" w:eastAsia="汉仪细等线简" w:cs="Times New Roman"/>
      <w:color w:val="000000"/>
      <w:sz w:val="16"/>
      <w:lang w:val="en-US" w:eastAsia="zh-CN" w:bidi="ar-SA"/>
    </w:rPr>
  </w:style>
  <w:style w:type="paragraph" w:customStyle="1" w:styleId="381">
    <w:name w:val="标题 4 + 小四"/>
    <w:basedOn w:val="5"/>
    <w:qFormat/>
    <w:uiPriority w:val="0"/>
    <w:pPr>
      <w:ind w:left="141" w:hanging="425"/>
    </w:pPr>
    <w:rPr>
      <w:sz w:val="24"/>
    </w:rPr>
  </w:style>
  <w:style w:type="paragraph" w:customStyle="1" w:styleId="382">
    <w:name w:val="标题2级"/>
    <w:basedOn w:val="3"/>
    <w:qFormat/>
    <w:uiPriority w:val="0"/>
    <w:pPr>
      <w:widowControl/>
      <w:tabs>
        <w:tab w:val="left" w:pos="360"/>
        <w:tab w:val="left" w:pos="4057"/>
      </w:tabs>
      <w:spacing w:before="0" w:after="0" w:line="440" w:lineRule="exact"/>
      <w:ind w:left="360" w:hanging="360"/>
      <w:jc w:val="left"/>
      <w:outlineLvl w:val="1"/>
    </w:pPr>
    <w:rPr>
      <w:rFonts w:ascii="宋体" w:hAnsi="宋体"/>
      <w:sz w:val="32"/>
      <w:szCs w:val="20"/>
    </w:rPr>
  </w:style>
  <w:style w:type="paragraph" w:customStyle="1" w:styleId="383">
    <w:name w:val="xl116"/>
    <w:basedOn w:val="1"/>
    <w:qFormat/>
    <w:uiPriority w:val="0"/>
    <w:pPr>
      <w:widowControl/>
      <w:pBdr>
        <w:top w:val="single" w:color="auto" w:sz="4" w:space="0"/>
        <w:left w:val="single" w:color="auto" w:sz="4" w:space="0"/>
        <w:bottom w:val="single" w:color="auto" w:sz="4" w:space="0"/>
      </w:pBdr>
      <w:shd w:val="pct10" w:color="000000" w:fill="33CCCC"/>
      <w:spacing w:before="100" w:beforeAutospacing="1" w:after="100" w:afterAutospacing="1"/>
      <w:jc w:val="center"/>
      <w:textAlignment w:val="center"/>
    </w:pPr>
    <w:rPr>
      <w:rFonts w:ascii="黑体" w:hAnsi="宋体" w:eastAsia="黑体" w:cs="宋体"/>
      <w:b/>
      <w:bCs/>
      <w:kern w:val="0"/>
      <w:sz w:val="24"/>
      <w:szCs w:val="24"/>
    </w:rPr>
  </w:style>
  <w:style w:type="paragraph" w:customStyle="1" w:styleId="384">
    <w:name w:val="xl106"/>
    <w:basedOn w:val="1"/>
    <w:qFormat/>
    <w:uiPriority w:val="0"/>
    <w:pPr>
      <w:widowControl/>
      <w:pBdr>
        <w:left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color w:val="000000"/>
      <w:kern w:val="0"/>
      <w:sz w:val="20"/>
    </w:rPr>
  </w:style>
  <w:style w:type="paragraph" w:customStyle="1" w:styleId="385">
    <w:name w:val="xl84"/>
    <w:basedOn w:val="1"/>
    <w:qFormat/>
    <w:uiPriority w:val="0"/>
    <w:pPr>
      <w:widowControl/>
      <w:pBdr>
        <w:top w:val="single" w:color="auto" w:sz="4" w:space="0"/>
        <w:bottom w:val="single" w:color="auto" w:sz="4" w:space="0"/>
        <w:right w:val="single" w:color="auto" w:sz="4" w:space="0"/>
      </w:pBdr>
      <w:shd w:val="clear" w:color="auto" w:fill="CCFFFF"/>
      <w:spacing w:before="100" w:beforeAutospacing="1" w:after="100" w:afterAutospacing="1"/>
      <w:jc w:val="center"/>
      <w:textAlignment w:val="center"/>
    </w:pPr>
    <w:rPr>
      <w:rFonts w:ascii="黑体" w:hAnsi="宋体" w:eastAsia="黑体" w:cs="宋体"/>
      <w:b/>
      <w:bCs/>
      <w:kern w:val="0"/>
      <w:sz w:val="22"/>
      <w:szCs w:val="22"/>
    </w:rPr>
  </w:style>
  <w:style w:type="paragraph" w:customStyle="1" w:styleId="386">
    <w:name w:val="Header Base"/>
    <w:basedOn w:val="1"/>
    <w:qFormat/>
    <w:uiPriority w:val="0"/>
    <w:pPr>
      <w:keepLines/>
      <w:tabs>
        <w:tab w:val="center" w:pos="4320"/>
        <w:tab w:val="right" w:pos="8640"/>
      </w:tabs>
      <w:snapToGrid w:val="0"/>
      <w:spacing w:before="120" w:after="120" w:line="360" w:lineRule="auto"/>
    </w:pPr>
    <w:rPr>
      <w:rFonts w:ascii="Arial" w:hAnsi="Arial"/>
      <w:spacing w:val="-4"/>
      <w:kern w:val="0"/>
    </w:rPr>
  </w:style>
  <w:style w:type="paragraph" w:customStyle="1" w:styleId="387">
    <w:name w:val="表格题注"/>
    <w:next w:val="1"/>
    <w:qFormat/>
    <w:uiPriority w:val="0"/>
    <w:pPr>
      <w:keepLines/>
      <w:tabs>
        <w:tab w:val="left" w:pos="3780"/>
      </w:tabs>
      <w:spacing w:beforeLines="100"/>
      <w:ind w:left="1089" w:hanging="369"/>
      <w:jc w:val="center"/>
    </w:pPr>
    <w:rPr>
      <w:rFonts w:ascii="Arial" w:hAnsi="Arial" w:eastAsia="宋体" w:cs="Times New Roman"/>
      <w:sz w:val="18"/>
      <w:lang w:val="en-US" w:eastAsia="zh-CN" w:bidi="ar-SA"/>
    </w:rPr>
  </w:style>
  <w:style w:type="paragraph" w:customStyle="1" w:styleId="388">
    <w:name w:val="默认段落字体 Para Char Char Char Char Char Char Char Char Char Char Char Char Char Char Char Char Char Char Char"/>
    <w:basedOn w:val="1"/>
    <w:qFormat/>
    <w:uiPriority w:val="0"/>
    <w:rPr>
      <w:rFonts w:ascii="Tahoma" w:hAnsi="Tahoma"/>
      <w:sz w:val="24"/>
    </w:rPr>
  </w:style>
  <w:style w:type="paragraph" w:customStyle="1" w:styleId="389">
    <w:name w:val="snr"/>
    <w:basedOn w:val="1"/>
    <w:qFormat/>
    <w:uiPriority w:val="0"/>
    <w:pPr>
      <w:widowControl/>
      <w:spacing w:before="100" w:beforeAutospacing="1" w:after="100" w:afterAutospacing="1" w:line="360" w:lineRule="atLeast"/>
      <w:jc w:val="left"/>
    </w:pPr>
    <w:rPr>
      <w:rFonts w:ascii="宋体" w:hAnsi="宋体" w:cs="宋体"/>
      <w:color w:val="000000"/>
      <w:kern w:val="0"/>
      <w:sz w:val="24"/>
      <w:szCs w:val="24"/>
    </w:rPr>
  </w:style>
  <w:style w:type="paragraph" w:customStyle="1" w:styleId="390">
    <w:name w:val="图形文字"/>
    <w:next w:val="1"/>
    <w:qFormat/>
    <w:uiPriority w:val="0"/>
    <w:pPr>
      <w:jc w:val="center"/>
    </w:pPr>
    <w:rPr>
      <w:rFonts w:ascii="Times New Roman" w:hAnsi="Times New Roman" w:eastAsia="宋体" w:cs="Times New Roman"/>
      <w:color w:val="000000"/>
      <w:sz w:val="24"/>
      <w:lang w:val="en-US" w:eastAsia="zh-CN" w:bidi="ar-SA"/>
    </w:rPr>
  </w:style>
  <w:style w:type="paragraph" w:customStyle="1" w:styleId="391">
    <w:name w:val="CM146"/>
    <w:basedOn w:val="1"/>
    <w:next w:val="1"/>
    <w:qFormat/>
    <w:uiPriority w:val="0"/>
    <w:pPr>
      <w:autoSpaceDE w:val="0"/>
      <w:autoSpaceDN w:val="0"/>
      <w:adjustRightInd w:val="0"/>
      <w:spacing w:after="90"/>
      <w:jc w:val="left"/>
    </w:pPr>
    <w:rPr>
      <w:rFonts w:ascii="EPKJJF+DFPHeiW5" w:eastAsia="EPKJJF+DFPHeiW5"/>
      <w:kern w:val="0"/>
      <w:sz w:val="24"/>
    </w:rPr>
  </w:style>
  <w:style w:type="paragraph" w:customStyle="1" w:styleId="392">
    <w:name w:val="样式 标题 2H2H3 + 四号"/>
    <w:basedOn w:val="4"/>
    <w:qFormat/>
    <w:uiPriority w:val="0"/>
    <w:pPr>
      <w:adjustRightInd w:val="0"/>
      <w:spacing w:before="120" w:after="120" w:line="540" w:lineRule="auto"/>
      <w:textAlignment w:val="baseline"/>
    </w:pPr>
    <w:rPr>
      <w:rFonts w:ascii="宋体" w:hAnsi="宋体" w:eastAsia="宋体"/>
      <w:iCs/>
      <w:sz w:val="72"/>
      <w:szCs w:val="72"/>
      <w:u w:val="single"/>
    </w:rPr>
  </w:style>
  <w:style w:type="paragraph" w:customStyle="1" w:styleId="393">
    <w:name w:val="Char Char Char Char Char Char Char"/>
    <w:basedOn w:val="1"/>
    <w:qFormat/>
    <w:uiPriority w:val="0"/>
    <w:pPr>
      <w:widowControl/>
      <w:spacing w:after="160" w:line="240" w:lineRule="exact"/>
      <w:jc w:val="left"/>
    </w:pPr>
    <w:rPr>
      <w:rFonts w:ascii="Verdana" w:hAnsi="Verdana"/>
      <w:kern w:val="0"/>
      <w:lang w:eastAsia="en-US"/>
    </w:rPr>
  </w:style>
  <w:style w:type="paragraph" w:customStyle="1" w:styleId="394">
    <w:name w:val="red_txt_style"/>
    <w:basedOn w:val="1"/>
    <w:qFormat/>
    <w:uiPriority w:val="0"/>
    <w:pPr>
      <w:widowControl/>
      <w:spacing w:before="120" w:after="120"/>
      <w:jc w:val="left"/>
    </w:pPr>
    <w:rPr>
      <w:rFonts w:ascii="宋体" w:hAnsi="宋体" w:cs="宋体"/>
      <w:kern w:val="0"/>
      <w:sz w:val="24"/>
      <w:szCs w:val="24"/>
    </w:rPr>
  </w:style>
  <w:style w:type="paragraph" w:customStyle="1" w:styleId="395">
    <w:name w:val="font11"/>
    <w:basedOn w:val="1"/>
    <w:qFormat/>
    <w:uiPriority w:val="0"/>
    <w:pPr>
      <w:widowControl/>
      <w:spacing w:before="100" w:beforeAutospacing="1" w:after="100" w:afterAutospacing="1"/>
      <w:jc w:val="left"/>
    </w:pPr>
    <w:rPr>
      <w:rFonts w:hint="eastAsia" w:ascii="宋体" w:hAnsi="宋体"/>
      <w:b/>
      <w:color w:val="0000FF"/>
      <w:kern w:val="0"/>
      <w:sz w:val="28"/>
    </w:rPr>
  </w:style>
  <w:style w:type="paragraph" w:customStyle="1" w:styleId="396">
    <w:name w:val="Style3"/>
    <w:basedOn w:val="41"/>
    <w:qFormat/>
    <w:uiPriority w:val="0"/>
    <w:pPr>
      <w:spacing w:line="480" w:lineRule="auto"/>
      <w:jc w:val="left"/>
    </w:pPr>
    <w:rPr>
      <w:rFonts w:eastAsia="Arial"/>
      <w:b/>
    </w:rPr>
  </w:style>
  <w:style w:type="paragraph" w:customStyle="1" w:styleId="397">
    <w:name w:val="CM10"/>
    <w:basedOn w:val="253"/>
    <w:next w:val="253"/>
    <w:qFormat/>
    <w:uiPriority w:val="0"/>
    <w:pPr>
      <w:autoSpaceDE w:val="0"/>
      <w:autoSpaceDN w:val="0"/>
      <w:adjustRightInd w:val="0"/>
      <w:spacing w:line="300" w:lineRule="atLeast"/>
    </w:pPr>
    <w:rPr>
      <w:rFonts w:ascii="Arial Black" w:hAnsi="Arial Black" w:eastAsia="宋体"/>
      <w:color w:val="auto"/>
      <w:sz w:val="20"/>
      <w:lang w:eastAsia="zh-CN"/>
    </w:rPr>
  </w:style>
  <w:style w:type="paragraph" w:customStyle="1" w:styleId="398">
    <w:name w:val="CM24"/>
    <w:basedOn w:val="253"/>
    <w:next w:val="253"/>
    <w:qFormat/>
    <w:uiPriority w:val="0"/>
    <w:pPr>
      <w:autoSpaceDE w:val="0"/>
      <w:autoSpaceDN w:val="0"/>
      <w:adjustRightInd w:val="0"/>
      <w:spacing w:after="335"/>
    </w:pPr>
    <w:rPr>
      <w:rFonts w:ascii="HYDaHeiJ" w:eastAsia="HYDaHeiJ"/>
      <w:color w:val="auto"/>
      <w:lang w:eastAsia="zh-CN"/>
    </w:rPr>
  </w:style>
  <w:style w:type="paragraph" w:customStyle="1" w:styleId="399">
    <w:name w:val="标题3级"/>
    <w:basedOn w:val="3"/>
    <w:qFormat/>
    <w:uiPriority w:val="0"/>
    <w:pPr>
      <w:widowControl/>
      <w:spacing w:before="0" w:after="0" w:line="440" w:lineRule="exact"/>
      <w:jc w:val="left"/>
      <w:outlineLvl w:val="2"/>
    </w:pPr>
    <w:rPr>
      <w:rFonts w:ascii="宋体"/>
      <w:sz w:val="32"/>
      <w:szCs w:val="20"/>
    </w:rPr>
  </w:style>
  <w:style w:type="paragraph" w:customStyle="1" w:styleId="400">
    <w:name w:val="Item List"/>
    <w:basedOn w:val="1"/>
    <w:qFormat/>
    <w:uiPriority w:val="0"/>
    <w:pPr>
      <w:tabs>
        <w:tab w:val="left" w:pos="420"/>
      </w:tabs>
      <w:snapToGrid w:val="0"/>
      <w:spacing w:afterLines="50"/>
      <w:ind w:left="1701" w:hanging="567"/>
      <w:jc w:val="left"/>
    </w:pPr>
    <w:rPr>
      <w:szCs w:val="24"/>
    </w:rPr>
  </w:style>
  <w:style w:type="paragraph" w:customStyle="1" w:styleId="401">
    <w:name w:val="Char Char5 Char"/>
    <w:basedOn w:val="1"/>
    <w:qFormat/>
    <w:uiPriority w:val="0"/>
    <w:rPr>
      <w:rFonts w:ascii="仿宋_GB2312" w:eastAsia="仿宋_GB2312"/>
      <w:sz w:val="24"/>
    </w:rPr>
  </w:style>
  <w:style w:type="paragraph" w:customStyle="1" w:styleId="402">
    <w:name w:val="xl110"/>
    <w:basedOn w:val="1"/>
    <w:qFormat/>
    <w:uiPriority w:val="0"/>
    <w:pPr>
      <w:widowControl/>
      <w:pBdr>
        <w:top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40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4"/>
      <w:szCs w:val="24"/>
    </w:rPr>
  </w:style>
  <w:style w:type="paragraph" w:customStyle="1" w:styleId="404">
    <w:name w:val="z-窗体顶端1"/>
    <w:basedOn w:val="1"/>
    <w:next w:val="1"/>
    <w:qFormat/>
    <w:uiPriority w:val="0"/>
    <w:pPr>
      <w:widowControl/>
      <w:pBdr>
        <w:bottom w:val="single" w:color="auto" w:sz="6" w:space="1"/>
      </w:pBdr>
      <w:jc w:val="center"/>
    </w:pPr>
    <w:rPr>
      <w:rFonts w:ascii="Arial" w:hAnsi="Arial" w:cs="Arial"/>
      <w:vanish/>
      <w:kern w:val="0"/>
      <w:sz w:val="16"/>
      <w:szCs w:val="16"/>
    </w:rPr>
  </w:style>
  <w:style w:type="paragraph" w:customStyle="1" w:styleId="405">
    <w:name w:val="CM26"/>
    <w:basedOn w:val="253"/>
    <w:next w:val="253"/>
    <w:qFormat/>
    <w:uiPriority w:val="0"/>
    <w:pPr>
      <w:autoSpaceDE w:val="0"/>
      <w:autoSpaceDN w:val="0"/>
      <w:adjustRightInd w:val="0"/>
      <w:spacing w:after="255"/>
    </w:pPr>
    <w:rPr>
      <w:rFonts w:ascii="HYDaHeiJ" w:eastAsia="HYDaHeiJ"/>
      <w:color w:val="auto"/>
      <w:lang w:eastAsia="zh-CN"/>
    </w:rPr>
  </w:style>
  <w:style w:type="paragraph" w:customStyle="1" w:styleId="406">
    <w:name w:val="Char Char1 Char Char Char Char Char Char Char Char Char Char Char Char Char Char Char Char Char Char Char Char Char Char Char Char Char Char Char Char Char Char Char Char Char Char Char Char Char Char Char"/>
    <w:basedOn w:val="1"/>
    <w:qFormat/>
    <w:uiPriority w:val="0"/>
    <w:pPr>
      <w:keepNext/>
      <w:keepLines/>
      <w:adjustRightInd w:val="0"/>
      <w:spacing w:beforeLines="100" w:afterLines="100" w:line="300" w:lineRule="auto"/>
      <w:ind w:firstLine="200" w:firstLineChars="200"/>
      <w:textAlignment w:val="center"/>
    </w:pPr>
    <w:rPr>
      <w:rFonts w:ascii="仿宋_GB2312" w:hAnsi="宋体" w:eastAsia="仿宋_GB2312"/>
      <w:kern w:val="0"/>
      <w:sz w:val="24"/>
    </w:rPr>
  </w:style>
  <w:style w:type="paragraph" w:customStyle="1" w:styleId="407">
    <w:name w:val="正文表格"/>
    <w:basedOn w:val="1"/>
    <w:qFormat/>
    <w:uiPriority w:val="0"/>
    <w:pPr>
      <w:adjustRightInd w:val="0"/>
      <w:spacing w:before="40" w:after="40"/>
      <w:textAlignment w:val="baseline"/>
    </w:pPr>
    <w:rPr>
      <w:rFonts w:ascii="宋体" w:hAnsi="宋体"/>
      <w:snapToGrid w:val="0"/>
      <w:kern w:val="0"/>
      <w:sz w:val="24"/>
    </w:rPr>
  </w:style>
  <w:style w:type="paragraph" w:customStyle="1" w:styleId="408">
    <w:name w:val="²úÆ·ÃèÊö"/>
    <w:qFormat/>
    <w:uiPriority w:val="0"/>
    <w:pPr>
      <w:widowControl w:val="0"/>
      <w:overflowPunct w:val="0"/>
      <w:autoSpaceDE w:val="0"/>
      <w:autoSpaceDN w:val="0"/>
      <w:adjustRightInd w:val="0"/>
      <w:spacing w:line="270" w:lineRule="atLeast"/>
      <w:ind w:firstLine="397"/>
      <w:jc w:val="both"/>
      <w:textAlignment w:val="baseline"/>
    </w:pPr>
    <w:rPr>
      <w:rFonts w:ascii="宋体" w:hAnsi="Times New Roman" w:eastAsia="宋体" w:cs="Times New Roman"/>
      <w:sz w:val="18"/>
      <w:lang w:val="en-US" w:eastAsia="zh-CN" w:bidi="ar-SA"/>
    </w:rPr>
  </w:style>
  <w:style w:type="paragraph" w:customStyle="1" w:styleId="409">
    <w:name w:val="温式正文"/>
    <w:basedOn w:val="1"/>
    <w:qFormat/>
    <w:uiPriority w:val="0"/>
    <w:rPr>
      <w:rFonts w:eastAsia="隶书"/>
      <w:sz w:val="30"/>
    </w:rPr>
  </w:style>
  <w:style w:type="paragraph" w:customStyle="1" w:styleId="410">
    <w:name w:val="OT_Body_Text Bullet"/>
    <w:basedOn w:val="1"/>
    <w:qFormat/>
    <w:uiPriority w:val="0"/>
    <w:pPr>
      <w:widowControl/>
      <w:ind w:left="720"/>
    </w:pPr>
    <w:rPr>
      <w:rFonts w:ascii="Arial" w:hAnsi="Arial" w:eastAsia="PMingLiU"/>
      <w:kern w:val="0"/>
      <w:sz w:val="20"/>
      <w:lang w:eastAsia="en-US"/>
    </w:rPr>
  </w:style>
  <w:style w:type="paragraph" w:customStyle="1" w:styleId="411">
    <w:name w:val="表样式"/>
    <w:basedOn w:val="63"/>
    <w:next w:val="1"/>
    <w:qFormat/>
    <w:uiPriority w:val="0"/>
    <w:pPr>
      <w:widowControl/>
      <w:tabs>
        <w:tab w:val="left" w:pos="420"/>
      </w:tabs>
      <w:ind w:left="420" w:leftChars="0" w:firstLine="0" w:firstLineChars="0"/>
      <w:jc w:val="center"/>
    </w:pPr>
    <w:rPr>
      <w:rFonts w:eastAsia="楷体_GB2312"/>
      <w:caps/>
      <w:smallCaps/>
      <w:szCs w:val="20"/>
    </w:rPr>
  </w:style>
  <w:style w:type="paragraph" w:customStyle="1" w:styleId="412">
    <w:name w:val="表头"/>
    <w:qFormat/>
    <w:uiPriority w:val="0"/>
    <w:pPr>
      <w:jc w:val="center"/>
    </w:pPr>
    <w:rPr>
      <w:rFonts w:ascii="宋体" w:hAnsi="Times New Roman" w:eastAsia="宋体" w:cs="Times New Roman"/>
      <w:b/>
      <w:kern w:val="2"/>
      <w:lang w:val="en-US" w:eastAsia="zh-CN" w:bidi="ar-SA"/>
    </w:rPr>
  </w:style>
  <w:style w:type="paragraph" w:customStyle="1" w:styleId="413">
    <w:name w:val="Char Char Char Char Char Char Char1 Char"/>
    <w:basedOn w:val="1"/>
    <w:qFormat/>
    <w:uiPriority w:val="0"/>
    <w:rPr>
      <w:rFonts w:ascii="Tahoma" w:hAnsi="Tahoma"/>
      <w:sz w:val="24"/>
    </w:rPr>
  </w:style>
  <w:style w:type="paragraph" w:customStyle="1" w:styleId="414">
    <w:name w:val="小四 段落 宋体 Char Char"/>
    <w:basedOn w:val="1"/>
    <w:qFormat/>
    <w:uiPriority w:val="0"/>
    <w:pPr>
      <w:spacing w:line="360" w:lineRule="auto"/>
      <w:ind w:right="-33" w:firstLine="480" w:firstLineChars="200"/>
      <w:jc w:val="left"/>
    </w:pPr>
    <w:rPr>
      <w:sz w:val="24"/>
    </w:rPr>
  </w:style>
  <w:style w:type="paragraph" w:customStyle="1" w:styleId="415">
    <w:name w:val="xl78"/>
    <w:basedOn w:val="1"/>
    <w:qFormat/>
    <w:uiPriority w:val="0"/>
    <w:pPr>
      <w:widowControl/>
      <w:pBdr>
        <w:bottom w:val="single" w:color="auto" w:sz="8" w:space="0"/>
      </w:pBdr>
      <w:spacing w:before="100" w:beforeAutospacing="1" w:after="100" w:afterAutospacing="1"/>
      <w:jc w:val="center"/>
    </w:pPr>
    <w:rPr>
      <w:b/>
      <w:color w:val="0000FF"/>
      <w:kern w:val="0"/>
      <w:sz w:val="28"/>
    </w:rPr>
  </w:style>
  <w:style w:type="paragraph" w:customStyle="1" w:styleId="416">
    <w:name w:val="Char Char26 Char Char Char Char"/>
    <w:basedOn w:val="1"/>
    <w:qFormat/>
    <w:uiPriority w:val="0"/>
  </w:style>
  <w:style w:type="paragraph" w:customStyle="1" w:styleId="417">
    <w:name w:val="样式 标题 2H2部分标题Heading 2 HiddenHeading 2 CCBSheading 2Titre3..."/>
    <w:basedOn w:val="4"/>
    <w:qFormat/>
    <w:uiPriority w:val="0"/>
    <w:pPr>
      <w:tabs>
        <w:tab w:val="left" w:pos="420"/>
      </w:tabs>
      <w:spacing w:line="360" w:lineRule="auto"/>
      <w:ind w:left="420" w:hanging="420"/>
    </w:pPr>
    <w:rPr>
      <w:rFonts w:ascii="宋体" w:hAnsi="宋体" w:eastAsia="宋体"/>
      <w:bCs w:val="0"/>
      <w:sz w:val="24"/>
      <w:szCs w:val="20"/>
    </w:rPr>
  </w:style>
  <w:style w:type="paragraph" w:customStyle="1" w:styleId="418">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kern w:val="0"/>
      <w:sz w:val="20"/>
    </w:rPr>
  </w:style>
  <w:style w:type="paragraph" w:customStyle="1" w:styleId="419">
    <w:name w:val="GCEBStyles0"/>
    <w:basedOn w:val="1"/>
    <w:qFormat/>
    <w:uiPriority w:val="0"/>
    <w:pPr>
      <w:jc w:val="left"/>
      <w:outlineLvl w:val="0"/>
    </w:pPr>
    <w:rPr>
      <w:rFonts w:ascii="宋体" w:hAnsi="宋体"/>
      <w:b/>
      <w:bCs/>
      <w:kern w:val="0"/>
      <w:sz w:val="44"/>
      <w:szCs w:val="24"/>
    </w:rPr>
  </w:style>
  <w:style w:type="paragraph" w:customStyle="1" w:styleId="420">
    <w:name w:val="样式 标题 1(F2)titre niveau 1Section Headh11st levell1H11H12...2"/>
    <w:basedOn w:val="3"/>
    <w:qFormat/>
    <w:uiPriority w:val="0"/>
    <w:pPr>
      <w:keepLines w:val="0"/>
      <w:widowControl/>
      <w:snapToGrid w:val="0"/>
      <w:spacing w:beforeLines="50" w:afterLines="100" w:line="360" w:lineRule="auto"/>
      <w:jc w:val="center"/>
    </w:pPr>
    <w:rPr>
      <w:rFonts w:ascii="Arial" w:hAnsi="Arial" w:eastAsia="黑体"/>
      <w:kern w:val="0"/>
      <w:sz w:val="28"/>
      <w:szCs w:val="20"/>
    </w:rPr>
  </w:style>
  <w:style w:type="paragraph" w:customStyle="1" w:styleId="421">
    <w:name w:val="xl58"/>
    <w:basedOn w:val="1"/>
    <w:qFormat/>
    <w:uiPriority w:val="0"/>
    <w:pPr>
      <w:widowControl/>
      <w:shd w:val="clear" w:color="auto" w:fill="FFFF00"/>
      <w:spacing w:before="100" w:beforeAutospacing="1" w:after="100" w:afterAutospacing="1"/>
      <w:jc w:val="center"/>
    </w:pPr>
    <w:rPr>
      <w:rFonts w:ascii="宋体" w:hAnsi="宋体"/>
      <w:kern w:val="0"/>
      <w:sz w:val="20"/>
    </w:rPr>
  </w:style>
  <w:style w:type="paragraph" w:customStyle="1" w:styleId="422">
    <w:name w:val="font5"/>
    <w:basedOn w:val="1"/>
    <w:qFormat/>
    <w:uiPriority w:val="0"/>
    <w:pPr>
      <w:widowControl/>
      <w:spacing w:before="100" w:beforeAutospacing="1" w:after="100" w:afterAutospacing="1"/>
      <w:jc w:val="left"/>
    </w:pPr>
    <w:rPr>
      <w:rFonts w:hint="eastAsia" w:ascii="宋体"/>
      <w:kern w:val="0"/>
      <w:sz w:val="18"/>
      <w:szCs w:val="18"/>
    </w:rPr>
  </w:style>
  <w:style w:type="paragraph" w:customStyle="1" w:styleId="423">
    <w:name w:val="Char1"/>
    <w:basedOn w:val="23"/>
    <w:qFormat/>
    <w:uiPriority w:val="0"/>
    <w:pPr>
      <w:widowControl/>
      <w:ind w:firstLine="454"/>
      <w:jc w:val="left"/>
    </w:pPr>
    <w:rPr>
      <w:rFonts w:ascii="Tahoma" w:hAnsi="Tahoma" w:cs="宋体"/>
      <w:kern w:val="0"/>
    </w:rPr>
  </w:style>
  <w:style w:type="paragraph" w:customStyle="1" w:styleId="424">
    <w:name w:val="李2"/>
    <w:basedOn w:val="1"/>
    <w:qFormat/>
    <w:uiPriority w:val="0"/>
    <w:pPr>
      <w:jc w:val="left"/>
    </w:pPr>
    <w:rPr>
      <w:b/>
      <w:sz w:val="28"/>
    </w:rPr>
  </w:style>
  <w:style w:type="paragraph" w:customStyle="1" w:styleId="425">
    <w:name w:val="xl105"/>
    <w:basedOn w:val="1"/>
    <w:qFormat/>
    <w:uiPriority w:val="0"/>
    <w:pPr>
      <w:widowControl/>
      <w:pBdr>
        <w:top w:val="single" w:color="auto" w:sz="4" w:space="0"/>
        <w:left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color w:val="000000"/>
      <w:kern w:val="0"/>
      <w:sz w:val="20"/>
    </w:rPr>
  </w:style>
  <w:style w:type="paragraph" w:customStyle="1" w:styleId="426">
    <w:name w:val="xl69"/>
    <w:basedOn w:val="1"/>
    <w:qFormat/>
    <w:uiPriority w:val="0"/>
    <w:pPr>
      <w:widowControl/>
      <w:pBdr>
        <w:top w:val="single" w:color="auto" w:sz="4" w:space="0"/>
        <w:bottom w:val="single" w:color="auto" w:sz="8" w:space="0"/>
        <w:right w:val="single" w:color="auto" w:sz="4" w:space="0"/>
      </w:pBdr>
      <w:shd w:val="clear" w:color="auto" w:fill="FFFF00"/>
      <w:spacing w:before="100" w:beforeAutospacing="1" w:after="100" w:afterAutospacing="1"/>
      <w:jc w:val="left"/>
    </w:pPr>
    <w:rPr>
      <w:rFonts w:ascii="宋体" w:hAnsi="宋体"/>
      <w:kern w:val="0"/>
      <w:sz w:val="20"/>
    </w:rPr>
  </w:style>
  <w:style w:type="paragraph" w:customStyle="1" w:styleId="427">
    <w:name w:val="xl94"/>
    <w:basedOn w:val="1"/>
    <w:qFormat/>
    <w:uiPriority w:val="0"/>
    <w:pPr>
      <w:widowControl/>
      <w:pBdr>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428">
    <w:name w:val="列出段落11"/>
    <w:basedOn w:val="1"/>
    <w:qFormat/>
    <w:uiPriority w:val="0"/>
    <w:pPr>
      <w:ind w:firstLine="420" w:firstLineChars="200"/>
    </w:pPr>
    <w:rPr>
      <w:rFonts w:ascii="Calibri" w:hAnsi="Calibri"/>
      <w:kern w:val="0"/>
      <w:sz w:val="20"/>
      <w:szCs w:val="22"/>
    </w:rPr>
  </w:style>
  <w:style w:type="paragraph" w:customStyle="1" w:styleId="429">
    <w:name w:val="xl25"/>
    <w:basedOn w:val="1"/>
    <w:qFormat/>
    <w:uiPriority w:val="0"/>
    <w:pPr>
      <w:widowControl/>
      <w:pBdr>
        <w:bottom w:val="single" w:color="auto" w:sz="4" w:space="0"/>
        <w:right w:val="single" w:color="auto" w:sz="4" w:space="0"/>
      </w:pBdr>
      <w:spacing w:before="100" w:beforeAutospacing="1" w:after="100" w:afterAutospacing="1"/>
      <w:textAlignment w:val="center"/>
    </w:pPr>
    <w:rPr>
      <w:rFonts w:ascii="Arial Unicode MS" w:hAnsi="Arial Unicode MS" w:eastAsia="Arial Unicode MS"/>
      <w:kern w:val="0"/>
      <w:szCs w:val="21"/>
    </w:rPr>
  </w:style>
  <w:style w:type="paragraph" w:customStyle="1" w:styleId="430">
    <w:name w:val="ad"/>
    <w:basedOn w:val="1"/>
    <w:qFormat/>
    <w:uiPriority w:val="0"/>
    <w:pPr>
      <w:widowControl/>
      <w:spacing w:before="156" w:after="156" w:line="300" w:lineRule="atLeast"/>
      <w:ind w:left="839" w:hanging="419"/>
      <w:jc w:val="left"/>
    </w:pPr>
    <w:rPr>
      <w:rFonts w:ascii="宋体" w:hAnsi="宋体" w:cs="宋体"/>
      <w:kern w:val="0"/>
      <w:sz w:val="20"/>
    </w:rPr>
  </w:style>
  <w:style w:type="paragraph" w:customStyle="1" w:styleId="431">
    <w:name w:val="正"/>
    <w:basedOn w:val="1"/>
    <w:qFormat/>
    <w:uiPriority w:val="0"/>
    <w:pPr>
      <w:tabs>
        <w:tab w:val="left" w:pos="-120"/>
      </w:tabs>
      <w:adjustRightInd w:val="0"/>
      <w:spacing w:line="560" w:lineRule="exact"/>
      <w:ind w:firstLine="600"/>
      <w:textAlignment w:val="baseline"/>
    </w:pPr>
    <w:rPr>
      <w:rFonts w:ascii="仿宋_GB2312" w:eastAsia="仿宋_GB2312"/>
      <w:color w:val="000000"/>
      <w:spacing w:val="20"/>
      <w:kern w:val="0"/>
      <w:sz w:val="28"/>
    </w:rPr>
  </w:style>
  <w:style w:type="paragraph" w:customStyle="1" w:styleId="432">
    <w:name w:val="汉仪细等线简9BOLD"/>
    <w:basedOn w:val="1"/>
    <w:qFormat/>
    <w:uiPriority w:val="0"/>
    <w:pPr>
      <w:autoSpaceDE w:val="0"/>
      <w:autoSpaceDN w:val="0"/>
      <w:adjustRightInd w:val="0"/>
      <w:spacing w:line="240" w:lineRule="atLeast"/>
    </w:pPr>
    <w:rPr>
      <w:rFonts w:ascii="汉仪细等线简" w:eastAsia="汉仪细等线简"/>
      <w:b/>
      <w:kern w:val="0"/>
      <w:sz w:val="18"/>
    </w:rPr>
  </w:style>
  <w:style w:type="paragraph" w:customStyle="1" w:styleId="433">
    <w:name w:val="ListText"/>
    <w:basedOn w:val="30"/>
    <w:qFormat/>
    <w:uiPriority w:val="0"/>
    <w:pPr>
      <w:autoSpaceDE w:val="0"/>
      <w:autoSpaceDN w:val="0"/>
      <w:adjustRightInd w:val="0"/>
      <w:spacing w:before="60" w:after="60" w:line="360" w:lineRule="auto"/>
      <w:ind w:left="900" w:right="74" w:firstLine="284"/>
      <w:textAlignment w:val="baseline"/>
    </w:pPr>
    <w:rPr>
      <w:rFonts w:ascii="宋体" w:hAnsi="Tms Rmn"/>
      <w:kern w:val="0"/>
      <w:sz w:val="24"/>
    </w:rPr>
  </w:style>
  <w:style w:type="paragraph" w:customStyle="1" w:styleId="434">
    <w:name w:val="xl117"/>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435">
    <w:name w:val="style2"/>
    <w:basedOn w:val="1"/>
    <w:qFormat/>
    <w:uiPriority w:val="0"/>
    <w:pPr>
      <w:widowControl/>
      <w:spacing w:before="100" w:beforeAutospacing="1" w:after="100" w:afterAutospacing="1"/>
      <w:jc w:val="left"/>
    </w:pPr>
    <w:rPr>
      <w:rFonts w:ascii="宋体" w:hAnsi="宋体" w:cs="宋体"/>
      <w:color w:val="000099"/>
      <w:kern w:val="0"/>
      <w:sz w:val="24"/>
      <w:szCs w:val="24"/>
    </w:rPr>
  </w:style>
  <w:style w:type="paragraph" w:customStyle="1" w:styleId="436">
    <w:name w:val="Body Text Keep"/>
    <w:basedOn w:val="30"/>
    <w:qFormat/>
    <w:uiPriority w:val="0"/>
    <w:pPr>
      <w:keepNext/>
      <w:widowControl/>
      <w:spacing w:after="240" w:line="240" w:lineRule="atLeast"/>
      <w:ind w:left="1080"/>
    </w:pPr>
    <w:rPr>
      <w:rFonts w:ascii="Arial" w:hAnsi="Arial" w:eastAsia="仿宋体"/>
      <w:smallCaps/>
      <w:spacing w:val="-5"/>
      <w:kern w:val="0"/>
      <w:sz w:val="24"/>
    </w:rPr>
  </w:style>
  <w:style w:type="paragraph" w:customStyle="1" w:styleId="437">
    <w:name w:val="样式2"/>
    <w:basedOn w:val="7"/>
    <w:qFormat/>
    <w:uiPriority w:val="0"/>
    <w:pPr>
      <w:tabs>
        <w:tab w:val="left" w:pos="907"/>
      </w:tabs>
      <w:adjustRightInd w:val="0"/>
      <w:snapToGrid w:val="0"/>
      <w:spacing w:before="240" w:after="120" w:line="300" w:lineRule="auto"/>
      <w:ind w:left="737" w:hanging="482"/>
    </w:pPr>
    <w:rPr>
      <w:rFonts w:ascii="Arial" w:hAnsi="Arial" w:cs="Arial"/>
      <w:bCs w:val="0"/>
      <w:sz w:val="24"/>
    </w:rPr>
  </w:style>
  <w:style w:type="paragraph" w:customStyle="1" w:styleId="438">
    <w:name w:val="Char Char Char Char Char Char Char Char Char Char Char Char Char Char Char Char"/>
    <w:basedOn w:val="1"/>
    <w:qFormat/>
    <w:uiPriority w:val="0"/>
    <w:pPr>
      <w:tabs>
        <w:tab w:val="left" w:pos="420"/>
      </w:tabs>
      <w:ind w:left="720" w:hanging="360"/>
    </w:pPr>
    <w:rPr>
      <w:sz w:val="24"/>
    </w:rPr>
  </w:style>
  <w:style w:type="paragraph" w:customStyle="1" w:styleId="439">
    <w:name w:val="段"/>
    <w:qFormat/>
    <w:uiPriority w:val="0"/>
    <w:pPr>
      <w:widowControl w:val="0"/>
      <w:suppressAutoHyphens/>
      <w:autoSpaceDE w:val="0"/>
      <w:ind w:firstLine="200"/>
      <w:jc w:val="both"/>
    </w:pPr>
    <w:rPr>
      <w:rFonts w:ascii="宋体" w:hAnsi="宋体" w:eastAsia="宋体" w:cs="Times New Roman"/>
      <w:sz w:val="21"/>
      <w:lang w:val="en-US" w:eastAsia="zh-CN" w:bidi="ar-SA"/>
    </w:rPr>
  </w:style>
  <w:style w:type="paragraph" w:customStyle="1" w:styleId="440">
    <w:name w:val="默认段落字体 Para Char"/>
    <w:basedOn w:val="1"/>
    <w:qFormat/>
    <w:uiPriority w:val="0"/>
    <w:pPr>
      <w:tabs>
        <w:tab w:val="left" w:pos="360"/>
      </w:tabs>
      <w:ind w:left="420" w:hanging="420"/>
    </w:pPr>
    <w:rPr>
      <w:sz w:val="24"/>
      <w:szCs w:val="24"/>
    </w:rPr>
  </w:style>
  <w:style w:type="paragraph" w:customStyle="1" w:styleId="441">
    <w:name w:val="xl37"/>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cs="宋体"/>
      <w:kern w:val="0"/>
      <w:sz w:val="24"/>
      <w:szCs w:val="24"/>
    </w:rPr>
  </w:style>
  <w:style w:type="paragraph" w:customStyle="1" w:styleId="442">
    <w:name w:val="ººÒÇÏ¸µÈÏß¼ò8BOLD"/>
    <w:basedOn w:val="1"/>
    <w:qFormat/>
    <w:uiPriority w:val="0"/>
    <w:pPr>
      <w:overflowPunct w:val="0"/>
      <w:autoSpaceDE w:val="0"/>
      <w:autoSpaceDN w:val="0"/>
      <w:adjustRightInd w:val="0"/>
      <w:spacing w:line="240" w:lineRule="atLeast"/>
      <w:textAlignment w:val="baseline"/>
    </w:pPr>
    <w:rPr>
      <w:rFonts w:ascii="汉仪细等线简" w:eastAsia="汉仪细等线简"/>
      <w:b/>
      <w:kern w:val="0"/>
      <w:sz w:val="16"/>
    </w:rPr>
  </w:style>
  <w:style w:type="paragraph" w:customStyle="1" w:styleId="443">
    <w:name w:val="李3"/>
    <w:basedOn w:val="424"/>
    <w:qFormat/>
    <w:uiPriority w:val="0"/>
    <w:pPr>
      <w:spacing w:line="360" w:lineRule="auto"/>
      <w:outlineLvl w:val="2"/>
    </w:pPr>
    <w:rPr>
      <w:rFonts w:ascii="楷体_GB2312" w:eastAsia="楷体_GB2312"/>
      <w:b w:val="0"/>
      <w:sz w:val="24"/>
    </w:rPr>
  </w:style>
  <w:style w:type="paragraph" w:customStyle="1" w:styleId="444">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0"/>
    </w:rPr>
  </w:style>
  <w:style w:type="paragraph" w:customStyle="1" w:styleId="445">
    <w:name w:val="xl39"/>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446">
    <w:name w:val="样式 标题 3Level 3 HeadH3level_3PIM 3h33l3CTBOD 0sect1.2.3..."/>
    <w:basedOn w:val="5"/>
    <w:qFormat/>
    <w:uiPriority w:val="0"/>
    <w:pPr>
      <w:tabs>
        <w:tab w:val="left" w:pos="709"/>
      </w:tabs>
      <w:spacing w:before="0" w:after="0" w:line="240" w:lineRule="auto"/>
      <w:ind w:left="1680" w:hanging="420"/>
    </w:pPr>
    <w:rPr>
      <w:rFonts w:ascii="宋体" w:hAnsi="宋体"/>
      <w:bCs w:val="0"/>
      <w:sz w:val="24"/>
      <w:szCs w:val="20"/>
    </w:rPr>
  </w:style>
  <w:style w:type="paragraph" w:customStyle="1" w:styleId="447">
    <w:name w:val="点标题"/>
    <w:basedOn w:val="30"/>
    <w:qFormat/>
    <w:uiPriority w:val="0"/>
    <w:pPr>
      <w:tabs>
        <w:tab w:val="left" w:pos="900"/>
      </w:tabs>
      <w:spacing w:after="0" w:line="360" w:lineRule="auto"/>
      <w:ind w:left="900" w:hanging="420"/>
    </w:pPr>
    <w:rPr>
      <w:sz w:val="24"/>
    </w:rPr>
  </w:style>
  <w:style w:type="paragraph" w:customStyle="1" w:styleId="448">
    <w:name w:val="unnamed1"/>
    <w:basedOn w:val="1"/>
    <w:qFormat/>
    <w:uiPriority w:val="0"/>
    <w:pPr>
      <w:widowControl/>
      <w:spacing w:before="100" w:beforeAutospacing="1" w:after="100" w:afterAutospacing="1" w:line="340" w:lineRule="atLeast"/>
      <w:ind w:firstLine="510"/>
      <w:jc w:val="left"/>
    </w:pPr>
    <w:rPr>
      <w:rFonts w:ascii="宋体" w:hAnsi="宋体"/>
      <w:kern w:val="0"/>
      <w:sz w:val="22"/>
    </w:rPr>
  </w:style>
  <w:style w:type="paragraph" w:customStyle="1" w:styleId="449">
    <w:name w:val="标题三 ZDY"/>
    <w:basedOn w:val="4"/>
    <w:qFormat/>
    <w:uiPriority w:val="0"/>
    <w:pPr>
      <w:tabs>
        <w:tab w:val="left" w:pos="1476"/>
      </w:tabs>
      <w:spacing w:beforeLines="50" w:after="0" w:line="360" w:lineRule="auto"/>
    </w:pPr>
    <w:rPr>
      <w:rFonts w:ascii="宋体" w:hAnsi="宋体" w:eastAsia="宋体"/>
      <w:bCs w:val="0"/>
      <w:sz w:val="30"/>
      <w:szCs w:val="20"/>
    </w:rPr>
  </w:style>
  <w:style w:type="paragraph" w:customStyle="1" w:styleId="450">
    <w:name w:val="正文缩进一"/>
    <w:basedOn w:val="1"/>
    <w:next w:val="1"/>
    <w:qFormat/>
    <w:uiPriority w:val="0"/>
    <w:pPr>
      <w:widowControl/>
      <w:adjustRightInd w:val="0"/>
      <w:snapToGrid w:val="0"/>
      <w:spacing w:line="360" w:lineRule="auto"/>
      <w:textAlignment w:val="bottom"/>
    </w:pPr>
    <w:rPr>
      <w:rFonts w:ascii="宋体" w:hAnsi="宋体"/>
      <w:spacing w:val="8"/>
      <w:kern w:val="0"/>
      <w:sz w:val="28"/>
    </w:rPr>
  </w:style>
  <w:style w:type="paragraph" w:customStyle="1" w:styleId="451">
    <w:name w:val="xl51"/>
    <w:basedOn w:val="1"/>
    <w:qFormat/>
    <w:uiPriority w:val="0"/>
    <w:pPr>
      <w:widowControl/>
      <w:spacing w:before="100" w:beforeAutospacing="1" w:after="100" w:afterAutospacing="1" w:line="360" w:lineRule="auto"/>
      <w:ind w:firstLine="425"/>
      <w:jc w:val="center"/>
      <w:textAlignment w:val="center"/>
    </w:pPr>
    <w:rPr>
      <w:rFonts w:hint="eastAsia" w:ascii="黑体" w:hAnsi="Arial Unicode MS" w:eastAsia="黑体"/>
      <w:kern w:val="0"/>
      <w:sz w:val="24"/>
    </w:rPr>
  </w:style>
  <w:style w:type="paragraph" w:customStyle="1" w:styleId="452">
    <w:name w:val="图题"/>
    <w:basedOn w:val="311"/>
    <w:qFormat/>
    <w:uiPriority w:val="0"/>
    <w:pPr>
      <w:jc w:val="center"/>
    </w:pPr>
    <w:rPr>
      <w:rFonts w:eastAsia="黑体"/>
      <w:sz w:val="18"/>
    </w:rPr>
  </w:style>
  <w:style w:type="paragraph" w:customStyle="1" w:styleId="453">
    <w:name w:val="附件圈"/>
    <w:basedOn w:val="1"/>
    <w:qFormat/>
    <w:uiPriority w:val="0"/>
    <w:pPr>
      <w:tabs>
        <w:tab w:val="left" w:pos="980"/>
      </w:tabs>
      <w:spacing w:line="360" w:lineRule="auto"/>
      <w:ind w:left="840" w:hanging="420"/>
    </w:pPr>
    <w:rPr>
      <w:sz w:val="24"/>
      <w:szCs w:val="24"/>
    </w:rPr>
  </w:style>
  <w:style w:type="paragraph" w:customStyle="1" w:styleId="454">
    <w:name w:val="xl71"/>
    <w:basedOn w:val="1"/>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jc w:val="center"/>
    </w:pPr>
    <w:rPr>
      <w:rFonts w:ascii="宋体" w:hAnsi="宋体"/>
      <w:kern w:val="0"/>
      <w:sz w:val="20"/>
    </w:rPr>
  </w:style>
  <w:style w:type="paragraph" w:customStyle="1" w:styleId="455">
    <w:name w:val="主题2"/>
    <w:basedOn w:val="1"/>
    <w:next w:val="1"/>
    <w:qFormat/>
    <w:uiPriority w:val="0"/>
    <w:pPr>
      <w:spacing w:line="360" w:lineRule="auto"/>
      <w:ind w:left="480" w:leftChars="100" w:right="100" w:rightChars="100"/>
      <w:outlineLvl w:val="1"/>
    </w:pPr>
    <w:rPr>
      <w:rFonts w:ascii="宋体" w:hAnsi="宋体"/>
      <w:b/>
      <w:kern w:val="0"/>
      <w:sz w:val="28"/>
    </w:rPr>
  </w:style>
  <w:style w:type="paragraph" w:customStyle="1" w:styleId="456">
    <w:name w:val="style12"/>
    <w:basedOn w:val="1"/>
    <w:qFormat/>
    <w:uiPriority w:val="0"/>
    <w:pPr>
      <w:widowControl/>
      <w:spacing w:before="100" w:beforeAutospacing="1" w:after="100" w:afterAutospacing="1" w:line="312" w:lineRule="auto"/>
      <w:jc w:val="left"/>
    </w:pPr>
    <w:rPr>
      <w:rFonts w:ascii="ˎ̥" w:hAnsi="ˎ̥" w:cs="宋体"/>
      <w:color w:val="996666"/>
      <w:kern w:val="0"/>
      <w:sz w:val="18"/>
      <w:szCs w:val="18"/>
    </w:rPr>
  </w:style>
  <w:style w:type="paragraph" w:customStyle="1" w:styleId="457">
    <w:name w:val="ft9"/>
    <w:basedOn w:val="1"/>
    <w:qFormat/>
    <w:uiPriority w:val="0"/>
    <w:pPr>
      <w:widowControl/>
      <w:spacing w:before="100" w:beforeAutospacing="1" w:after="100" w:afterAutospacing="1"/>
      <w:jc w:val="left"/>
    </w:pPr>
    <w:rPr>
      <w:rFonts w:ascii="宋体" w:hAnsi="宋体"/>
      <w:kern w:val="0"/>
      <w:sz w:val="18"/>
    </w:rPr>
  </w:style>
  <w:style w:type="paragraph" w:customStyle="1" w:styleId="458">
    <w:name w:val="Char2"/>
    <w:basedOn w:val="1"/>
    <w:qFormat/>
    <w:uiPriority w:val="0"/>
    <w:rPr>
      <w:rFonts w:ascii="Tahoma" w:hAnsi="Tahoma"/>
      <w:sz w:val="24"/>
    </w:rPr>
  </w:style>
  <w:style w:type="paragraph" w:customStyle="1" w:styleId="459">
    <w:name w:val="插图题注"/>
    <w:next w:val="1"/>
    <w:qFormat/>
    <w:uiPriority w:val="0"/>
    <w:pPr>
      <w:tabs>
        <w:tab w:val="left" w:pos="2363"/>
      </w:tabs>
      <w:spacing w:afterLines="100"/>
      <w:ind w:left="2363" w:hanging="1418"/>
      <w:jc w:val="center"/>
    </w:pPr>
    <w:rPr>
      <w:rFonts w:ascii="Arial" w:hAnsi="Arial" w:eastAsia="宋体" w:cs="Times New Roman"/>
      <w:sz w:val="18"/>
      <w:lang w:val="en-US" w:eastAsia="zh-CN" w:bidi="ar-SA"/>
    </w:rPr>
  </w:style>
  <w:style w:type="paragraph" w:customStyle="1" w:styleId="460">
    <w:name w:val="CM6"/>
    <w:basedOn w:val="253"/>
    <w:next w:val="253"/>
    <w:qFormat/>
    <w:uiPriority w:val="0"/>
    <w:pPr>
      <w:autoSpaceDE w:val="0"/>
      <w:autoSpaceDN w:val="0"/>
      <w:adjustRightInd w:val="0"/>
      <w:spacing w:line="300" w:lineRule="atLeast"/>
    </w:pPr>
    <w:rPr>
      <w:rFonts w:ascii="HYDaHeiJ" w:eastAsia="HYDaHeiJ"/>
      <w:color w:val="auto"/>
      <w:lang w:eastAsia="zh-CN"/>
    </w:rPr>
  </w:style>
  <w:style w:type="paragraph" w:customStyle="1" w:styleId="461">
    <w:name w:val="subtitle 2"/>
    <w:basedOn w:val="1"/>
    <w:qFormat/>
    <w:uiPriority w:val="0"/>
    <w:pPr>
      <w:spacing w:before="240" w:after="240" w:line="312" w:lineRule="atLeast"/>
    </w:pPr>
    <w:rPr>
      <w:rFonts w:eastAsia="黑体"/>
      <w:snapToGrid w:val="0"/>
      <w:kern w:val="0"/>
      <w:sz w:val="24"/>
    </w:rPr>
  </w:style>
  <w:style w:type="paragraph" w:customStyle="1" w:styleId="462">
    <w:name w:val="Char Char2 Char Char Char Char Char Char"/>
    <w:basedOn w:val="1"/>
    <w:qFormat/>
    <w:uiPriority w:val="0"/>
    <w:pPr>
      <w:widowControl/>
      <w:spacing w:after="160" w:line="240" w:lineRule="exact"/>
      <w:jc w:val="left"/>
    </w:pPr>
    <w:rPr>
      <w:rFonts w:ascii="宋体" w:hAnsi="宋体"/>
      <w:b/>
      <w:sz w:val="24"/>
    </w:rPr>
  </w:style>
  <w:style w:type="paragraph" w:customStyle="1" w:styleId="463">
    <w:name w:val="标头1"/>
    <w:basedOn w:val="5"/>
    <w:qFormat/>
    <w:uiPriority w:val="0"/>
    <w:pPr>
      <w:spacing w:before="120" w:after="120" w:line="240" w:lineRule="auto"/>
    </w:pPr>
    <w:rPr>
      <w:bCs w:val="0"/>
      <w:sz w:val="28"/>
      <w:szCs w:val="20"/>
    </w:rPr>
  </w:style>
  <w:style w:type="paragraph" w:customStyle="1" w:styleId="464">
    <w:name w:val="正文 New New New New"/>
    <w:basedOn w:val="1"/>
    <w:qFormat/>
    <w:uiPriority w:val="0"/>
    <w:rPr>
      <w:kern w:val="0"/>
      <w:sz w:val="24"/>
    </w:rPr>
  </w:style>
  <w:style w:type="paragraph" w:customStyle="1" w:styleId="465">
    <w:name w:val="itemlis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466">
    <w:name w:val="Block"/>
    <w:basedOn w:val="1"/>
    <w:next w:val="190"/>
    <w:qFormat/>
    <w:uiPriority w:val="0"/>
    <w:rPr>
      <w:rFonts w:ascii="Arial" w:hAnsi="Arial" w:eastAsia="楷体_GB2312"/>
      <w:color w:val="000080"/>
      <w:sz w:val="28"/>
      <w:szCs w:val="28"/>
    </w:rPr>
  </w:style>
  <w:style w:type="paragraph" w:customStyle="1" w:styleId="467">
    <w:name w:val="Figure"/>
    <w:basedOn w:val="1"/>
    <w:next w:val="468"/>
    <w:qFormat/>
    <w:uiPriority w:val="0"/>
    <w:pPr>
      <w:keepNext/>
      <w:keepLines/>
      <w:jc w:val="center"/>
    </w:pPr>
    <w:rPr>
      <w:szCs w:val="24"/>
    </w:rPr>
  </w:style>
  <w:style w:type="paragraph" w:customStyle="1" w:styleId="468">
    <w:name w:val="Figure Description"/>
    <w:basedOn w:val="467"/>
    <w:next w:val="190"/>
    <w:qFormat/>
    <w:uiPriority w:val="0"/>
    <w:pPr>
      <w:tabs>
        <w:tab w:val="left" w:pos="680"/>
      </w:tabs>
      <w:ind w:left="680" w:hanging="680"/>
    </w:pPr>
    <w:rPr>
      <w:sz w:val="18"/>
    </w:rPr>
  </w:style>
  <w:style w:type="paragraph" w:customStyle="1" w:styleId="469">
    <w:name w:val="版权声明"/>
    <w:basedOn w:val="1"/>
    <w:qFormat/>
    <w:uiPriority w:val="0"/>
    <w:pPr>
      <w:widowControl/>
      <w:autoSpaceDE w:val="0"/>
      <w:autoSpaceDN w:val="0"/>
      <w:snapToGrid w:val="0"/>
      <w:spacing w:line="360" w:lineRule="auto"/>
      <w:ind w:left="1134"/>
      <w:textAlignment w:val="bottom"/>
    </w:pPr>
    <w:rPr>
      <w:rFonts w:ascii="Tahoma" w:hAnsi="Tahoma" w:eastAsia="新宋体"/>
    </w:rPr>
  </w:style>
  <w:style w:type="paragraph" w:customStyle="1" w:styleId="470">
    <w:name w:val="Char Char6 Char Char Char Char Char Char"/>
    <w:basedOn w:val="23"/>
    <w:qFormat/>
    <w:uiPriority w:val="0"/>
    <w:rPr>
      <w:rFonts w:ascii="宋体" w:hAnsi="宋体"/>
      <w:b/>
      <w:sz w:val="24"/>
      <w:shd w:val="clear" w:color="auto" w:fill="auto"/>
    </w:rPr>
  </w:style>
  <w:style w:type="paragraph" w:customStyle="1" w:styleId="471">
    <w:name w:val="普通 (Web)"/>
    <w:basedOn w:val="1"/>
    <w:qFormat/>
    <w:uiPriority w:val="0"/>
    <w:pPr>
      <w:widowControl/>
      <w:spacing w:afterLines="50" w:line="384" w:lineRule="auto"/>
      <w:ind w:left="359" w:leftChars="171" w:right="34" w:firstLine="540" w:firstLineChars="225"/>
      <w:jc w:val="left"/>
    </w:pPr>
    <w:rPr>
      <w:rFonts w:ascii="Arial" w:hAnsi="Arial" w:cs="Arial"/>
      <w:kern w:val="0"/>
      <w:sz w:val="24"/>
      <w:szCs w:val="24"/>
    </w:rPr>
  </w:style>
  <w:style w:type="paragraph" w:customStyle="1" w:styleId="472">
    <w:name w:val="正文中的小标题"/>
    <w:basedOn w:val="1"/>
    <w:qFormat/>
    <w:uiPriority w:val="0"/>
    <w:pPr>
      <w:spacing w:line="400" w:lineRule="exact"/>
      <w:ind w:left="2835"/>
    </w:pPr>
    <w:rPr>
      <w:rFonts w:ascii="Arial" w:hAnsi="Arial" w:eastAsia="黑体"/>
      <w:b/>
      <w:spacing w:val="10"/>
    </w:rPr>
  </w:style>
  <w:style w:type="paragraph" w:customStyle="1" w:styleId="473">
    <w:name w:val="标题1级"/>
    <w:basedOn w:val="3"/>
    <w:qFormat/>
    <w:uiPriority w:val="0"/>
    <w:pPr>
      <w:widowControl/>
      <w:spacing w:before="0" w:after="0" w:line="440" w:lineRule="exact"/>
      <w:jc w:val="left"/>
    </w:pPr>
    <w:rPr>
      <w:rFonts w:ascii="宋体" w:hAnsi="宋体"/>
      <w:sz w:val="32"/>
      <w:szCs w:val="20"/>
    </w:rPr>
  </w:style>
  <w:style w:type="paragraph" w:customStyle="1" w:styleId="474">
    <w:name w:val="BoldBullet"/>
    <w:basedOn w:val="475"/>
    <w:next w:val="475"/>
    <w:qFormat/>
    <w:uiPriority w:val="0"/>
    <w:pPr>
      <w:keepNext/>
      <w:ind w:left="568" w:right="74" w:hanging="284"/>
      <w:jc w:val="both"/>
    </w:pPr>
    <w:rPr>
      <w:rFonts w:ascii="黑体" w:eastAsia="黑体"/>
      <w:b/>
    </w:rPr>
  </w:style>
  <w:style w:type="paragraph" w:customStyle="1" w:styleId="475">
    <w:name w:val="AfterBullet"/>
    <w:basedOn w:val="3"/>
    <w:next w:val="474"/>
    <w:qFormat/>
    <w:uiPriority w:val="0"/>
    <w:pPr>
      <w:keepNext w:val="0"/>
      <w:keepLines w:val="0"/>
      <w:autoSpaceDE w:val="0"/>
      <w:autoSpaceDN w:val="0"/>
      <w:adjustRightInd w:val="0"/>
      <w:spacing w:before="0" w:after="0" w:line="360" w:lineRule="auto"/>
      <w:ind w:left="1310" w:right="567" w:firstLine="391"/>
      <w:jc w:val="left"/>
      <w:textAlignment w:val="baseline"/>
      <w:outlineLvl w:val="9"/>
    </w:pPr>
    <w:rPr>
      <w:rFonts w:ascii="宋体" w:hAnsi="Tms Rmn"/>
      <w:color w:val="000000"/>
      <w:kern w:val="0"/>
      <w:sz w:val="21"/>
      <w:szCs w:val="20"/>
    </w:rPr>
  </w:style>
  <w:style w:type="paragraph" w:customStyle="1" w:styleId="476">
    <w:name w:val="样式 (西文) 宋体 首行缩进:  2 字符 Char"/>
    <w:basedOn w:val="1"/>
    <w:qFormat/>
    <w:uiPriority w:val="0"/>
    <w:pPr>
      <w:spacing w:line="360" w:lineRule="auto"/>
      <w:ind w:firstLine="480" w:firstLineChars="200"/>
    </w:pPr>
    <w:rPr>
      <w:rFonts w:ascii="宋体"/>
      <w:sz w:val="24"/>
    </w:rPr>
  </w:style>
  <w:style w:type="paragraph" w:customStyle="1" w:styleId="477">
    <w:name w:val="lgh样式正文缩2"/>
    <w:basedOn w:val="10"/>
    <w:qFormat/>
    <w:uiPriority w:val="0"/>
    <w:pPr>
      <w:adjustRightInd w:val="0"/>
      <w:snapToGrid w:val="0"/>
      <w:ind w:firstLine="480"/>
    </w:pPr>
  </w:style>
  <w:style w:type="paragraph" w:customStyle="1" w:styleId="478">
    <w:name w:val="23"/>
    <w:basedOn w:val="5"/>
    <w:qFormat/>
    <w:uiPriority w:val="0"/>
    <w:pPr>
      <w:keepNext w:val="0"/>
      <w:keepLines w:val="0"/>
      <w:adjustRightInd w:val="0"/>
      <w:spacing w:before="0" w:after="0" w:line="312" w:lineRule="atLeast"/>
      <w:textAlignment w:val="baseline"/>
      <w:outlineLvl w:val="9"/>
    </w:pPr>
    <w:rPr>
      <w:rFonts w:ascii="宋体" w:hAnsi="宋体"/>
      <w:b w:val="0"/>
      <w:bCs w:val="0"/>
      <w:kern w:val="0"/>
      <w:sz w:val="28"/>
      <w:szCs w:val="20"/>
    </w:rPr>
  </w:style>
  <w:style w:type="paragraph" w:customStyle="1" w:styleId="479">
    <w:name w:val="标书标题"/>
    <w:basedOn w:val="1"/>
    <w:next w:val="1"/>
    <w:qFormat/>
    <w:uiPriority w:val="0"/>
    <w:pPr>
      <w:spacing w:afterLines="60" w:line="360" w:lineRule="auto"/>
      <w:jc w:val="center"/>
    </w:pPr>
    <w:rPr>
      <w:b/>
      <w:sz w:val="72"/>
    </w:rPr>
  </w:style>
  <w:style w:type="paragraph" w:customStyle="1" w:styleId="480">
    <w:name w:val="Picture"/>
    <w:basedOn w:val="1"/>
    <w:next w:val="20"/>
    <w:qFormat/>
    <w:uiPriority w:val="0"/>
    <w:pPr>
      <w:keepNext/>
      <w:widowControl/>
      <w:ind w:left="1080"/>
      <w:jc w:val="left"/>
    </w:pPr>
    <w:rPr>
      <w:rFonts w:ascii="Arial" w:hAnsi="Arial" w:eastAsia="仿宋体"/>
      <w:spacing w:val="-5"/>
      <w:kern w:val="0"/>
      <w:sz w:val="28"/>
      <w:lang w:eastAsia="en-US"/>
    </w:rPr>
  </w:style>
  <w:style w:type="paragraph" w:customStyle="1" w:styleId="481">
    <w:name w:val="xl55"/>
    <w:basedOn w:val="1"/>
    <w:qFormat/>
    <w:uiPriority w:val="0"/>
    <w:pPr>
      <w:widowControl/>
      <w:pBdr>
        <w:left w:val="single" w:color="auto" w:sz="8" w:space="0"/>
        <w:right w:val="single" w:color="auto" w:sz="4" w:space="0"/>
      </w:pBdr>
      <w:shd w:val="clear" w:color="auto" w:fill="FFFF00"/>
      <w:spacing w:before="100" w:beforeAutospacing="1" w:after="100" w:afterAutospacing="1"/>
      <w:jc w:val="left"/>
    </w:pPr>
    <w:rPr>
      <w:rFonts w:ascii="宋体" w:hAnsi="宋体"/>
      <w:b/>
      <w:i/>
      <w:kern w:val="0"/>
      <w:sz w:val="20"/>
    </w:rPr>
  </w:style>
  <w:style w:type="paragraph" w:customStyle="1" w:styleId="482">
    <w:name w:val="Char Char5 Char Char Char Char"/>
    <w:basedOn w:val="1"/>
    <w:qFormat/>
    <w:uiPriority w:val="0"/>
  </w:style>
  <w:style w:type="paragraph" w:customStyle="1" w:styleId="483">
    <w:name w:val="正文-电视"/>
    <w:basedOn w:val="1"/>
    <w:qFormat/>
    <w:uiPriority w:val="0"/>
    <w:pPr>
      <w:spacing w:line="360" w:lineRule="auto"/>
      <w:ind w:firstLine="540" w:firstLineChars="225"/>
    </w:pPr>
    <w:rPr>
      <w:rFonts w:ascii="宋体" w:hAnsi="宋体"/>
      <w:sz w:val="24"/>
    </w:rPr>
  </w:style>
  <w:style w:type="paragraph" w:customStyle="1" w:styleId="484">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485">
    <w:name w:val="样式4"/>
    <w:basedOn w:val="1"/>
    <w:qFormat/>
    <w:uiPriority w:val="0"/>
    <w:pPr>
      <w:tabs>
        <w:tab w:val="left" w:pos="360"/>
      </w:tabs>
      <w:spacing w:line="360" w:lineRule="auto"/>
      <w:ind w:left="360" w:hanging="360"/>
    </w:pPr>
    <w:rPr>
      <w:sz w:val="24"/>
      <w:szCs w:val="24"/>
    </w:rPr>
  </w:style>
  <w:style w:type="paragraph" w:customStyle="1" w:styleId="486">
    <w:name w:val="默认段落字体 Para Char Char Char Char Char Char Char Char Char1 Char"/>
    <w:basedOn w:val="1"/>
    <w:qFormat/>
    <w:uiPriority w:val="0"/>
    <w:rPr>
      <w:rFonts w:ascii="Tahoma" w:hAnsi="Tahoma"/>
      <w:sz w:val="24"/>
    </w:rPr>
  </w:style>
  <w:style w:type="paragraph" w:customStyle="1" w:styleId="487">
    <w:name w:val="Char11"/>
    <w:basedOn w:val="1"/>
    <w:next w:val="46"/>
    <w:qFormat/>
    <w:uiPriority w:val="0"/>
    <w:pPr>
      <w:spacing w:line="360" w:lineRule="auto"/>
      <w:ind w:firstLine="480" w:firstLineChars="200"/>
    </w:pPr>
    <w:rPr>
      <w:kern w:val="0"/>
      <w:sz w:val="24"/>
      <w:szCs w:val="24"/>
    </w:rPr>
  </w:style>
  <w:style w:type="paragraph" w:customStyle="1" w:styleId="488">
    <w:name w:val="Item Step in Table"/>
    <w:basedOn w:val="1"/>
    <w:qFormat/>
    <w:uiPriority w:val="0"/>
    <w:pPr>
      <w:tabs>
        <w:tab w:val="left" w:pos="420"/>
      </w:tabs>
      <w:ind w:left="420" w:hanging="420"/>
      <w:jc w:val="left"/>
    </w:pPr>
    <w:rPr>
      <w:szCs w:val="24"/>
    </w:rPr>
  </w:style>
  <w:style w:type="paragraph" w:customStyle="1" w:styleId="489">
    <w:name w:val="样式 标题 2UNDERRUBRIK 1-2Underrubrik1prop2h2Level 2 Topic Head..."/>
    <w:basedOn w:val="4"/>
    <w:qFormat/>
    <w:uiPriority w:val="0"/>
    <w:pPr>
      <w:spacing w:line="360" w:lineRule="auto"/>
      <w:jc w:val="left"/>
    </w:pPr>
    <w:rPr>
      <w:rFonts w:ascii="宋体" w:hAnsi="宋体" w:eastAsia="宋体"/>
      <w:bCs w:val="0"/>
      <w:sz w:val="24"/>
      <w:szCs w:val="20"/>
    </w:rPr>
  </w:style>
  <w:style w:type="paragraph" w:customStyle="1" w:styleId="490">
    <w:name w:val="矩形"/>
    <w:basedOn w:val="1"/>
    <w:qFormat/>
    <w:uiPriority w:val="0"/>
    <w:pPr>
      <w:tabs>
        <w:tab w:val="left" w:pos="980"/>
      </w:tabs>
      <w:spacing w:line="312" w:lineRule="auto"/>
      <w:ind w:left="980" w:hanging="420"/>
    </w:pPr>
    <w:rPr>
      <w:rFonts w:ascii="宋体"/>
    </w:rPr>
  </w:style>
  <w:style w:type="paragraph" w:customStyle="1" w:styleId="491">
    <w:name w:val="Char Char Char Char"/>
    <w:basedOn w:val="1"/>
    <w:qFormat/>
    <w:uiPriority w:val="0"/>
    <w:rPr>
      <w:rFonts w:ascii="宋体" w:hAnsi="宋体"/>
      <w:b/>
      <w:sz w:val="24"/>
    </w:rPr>
  </w:style>
  <w:style w:type="paragraph" w:customStyle="1" w:styleId="492">
    <w:name w:val="Char Char Char1 Char Char Char Char Char Char Char Char Char Char Char Char Char"/>
    <w:basedOn w:val="23"/>
    <w:qFormat/>
    <w:uiPriority w:val="0"/>
    <w:rPr>
      <w:rFonts w:ascii="宋体" w:hAnsi="宋体"/>
      <w:b/>
      <w:sz w:val="24"/>
    </w:rPr>
  </w:style>
  <w:style w:type="paragraph" w:customStyle="1" w:styleId="493">
    <w:name w:val="list"/>
    <w:basedOn w:val="1"/>
    <w:qFormat/>
    <w:uiPriority w:val="0"/>
    <w:pPr>
      <w:adjustRightInd w:val="0"/>
      <w:spacing w:line="360" w:lineRule="auto"/>
      <w:ind w:left="902" w:hanging="482"/>
      <w:textAlignment w:val="baseline"/>
    </w:pPr>
    <w:rPr>
      <w:rFonts w:ascii="昆仑仿宋" w:eastAsia="昆仑仿宋"/>
      <w:kern w:val="0"/>
    </w:rPr>
  </w:style>
  <w:style w:type="paragraph" w:customStyle="1" w:styleId="494">
    <w:name w:val="样式42"/>
    <w:basedOn w:val="437"/>
    <w:qFormat/>
    <w:uiPriority w:val="0"/>
    <w:pPr>
      <w:tabs>
        <w:tab w:val="left" w:pos="1254"/>
        <w:tab w:val="clear" w:pos="907"/>
      </w:tabs>
      <w:ind w:left="942" w:firstLine="3"/>
    </w:pPr>
  </w:style>
  <w:style w:type="paragraph" w:customStyle="1" w:styleId="49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496">
    <w:name w:val="样式 正文（首行缩进两字） + 左侧:  2.04 厘米"/>
    <w:basedOn w:val="10"/>
    <w:qFormat/>
    <w:uiPriority w:val="0"/>
    <w:pPr>
      <w:autoSpaceDE w:val="0"/>
      <w:autoSpaceDN w:val="0"/>
      <w:adjustRightInd w:val="0"/>
      <w:snapToGrid w:val="0"/>
      <w:ind w:left="567" w:firstLine="0" w:firstLineChars="0"/>
    </w:pPr>
    <w:rPr>
      <w:rFonts w:ascii="华文细黑" w:hAnsi="华文细黑" w:eastAsia="华文细黑"/>
      <w:kern w:val="0"/>
      <w:szCs w:val="24"/>
    </w:rPr>
  </w:style>
  <w:style w:type="paragraph" w:customStyle="1" w:styleId="497">
    <w:name w:val="特点黄标"/>
    <w:basedOn w:val="1"/>
    <w:qFormat/>
    <w:uiPriority w:val="0"/>
    <w:pPr>
      <w:widowControl/>
      <w:autoSpaceDE w:val="0"/>
      <w:autoSpaceDN w:val="0"/>
      <w:adjustRightInd w:val="0"/>
    </w:pPr>
    <w:rPr>
      <w:rFonts w:ascii="汉鼎简大黑Arial Black" w:eastAsia="汉鼎简大黑Arial Black"/>
      <w:color w:val="FFD80E"/>
      <w:kern w:val="0"/>
      <w:sz w:val="20"/>
      <w:szCs w:val="24"/>
      <w:lang w:eastAsia="en-US"/>
    </w:rPr>
  </w:style>
  <w:style w:type="paragraph" w:customStyle="1" w:styleId="498">
    <w:name w:val="a"/>
    <w:basedOn w:val="1"/>
    <w:qFormat/>
    <w:uiPriority w:val="0"/>
    <w:pPr>
      <w:widowControl/>
      <w:spacing w:line="300" w:lineRule="atLeast"/>
      <w:jc w:val="left"/>
    </w:pPr>
    <w:rPr>
      <w:rFonts w:ascii="宋体" w:hAnsi="宋体" w:cs="宋体"/>
      <w:kern w:val="0"/>
      <w:sz w:val="18"/>
      <w:szCs w:val="18"/>
    </w:rPr>
  </w:style>
  <w:style w:type="paragraph" w:customStyle="1" w:styleId="499">
    <w:name w:val="xl74"/>
    <w:basedOn w:val="1"/>
    <w:qFormat/>
    <w:uiPriority w:val="0"/>
    <w:pPr>
      <w:widowControl/>
      <w:pBdr>
        <w:top w:val="single" w:color="auto" w:sz="4" w:space="0"/>
        <w:left w:val="single" w:color="auto" w:sz="4" w:space="0"/>
        <w:bottom w:val="single" w:color="auto" w:sz="8" w:space="0"/>
      </w:pBdr>
      <w:shd w:val="clear" w:color="auto" w:fill="FFFF00"/>
      <w:spacing w:before="100" w:beforeAutospacing="1" w:after="100" w:afterAutospacing="1"/>
      <w:jc w:val="right"/>
    </w:pPr>
    <w:rPr>
      <w:rFonts w:ascii="宋体" w:hAnsi="宋体"/>
      <w:kern w:val="0"/>
      <w:sz w:val="20"/>
    </w:rPr>
  </w:style>
  <w:style w:type="paragraph" w:customStyle="1" w:styleId="500">
    <w:name w:val="图样式"/>
    <w:next w:val="256"/>
    <w:qFormat/>
    <w:uiPriority w:val="0"/>
    <w:pPr>
      <w:spacing w:before="156" w:after="156"/>
      <w:jc w:val="center"/>
    </w:pPr>
    <w:rPr>
      <w:rFonts w:ascii="宋体" w:hAnsi="Times New Roman" w:eastAsia="宋体" w:cs="Times New Roman"/>
      <w:kern w:val="2"/>
      <w:lang w:val="en-US" w:eastAsia="zh-CN" w:bidi="ar-SA"/>
    </w:rPr>
  </w:style>
  <w:style w:type="paragraph" w:customStyle="1" w:styleId="501">
    <w:name w:val="Definition Term"/>
    <w:basedOn w:val="1"/>
    <w:next w:val="1"/>
    <w:qFormat/>
    <w:uiPriority w:val="0"/>
    <w:pPr>
      <w:widowControl/>
      <w:ind w:left="907"/>
      <w:jc w:val="left"/>
    </w:pPr>
    <w:rPr>
      <w:snapToGrid w:val="0"/>
      <w:kern w:val="0"/>
      <w:sz w:val="24"/>
      <w:lang w:eastAsia="en-US"/>
    </w:rPr>
  </w:style>
  <w:style w:type="paragraph" w:customStyle="1" w:styleId="502">
    <w:name w:val="xl64"/>
    <w:basedOn w:val="1"/>
    <w:qFormat/>
    <w:uiPriority w:val="0"/>
    <w:pPr>
      <w:widowControl/>
      <w:pBdr>
        <w:top w:val="single" w:color="auto" w:sz="4" w:space="0"/>
        <w:left w:val="single" w:color="auto" w:sz="4" w:space="0"/>
        <w:bottom w:val="single" w:color="auto" w:sz="4" w:space="0"/>
        <w:right w:val="single" w:color="auto" w:sz="8" w:space="0"/>
      </w:pBdr>
      <w:shd w:val="clear" w:color="auto" w:fill="FFFF00"/>
      <w:spacing w:before="100" w:beforeAutospacing="1" w:after="100" w:afterAutospacing="1"/>
      <w:jc w:val="right"/>
    </w:pPr>
    <w:rPr>
      <w:rFonts w:ascii="宋体" w:hAnsi="宋体"/>
      <w:kern w:val="0"/>
      <w:sz w:val="20"/>
    </w:rPr>
  </w:style>
  <w:style w:type="paragraph" w:customStyle="1" w:styleId="503">
    <w:name w:val="xl44"/>
    <w:basedOn w:val="1"/>
    <w:qFormat/>
    <w:uiPriority w:val="0"/>
    <w:pPr>
      <w:widowControl/>
      <w:spacing w:before="100" w:beforeAutospacing="1" w:after="100" w:afterAutospacing="1"/>
      <w:jc w:val="right"/>
    </w:pPr>
    <w:rPr>
      <w:rFonts w:ascii="宋体" w:hAnsi="宋体"/>
      <w:kern w:val="0"/>
      <w:sz w:val="20"/>
    </w:rPr>
  </w:style>
  <w:style w:type="paragraph" w:customStyle="1" w:styleId="504">
    <w:name w:val="font8"/>
    <w:basedOn w:val="1"/>
    <w:qFormat/>
    <w:uiPriority w:val="0"/>
    <w:pPr>
      <w:widowControl/>
      <w:spacing w:before="100" w:beforeAutospacing="1" w:after="100" w:afterAutospacing="1"/>
      <w:jc w:val="left"/>
    </w:pPr>
    <w:rPr>
      <w:rFonts w:hint="eastAsia" w:ascii="宋体" w:hAnsi="宋体"/>
      <w:color w:val="0000FF"/>
      <w:kern w:val="0"/>
      <w:sz w:val="24"/>
      <w:u w:val="single"/>
    </w:rPr>
  </w:style>
  <w:style w:type="paragraph" w:customStyle="1" w:styleId="505">
    <w:name w:val="xl82"/>
    <w:basedOn w:val="1"/>
    <w:qFormat/>
    <w:uiPriority w:val="0"/>
    <w:pPr>
      <w:widowControl/>
      <w:pBdr>
        <w:top w:val="single" w:color="auto" w:sz="4" w:space="0"/>
        <w:left w:val="single" w:color="auto" w:sz="4" w:space="0"/>
        <w:bottom w:val="single" w:color="auto" w:sz="4" w:space="0"/>
      </w:pBdr>
      <w:shd w:val="clear" w:color="auto" w:fill="CCFFFF"/>
      <w:spacing w:before="100" w:beforeAutospacing="1" w:after="100" w:afterAutospacing="1"/>
      <w:jc w:val="center"/>
      <w:textAlignment w:val="center"/>
    </w:pPr>
    <w:rPr>
      <w:rFonts w:ascii="黑体" w:hAnsi="宋体" w:eastAsia="黑体" w:cs="宋体"/>
      <w:b/>
      <w:bCs/>
      <w:kern w:val="0"/>
      <w:sz w:val="22"/>
      <w:szCs w:val="22"/>
    </w:rPr>
  </w:style>
  <w:style w:type="paragraph" w:customStyle="1" w:styleId="506">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spacing w:val="20"/>
      <w:sz w:val="24"/>
      <w:lang w:val="en-GB" w:eastAsia="zh-TW" w:bidi="ar-SA"/>
    </w:rPr>
  </w:style>
  <w:style w:type="paragraph" w:customStyle="1" w:styleId="507">
    <w:name w:val="Item List in Table"/>
    <w:basedOn w:val="1"/>
    <w:qFormat/>
    <w:uiPriority w:val="0"/>
    <w:pPr>
      <w:tabs>
        <w:tab w:val="left" w:pos="420"/>
      </w:tabs>
      <w:ind w:left="420" w:hanging="420"/>
      <w:jc w:val="left"/>
    </w:pPr>
    <w:rPr>
      <w:szCs w:val="24"/>
    </w:rPr>
  </w:style>
  <w:style w:type="paragraph" w:customStyle="1" w:styleId="508">
    <w:name w:val="点"/>
    <w:basedOn w:val="1"/>
    <w:qFormat/>
    <w:uiPriority w:val="0"/>
    <w:pPr>
      <w:tabs>
        <w:tab w:val="left" w:pos="540"/>
        <w:tab w:val="left" w:pos="1283"/>
      </w:tabs>
      <w:spacing w:line="312" w:lineRule="auto"/>
      <w:ind w:left="1283" w:hanging="245"/>
    </w:pPr>
    <w:rPr>
      <w:rFonts w:ascii="宋体"/>
      <w:sz w:val="24"/>
    </w:rPr>
  </w:style>
  <w:style w:type="paragraph" w:customStyle="1" w:styleId="509">
    <w:name w:val="小标号"/>
    <w:basedOn w:val="288"/>
    <w:next w:val="288"/>
    <w:qFormat/>
    <w:uiPriority w:val="0"/>
    <w:pPr>
      <w:tabs>
        <w:tab w:val="clear" w:pos="720"/>
      </w:tabs>
      <w:ind w:left="0" w:firstLine="0"/>
    </w:pPr>
    <w:rPr>
      <w:rFonts w:ascii="宋体"/>
    </w:rPr>
  </w:style>
  <w:style w:type="paragraph" w:customStyle="1" w:styleId="510">
    <w:name w:val="Char"/>
    <w:basedOn w:val="1"/>
    <w:qFormat/>
    <w:uiPriority w:val="0"/>
    <w:pPr>
      <w:tabs>
        <w:tab w:val="left" w:pos="360"/>
      </w:tabs>
    </w:pPr>
    <w:rPr>
      <w:sz w:val="24"/>
      <w:szCs w:val="24"/>
    </w:rPr>
  </w:style>
  <w:style w:type="paragraph" w:customStyle="1" w:styleId="511">
    <w:name w:val="项目符号A"/>
    <w:basedOn w:val="1"/>
    <w:qFormat/>
    <w:uiPriority w:val="0"/>
    <w:pPr>
      <w:tabs>
        <w:tab w:val="left" w:pos="1021"/>
      </w:tabs>
      <w:spacing w:line="360" w:lineRule="auto"/>
      <w:ind w:left="874" w:hanging="420"/>
    </w:pPr>
    <w:rPr>
      <w:rFonts w:ascii="Arial" w:hAnsi="Arial"/>
      <w:sz w:val="24"/>
    </w:rPr>
  </w:style>
  <w:style w:type="paragraph" w:customStyle="1" w:styleId="512">
    <w:name w:val="样式 标题 2 + 左侧:  0.74 厘米 首行缩进:  0 厘米 段前: 7.75 磅 段后: 7.75 磅 行距:..."/>
    <w:basedOn w:val="4"/>
    <w:qFormat/>
    <w:uiPriority w:val="0"/>
    <w:pPr>
      <w:tabs>
        <w:tab w:val="left" w:pos="1565"/>
      </w:tabs>
      <w:spacing w:before="155" w:after="155" w:line="440" w:lineRule="exact"/>
      <w:ind w:left="1412" w:hanging="567"/>
    </w:pPr>
    <w:rPr>
      <w:bCs w:val="0"/>
      <w:szCs w:val="20"/>
    </w:rPr>
  </w:style>
  <w:style w:type="paragraph" w:customStyle="1" w:styleId="513">
    <w:name w:val="标书正文"/>
    <w:basedOn w:val="1"/>
    <w:qFormat/>
    <w:uiPriority w:val="0"/>
    <w:pPr>
      <w:spacing w:line="360" w:lineRule="auto"/>
      <w:ind w:firstLine="200" w:firstLineChars="200"/>
      <w:jc w:val="left"/>
    </w:pPr>
    <w:rPr>
      <w:rFonts w:ascii="Verdana" w:hAnsi="Verdana"/>
      <w:sz w:val="24"/>
    </w:rPr>
  </w:style>
  <w:style w:type="paragraph" w:customStyle="1" w:styleId="514">
    <w:name w:val="样式 表格标题 + Arial"/>
    <w:basedOn w:val="1"/>
    <w:qFormat/>
    <w:uiPriority w:val="0"/>
    <w:pPr>
      <w:spacing w:beforeLines="25" w:afterLines="25" w:line="200" w:lineRule="exact"/>
      <w:jc w:val="center"/>
    </w:pPr>
    <w:rPr>
      <w:rFonts w:ascii="Arial" w:hAnsi="Arial"/>
      <w:szCs w:val="24"/>
    </w:rPr>
  </w:style>
  <w:style w:type="paragraph" w:customStyle="1" w:styleId="515">
    <w:name w:val="Part Title"/>
    <w:basedOn w:val="1"/>
    <w:qFormat/>
    <w:uiPriority w:val="0"/>
    <w:pPr>
      <w:widowControl/>
      <w:pBdr>
        <w:left w:val="single" w:color="auto" w:sz="6" w:space="1"/>
      </w:pBdr>
      <w:shd w:val="solid" w:color="auto" w:fill="auto"/>
      <w:spacing w:after="240" w:line="660" w:lineRule="exact"/>
      <w:ind w:left="907" w:right="7412"/>
      <w:jc w:val="center"/>
    </w:pPr>
    <w:rPr>
      <w:rFonts w:ascii="Arial Black" w:hAnsi="Arial Black" w:eastAsia="仿宋体"/>
      <w:color w:val="FFFFFF"/>
      <w:spacing w:val="-40"/>
      <w:kern w:val="0"/>
      <w:position w:val="-16"/>
      <w:sz w:val="84"/>
      <w:lang w:eastAsia="en-US"/>
    </w:rPr>
  </w:style>
  <w:style w:type="paragraph" w:customStyle="1" w:styleId="51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517">
    <w:name w:val="Char Char Char1 Char Char Char Char Char Char Char Char Char Char Char Char Char1"/>
    <w:basedOn w:val="23"/>
    <w:qFormat/>
    <w:uiPriority w:val="0"/>
  </w:style>
  <w:style w:type="paragraph" w:customStyle="1" w:styleId="518">
    <w:name w:val="Brieftext"/>
    <w:basedOn w:val="1"/>
    <w:qFormat/>
    <w:uiPriority w:val="0"/>
    <w:pPr>
      <w:widowControl/>
      <w:spacing w:line="300" w:lineRule="exact"/>
      <w:ind w:firstLine="426" w:firstLineChars="213"/>
    </w:pPr>
    <w:rPr>
      <w:rFonts w:ascii="仿宋体" w:hAnsi="Arial" w:eastAsia="Times"/>
      <w:kern w:val="0"/>
      <w:sz w:val="22"/>
      <w:lang w:val="en-GB"/>
    </w:rPr>
  </w:style>
  <w:style w:type="paragraph" w:customStyle="1" w:styleId="519">
    <w:name w:val="Char Char1 Char Char Char Char"/>
    <w:basedOn w:val="1"/>
    <w:next w:val="1"/>
    <w:qFormat/>
    <w:uiPriority w:val="0"/>
    <w:pPr>
      <w:widowControl/>
      <w:spacing w:after="160" w:line="240" w:lineRule="exact"/>
      <w:jc w:val="left"/>
    </w:pPr>
    <w:rPr>
      <w:rFonts w:ascii="Verdana" w:hAnsi="Verdana" w:eastAsia="仿宋_GB2312"/>
      <w:kern w:val="0"/>
      <w:sz w:val="24"/>
      <w:lang w:eastAsia="en-US"/>
    </w:rPr>
  </w:style>
  <w:style w:type="paragraph" w:customStyle="1" w:styleId="520">
    <w:name w:val="方案"/>
    <w:basedOn w:val="1"/>
    <w:qFormat/>
    <w:uiPriority w:val="0"/>
    <w:pPr>
      <w:adjustRightInd w:val="0"/>
      <w:spacing w:line="400" w:lineRule="exact"/>
      <w:textAlignment w:val="baseline"/>
    </w:pPr>
    <w:rPr>
      <w:rFonts w:eastAsia="楷体_GB2312"/>
      <w:kern w:val="0"/>
      <w:sz w:val="24"/>
    </w:rPr>
  </w:style>
  <w:style w:type="paragraph" w:customStyle="1" w:styleId="521">
    <w:name w:val="样式 样式 标题 2 + 左侧:  0.32 厘米 悬挂缩进: 5.4 字符 + 宋体"/>
    <w:basedOn w:val="1"/>
    <w:qFormat/>
    <w:uiPriority w:val="0"/>
    <w:pPr>
      <w:tabs>
        <w:tab w:val="left" w:pos="780"/>
      </w:tabs>
      <w:ind w:left="780" w:hanging="360"/>
    </w:pPr>
  </w:style>
  <w:style w:type="paragraph" w:customStyle="1" w:styleId="522">
    <w:name w:val="12dj"/>
    <w:basedOn w:val="1"/>
    <w:qFormat/>
    <w:uiPriority w:val="0"/>
    <w:pPr>
      <w:widowControl/>
      <w:spacing w:before="100" w:beforeAutospacing="1" w:after="100" w:afterAutospacing="1" w:line="330" w:lineRule="atLeast"/>
      <w:jc w:val="left"/>
    </w:pPr>
    <w:rPr>
      <w:rFonts w:ascii="宋体" w:hAnsi="宋体"/>
      <w:color w:val="000000"/>
      <w:kern w:val="0"/>
      <w:sz w:val="18"/>
    </w:rPr>
  </w:style>
  <w:style w:type="paragraph" w:customStyle="1" w:styleId="523">
    <w:name w:val="CY1"/>
    <w:basedOn w:val="1"/>
    <w:qFormat/>
    <w:uiPriority w:val="0"/>
    <w:pPr>
      <w:widowControl/>
      <w:spacing w:before="120" w:after="120" w:line="360" w:lineRule="auto"/>
      <w:ind w:left="907"/>
      <w:jc w:val="left"/>
    </w:pPr>
    <w:rPr>
      <w:rFonts w:ascii="仿宋体" w:eastAsia="仿宋体"/>
      <w:b/>
      <w:kern w:val="0"/>
      <w:sz w:val="24"/>
    </w:rPr>
  </w:style>
  <w:style w:type="paragraph" w:customStyle="1" w:styleId="524">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kern w:val="0"/>
      <w:sz w:val="20"/>
    </w:rPr>
  </w:style>
  <w:style w:type="paragraph" w:customStyle="1" w:styleId="525">
    <w:name w:val="标号"/>
    <w:basedOn w:val="7"/>
    <w:qFormat/>
    <w:uiPriority w:val="0"/>
    <w:pPr>
      <w:tabs>
        <w:tab w:val="left" w:pos="1296"/>
        <w:tab w:val="left" w:pos="2100"/>
      </w:tabs>
      <w:snapToGrid w:val="0"/>
      <w:spacing w:before="0" w:after="0" w:line="460" w:lineRule="atLeast"/>
      <w:ind w:left="1008" w:hanging="432"/>
      <w:outlineLvl w:val="9"/>
    </w:pPr>
    <w:rPr>
      <w:rFonts w:ascii="Arial" w:hAnsi="Arial"/>
      <w:b w:val="0"/>
      <w:bCs w:val="0"/>
      <w:spacing w:val="6"/>
      <w:sz w:val="24"/>
      <w:szCs w:val="20"/>
    </w:rPr>
  </w:style>
  <w:style w:type="paragraph" w:customStyle="1" w:styleId="526">
    <w:name w:val="CM27"/>
    <w:basedOn w:val="253"/>
    <w:next w:val="253"/>
    <w:qFormat/>
    <w:uiPriority w:val="0"/>
    <w:pPr>
      <w:autoSpaceDE w:val="0"/>
      <w:autoSpaceDN w:val="0"/>
      <w:adjustRightInd w:val="0"/>
      <w:spacing w:after="68"/>
    </w:pPr>
    <w:rPr>
      <w:rFonts w:ascii="HYDaHeiJ" w:eastAsia="HYDaHeiJ"/>
      <w:color w:val="auto"/>
      <w:lang w:eastAsia="zh-CN"/>
    </w:rPr>
  </w:style>
  <w:style w:type="paragraph" w:customStyle="1" w:styleId="527">
    <w:name w:val="引文目录标题1"/>
    <w:basedOn w:val="1"/>
    <w:next w:val="1"/>
    <w:qFormat/>
    <w:uiPriority w:val="0"/>
    <w:pPr>
      <w:spacing w:before="120"/>
      <w:jc w:val="left"/>
    </w:pPr>
    <w:rPr>
      <w:rFonts w:ascii="Arial"/>
      <w:kern w:val="0"/>
      <w:sz w:val="24"/>
      <w:u w:color="000000"/>
    </w:rPr>
  </w:style>
  <w:style w:type="paragraph" w:customStyle="1" w:styleId="528">
    <w:name w:val="方案文档"/>
    <w:basedOn w:val="1"/>
    <w:qFormat/>
    <w:uiPriority w:val="0"/>
    <w:pPr>
      <w:spacing w:before="120" w:after="120" w:line="360" w:lineRule="auto"/>
      <w:ind w:firstLine="567"/>
    </w:pPr>
    <w:rPr>
      <w:rFonts w:ascii="Arial" w:hAnsi="Arial"/>
      <w:b/>
    </w:rPr>
  </w:style>
  <w:style w:type="paragraph" w:customStyle="1" w:styleId="529">
    <w:name w:val="样式20"/>
    <w:basedOn w:val="56"/>
    <w:next w:val="56"/>
    <w:qFormat/>
    <w:uiPriority w:val="0"/>
    <w:pPr>
      <w:tabs>
        <w:tab w:val="left" w:pos="1512"/>
      </w:tabs>
      <w:adjustRightInd w:val="0"/>
      <w:spacing w:line="360" w:lineRule="auto"/>
      <w:textAlignment w:val="baseline"/>
    </w:pPr>
    <w:rPr>
      <w:kern w:val="0"/>
      <w:sz w:val="24"/>
    </w:rPr>
  </w:style>
  <w:style w:type="paragraph" w:customStyle="1" w:styleId="530">
    <w:name w:val="Heading 9"/>
    <w:basedOn w:val="1"/>
    <w:qFormat/>
    <w:uiPriority w:val="0"/>
    <w:pPr>
      <w:widowControl/>
      <w:tabs>
        <w:tab w:val="left" w:pos="1584"/>
      </w:tabs>
      <w:autoSpaceDE w:val="0"/>
      <w:autoSpaceDN w:val="0"/>
      <w:ind w:left="1584" w:hanging="1584"/>
      <w:jc w:val="left"/>
    </w:pPr>
    <w:rPr>
      <w:kern w:val="24"/>
      <w:sz w:val="20"/>
    </w:rPr>
  </w:style>
  <w:style w:type="paragraph" w:customStyle="1" w:styleId="531">
    <w:name w:val="樣式1"/>
    <w:basedOn w:val="53"/>
    <w:qFormat/>
    <w:uiPriority w:val="0"/>
    <w:pPr>
      <w:tabs>
        <w:tab w:val="left" w:pos="1829"/>
        <w:tab w:val="left" w:pos="1990"/>
        <w:tab w:val="right" w:leader="dot" w:pos="8834"/>
      </w:tabs>
      <w:ind w:left="0"/>
    </w:pPr>
    <w:rPr>
      <w:rFonts w:cs="Arial"/>
    </w:rPr>
  </w:style>
  <w:style w:type="paragraph" w:customStyle="1" w:styleId="532">
    <w:name w:val="Style1"/>
    <w:basedOn w:val="41"/>
    <w:qFormat/>
    <w:uiPriority w:val="0"/>
    <w:pPr>
      <w:jc w:val="left"/>
    </w:pPr>
    <w:rPr>
      <w:rFonts w:ascii="Arial" w:hAnsi="Arial" w:eastAsia="Arial"/>
      <w:sz w:val="18"/>
    </w:rPr>
  </w:style>
  <w:style w:type="paragraph" w:customStyle="1" w:styleId="533">
    <w:name w:val="Char Char2"/>
    <w:basedOn w:val="1"/>
    <w:qFormat/>
    <w:uiPriority w:val="0"/>
    <w:pPr>
      <w:adjustRightInd w:val="0"/>
      <w:spacing w:line="360" w:lineRule="auto"/>
    </w:pPr>
    <w:rPr>
      <w:rFonts w:ascii="宋体" w:hAnsi="宋体"/>
      <w:b/>
      <w:sz w:val="24"/>
    </w:rPr>
  </w:style>
  <w:style w:type="paragraph" w:customStyle="1" w:styleId="534">
    <w:name w:val="Char Char21"/>
    <w:basedOn w:val="1"/>
    <w:qFormat/>
    <w:uiPriority w:val="0"/>
    <w:rPr>
      <w:rFonts w:ascii="仿宋_GB2312" w:eastAsia="仿宋_GB2312"/>
      <w:b/>
      <w:sz w:val="32"/>
      <w:szCs w:val="32"/>
    </w:rPr>
  </w:style>
  <w:style w:type="paragraph" w:customStyle="1" w:styleId="535">
    <w:name w:val="样式 subtitle 2 + 宋体 段前: 0 磅 段后: 0 磅 行距: 1.5 倍行距"/>
    <w:basedOn w:val="461"/>
    <w:qFormat/>
    <w:uiPriority w:val="0"/>
    <w:pPr>
      <w:tabs>
        <w:tab w:val="left" w:pos="905"/>
      </w:tabs>
      <w:spacing w:before="0" w:after="0" w:line="360" w:lineRule="auto"/>
      <w:ind w:left="425" w:firstLine="482" w:firstLineChars="200"/>
    </w:pPr>
    <w:rPr>
      <w:rFonts w:ascii="宋体" w:hAnsi="宋体" w:eastAsia="宋体"/>
      <w:b/>
      <w:snapToGrid/>
      <w:kern w:val="2"/>
    </w:rPr>
  </w:style>
  <w:style w:type="paragraph" w:customStyle="1" w:styleId="536">
    <w:name w:val="小点说明"/>
    <w:basedOn w:val="1"/>
    <w:qFormat/>
    <w:uiPriority w:val="0"/>
    <w:pPr>
      <w:tabs>
        <w:tab w:val="left" w:pos="960"/>
      </w:tabs>
      <w:spacing w:after="80" w:line="360" w:lineRule="auto"/>
      <w:ind w:left="720" w:hanging="240"/>
    </w:pPr>
    <w:rPr>
      <w:rFonts w:ascii="宋体" w:hAnsi="宋体"/>
      <w:kern w:val="0"/>
      <w:sz w:val="28"/>
      <w:lang w:val="eu-ES"/>
    </w:rPr>
  </w:style>
  <w:style w:type="paragraph" w:customStyle="1" w:styleId="537">
    <w:name w:val="CM7"/>
    <w:basedOn w:val="253"/>
    <w:next w:val="253"/>
    <w:qFormat/>
    <w:uiPriority w:val="0"/>
    <w:pPr>
      <w:autoSpaceDE w:val="0"/>
      <w:autoSpaceDN w:val="0"/>
      <w:adjustRightInd w:val="0"/>
      <w:spacing w:line="200" w:lineRule="atLeast"/>
    </w:pPr>
    <w:rPr>
      <w:rFonts w:ascii="Arial Black" w:hAnsi="Arial Black" w:eastAsia="宋体"/>
      <w:color w:val="auto"/>
      <w:sz w:val="20"/>
      <w:lang w:eastAsia="zh-CN"/>
    </w:rPr>
  </w:style>
  <w:style w:type="paragraph" w:customStyle="1" w:styleId="538">
    <w:name w:val="xl99"/>
    <w:basedOn w:val="1"/>
    <w:qFormat/>
    <w:uiPriority w:val="0"/>
    <w:pPr>
      <w:widowControl/>
      <w:pBdr>
        <w:top w:val="single" w:color="auto" w:sz="4" w:space="0"/>
        <w:bottom w:val="single" w:color="auto" w:sz="4" w:space="0"/>
      </w:pBdr>
      <w:shd w:val="clear" w:color="000000" w:fill="CCFFFF"/>
      <w:spacing w:before="100" w:beforeAutospacing="1" w:after="100" w:afterAutospacing="1"/>
      <w:jc w:val="center"/>
      <w:textAlignment w:val="center"/>
    </w:pPr>
    <w:rPr>
      <w:b/>
      <w:bCs/>
      <w:color w:val="000000"/>
      <w:kern w:val="0"/>
      <w:sz w:val="20"/>
    </w:rPr>
  </w:style>
  <w:style w:type="paragraph" w:customStyle="1" w:styleId="539">
    <w:name w:val="Char1 Char Char Char Char Char Char Char Char Char"/>
    <w:basedOn w:val="1"/>
    <w:qFormat/>
    <w:uiPriority w:val="0"/>
    <w:rPr>
      <w:rFonts w:ascii="Tahoma" w:hAnsi="Tahoma"/>
      <w:sz w:val="24"/>
    </w:rPr>
  </w:style>
  <w:style w:type="paragraph" w:customStyle="1" w:styleId="540">
    <w:name w:val="a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41">
    <w:name w:val="_Style 64"/>
    <w:basedOn w:val="23"/>
    <w:qFormat/>
    <w:uiPriority w:val="0"/>
    <w:rPr>
      <w:rFonts w:ascii="宋体" w:hAnsi="宋体"/>
      <w:b/>
      <w:sz w:val="24"/>
      <w:shd w:val="clear" w:color="auto" w:fill="auto"/>
    </w:rPr>
  </w:style>
  <w:style w:type="paragraph" w:customStyle="1" w:styleId="542">
    <w:name w:val="Char Char Char Char Char Char1"/>
    <w:basedOn w:val="1"/>
    <w:qFormat/>
    <w:uiPriority w:val="0"/>
    <w:rPr>
      <w:rFonts w:ascii="Tahoma" w:hAnsi="Tahoma"/>
      <w:sz w:val="24"/>
    </w:rPr>
  </w:style>
  <w:style w:type="paragraph" w:customStyle="1" w:styleId="543">
    <w:name w:val="正文列表3"/>
    <w:basedOn w:val="1"/>
    <w:qFormat/>
    <w:uiPriority w:val="0"/>
    <w:pPr>
      <w:tabs>
        <w:tab w:val="left" w:pos="420"/>
      </w:tabs>
      <w:ind w:left="420" w:hanging="420"/>
    </w:pPr>
    <w:rPr>
      <w:szCs w:val="24"/>
    </w:rPr>
  </w:style>
  <w:style w:type="paragraph" w:customStyle="1" w:styleId="544">
    <w:name w:val="8"/>
    <w:basedOn w:val="1"/>
    <w:qFormat/>
    <w:uiPriority w:val="0"/>
    <w:pPr>
      <w:widowControl/>
      <w:spacing w:after="160" w:line="240" w:lineRule="exact"/>
      <w:jc w:val="left"/>
    </w:pPr>
    <w:rPr>
      <w:rFonts w:ascii="Verdana" w:hAnsi="Verdana"/>
      <w:kern w:val="0"/>
      <w:lang w:eastAsia="en-US"/>
    </w:rPr>
  </w:style>
  <w:style w:type="paragraph" w:customStyle="1" w:styleId="545">
    <w:name w:val="Char Char"/>
    <w:basedOn w:val="1"/>
    <w:qFormat/>
    <w:uiPriority w:val="0"/>
    <w:pPr>
      <w:keepNext/>
      <w:keepLines/>
      <w:adjustRightInd w:val="0"/>
      <w:spacing w:beforeLines="100" w:afterLines="100" w:line="300" w:lineRule="auto"/>
      <w:ind w:firstLine="200" w:firstLineChars="200"/>
      <w:textAlignment w:val="center"/>
    </w:pPr>
    <w:rPr>
      <w:rFonts w:ascii="仿宋_GB2312" w:hAnsi="宋体" w:eastAsia="仿宋_GB2312"/>
      <w:kern w:val="0"/>
      <w:sz w:val="24"/>
    </w:rPr>
  </w:style>
  <w:style w:type="paragraph" w:customStyle="1" w:styleId="546">
    <w:name w:val="标题一ZDY"/>
    <w:basedOn w:val="3"/>
    <w:qFormat/>
    <w:uiPriority w:val="0"/>
    <w:pPr>
      <w:spacing w:beforeLines="50" w:after="60" w:line="480" w:lineRule="auto"/>
      <w:jc w:val="center"/>
    </w:pPr>
    <w:rPr>
      <w:rFonts w:ascii="宋体" w:hAnsi="宋体"/>
      <w:kern w:val="2"/>
      <w:sz w:val="28"/>
      <w:szCs w:val="20"/>
    </w:rPr>
  </w:style>
  <w:style w:type="paragraph" w:customStyle="1" w:styleId="547">
    <w:name w:val="xl3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548">
    <w:name w:val="pa-0"/>
    <w:basedOn w:val="1"/>
    <w:qFormat/>
    <w:uiPriority w:val="0"/>
    <w:pPr>
      <w:widowControl/>
      <w:spacing w:before="100" w:beforeAutospacing="1" w:after="100" w:afterAutospacing="1" w:line="360" w:lineRule="atLeast"/>
      <w:ind w:firstLine="480"/>
    </w:pPr>
    <w:rPr>
      <w:rFonts w:ascii="宋体" w:hAnsi="宋体" w:cs="宋体"/>
      <w:kern w:val="0"/>
      <w:sz w:val="24"/>
      <w:szCs w:val="24"/>
    </w:rPr>
  </w:style>
  <w:style w:type="paragraph" w:customStyle="1" w:styleId="549">
    <w:name w:val="scfbrieftext"/>
    <w:basedOn w:val="1"/>
    <w:qFormat/>
    <w:uiPriority w:val="0"/>
    <w:pPr>
      <w:widowControl/>
      <w:jc w:val="left"/>
    </w:pPr>
    <w:rPr>
      <w:rFonts w:ascii="Arial" w:hAnsi="Arial"/>
      <w:kern w:val="0"/>
      <w:sz w:val="22"/>
      <w:lang w:eastAsia="en-US"/>
    </w:rPr>
  </w:style>
  <w:style w:type="paragraph" w:customStyle="1" w:styleId="550">
    <w:name w:val="Char Char Char Char Char Char1 Char"/>
    <w:basedOn w:val="1"/>
    <w:qFormat/>
    <w:uiPriority w:val="0"/>
    <w:pPr>
      <w:widowControl/>
      <w:spacing w:after="160" w:line="240" w:lineRule="exact"/>
      <w:jc w:val="left"/>
    </w:pPr>
    <w:rPr>
      <w:rFonts w:ascii="Verdana" w:hAnsi="Verdana"/>
      <w:kern w:val="0"/>
      <w:lang w:eastAsia="en-US"/>
    </w:rPr>
  </w:style>
  <w:style w:type="paragraph" w:customStyle="1" w:styleId="551">
    <w:name w:val="加点"/>
    <w:basedOn w:val="1"/>
    <w:qFormat/>
    <w:uiPriority w:val="0"/>
    <w:pPr>
      <w:spacing w:line="360" w:lineRule="auto"/>
    </w:pPr>
    <w:rPr>
      <w:rFonts w:eastAsia="楷体_GB2312"/>
      <w:sz w:val="24"/>
    </w:rPr>
  </w:style>
  <w:style w:type="paragraph" w:customStyle="1" w:styleId="552">
    <w:name w:val="a2"/>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53">
    <w:name w:val="xl31"/>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cs="宋体"/>
      <w:kern w:val="0"/>
      <w:sz w:val="24"/>
      <w:szCs w:val="24"/>
    </w:rPr>
  </w:style>
  <w:style w:type="paragraph" w:customStyle="1" w:styleId="554">
    <w:name w:val="ººÒÇÏ¸µÈÏß¼ò9BOLD"/>
    <w:basedOn w:val="1"/>
    <w:qFormat/>
    <w:uiPriority w:val="0"/>
    <w:pPr>
      <w:overflowPunct w:val="0"/>
      <w:autoSpaceDE w:val="0"/>
      <w:autoSpaceDN w:val="0"/>
      <w:adjustRightInd w:val="0"/>
      <w:spacing w:line="240" w:lineRule="atLeast"/>
      <w:textAlignment w:val="baseline"/>
    </w:pPr>
    <w:rPr>
      <w:rFonts w:ascii="汉仪细等线简" w:eastAsia="汉仪细等线简"/>
      <w:b/>
      <w:kern w:val="0"/>
      <w:sz w:val="18"/>
    </w:rPr>
  </w:style>
  <w:style w:type="paragraph" w:customStyle="1" w:styleId="555">
    <w:name w:val="样式 标题 2 + 右侧:  1 字符"/>
    <w:basedOn w:val="4"/>
    <w:qFormat/>
    <w:uiPriority w:val="0"/>
    <w:pPr>
      <w:keepLines w:val="0"/>
      <w:widowControl/>
      <w:snapToGrid w:val="0"/>
      <w:spacing w:before="0" w:after="0" w:line="360" w:lineRule="auto"/>
      <w:ind w:right="100" w:rightChars="100"/>
      <w:jc w:val="left"/>
    </w:pPr>
    <w:rPr>
      <w:bCs w:val="0"/>
      <w:sz w:val="28"/>
      <w:szCs w:val="20"/>
    </w:rPr>
  </w:style>
  <w:style w:type="paragraph" w:customStyle="1" w:styleId="556">
    <w:name w:val="标题二ZDY"/>
    <w:basedOn w:val="4"/>
    <w:qFormat/>
    <w:uiPriority w:val="0"/>
    <w:pPr>
      <w:tabs>
        <w:tab w:val="left" w:pos="1476"/>
      </w:tabs>
      <w:spacing w:beforeLines="50" w:after="0" w:line="360" w:lineRule="auto"/>
    </w:pPr>
    <w:rPr>
      <w:rFonts w:ascii="宋体" w:hAnsi="宋体" w:eastAsia="宋体"/>
      <w:bCs w:val="0"/>
      <w:szCs w:val="20"/>
    </w:rPr>
  </w:style>
  <w:style w:type="paragraph" w:customStyle="1" w:styleId="557">
    <w:name w:val="样式 标题 2 + (符号) 宋体"/>
    <w:basedOn w:val="4"/>
    <w:qFormat/>
    <w:uiPriority w:val="0"/>
    <w:pPr>
      <w:adjustRightInd w:val="0"/>
      <w:spacing w:before="100" w:beforeAutospacing="1" w:after="100" w:afterAutospacing="1" w:line="440" w:lineRule="exact"/>
      <w:textAlignment w:val="baseline"/>
    </w:pPr>
    <w:rPr>
      <w:rFonts w:ascii="宋体" w:eastAsia="宋体"/>
      <w:kern w:val="44"/>
      <w:szCs w:val="20"/>
    </w:rPr>
  </w:style>
  <w:style w:type="paragraph" w:customStyle="1" w:styleId="558">
    <w:name w:val="勾"/>
    <w:basedOn w:val="1"/>
    <w:qFormat/>
    <w:uiPriority w:val="0"/>
    <w:pPr>
      <w:tabs>
        <w:tab w:val="left" w:pos="900"/>
      </w:tabs>
      <w:spacing w:line="360" w:lineRule="auto"/>
      <w:ind w:left="900" w:hanging="360"/>
    </w:pPr>
    <w:rPr>
      <w:sz w:val="24"/>
    </w:rPr>
  </w:style>
  <w:style w:type="paragraph" w:customStyle="1" w:styleId="559">
    <w:name w:val="标题3"/>
    <w:basedOn w:val="5"/>
    <w:qFormat/>
    <w:uiPriority w:val="0"/>
    <w:pPr>
      <w:keepLines w:val="0"/>
      <w:widowControl/>
      <w:spacing w:before="240" w:after="120" w:line="240" w:lineRule="auto"/>
      <w:jc w:val="left"/>
      <w:outlineLvl w:val="9"/>
    </w:pPr>
    <w:rPr>
      <w:rFonts w:ascii="宋体" w:hAnsi="宋体"/>
      <w:kern w:val="0"/>
      <w:sz w:val="28"/>
      <w:szCs w:val="28"/>
      <w:lang w:val="pt-BR"/>
    </w:rPr>
  </w:style>
  <w:style w:type="paragraph" w:customStyle="1" w:styleId="560">
    <w:name w:val="xl97"/>
    <w:basedOn w:val="1"/>
    <w:qFormat/>
    <w:uiPriority w:val="0"/>
    <w:pPr>
      <w:widowControl/>
      <w:pBdr>
        <w:top w:val="single" w:color="auto" w:sz="4" w:space="0"/>
        <w:left w:val="single" w:color="auto" w:sz="4" w:space="0"/>
        <w:bottom w:val="single" w:color="auto" w:sz="4" w:space="0"/>
      </w:pBdr>
      <w:shd w:val="clear" w:color="000000" w:fill="CCFFFF"/>
      <w:spacing w:before="100" w:beforeAutospacing="1" w:after="100" w:afterAutospacing="1"/>
      <w:jc w:val="center"/>
      <w:textAlignment w:val="center"/>
    </w:pPr>
    <w:rPr>
      <w:rFonts w:ascii="宋体" w:hAnsi="宋体" w:cs="宋体"/>
      <w:b/>
      <w:bCs/>
      <w:kern w:val="0"/>
      <w:sz w:val="20"/>
    </w:rPr>
  </w:style>
  <w:style w:type="paragraph" w:customStyle="1" w:styleId="561">
    <w:name w:val="Char Char11"/>
    <w:basedOn w:val="1"/>
    <w:qFormat/>
    <w:uiPriority w:val="0"/>
    <w:pPr>
      <w:widowControl/>
      <w:spacing w:after="160" w:line="240" w:lineRule="exact"/>
      <w:jc w:val="left"/>
    </w:pPr>
    <w:rPr>
      <w:rFonts w:ascii="Verdana" w:hAnsi="Verdana"/>
      <w:kern w:val="0"/>
      <w:sz w:val="20"/>
      <w:lang w:eastAsia="en-US"/>
    </w:rPr>
  </w:style>
  <w:style w:type="paragraph" w:customStyle="1" w:styleId="562">
    <w:name w:val="P1"/>
    <w:qFormat/>
    <w:uiPriority w:val="0"/>
    <w:pPr>
      <w:widowControl w:val="0"/>
      <w:adjustRightInd w:val="0"/>
      <w:spacing w:after="240" w:line="0" w:lineRule="atLeast"/>
      <w:ind w:left="2304" w:hanging="576"/>
      <w:jc w:val="both"/>
      <w:textAlignment w:val="baseline"/>
    </w:pPr>
    <w:rPr>
      <w:rFonts w:ascii="Times New Roman" w:hAnsi="Times New Roman" w:eastAsia="全真中明體" w:cs="Times New Roman"/>
      <w:spacing w:val="20"/>
      <w:sz w:val="24"/>
      <w:lang w:val="en-GB" w:eastAsia="zh-TW" w:bidi="ar-SA"/>
    </w:rPr>
  </w:style>
  <w:style w:type="paragraph" w:customStyle="1" w:styleId="563">
    <w:name w:val="Char Char6 Char Char Char Char"/>
    <w:basedOn w:val="23"/>
    <w:qFormat/>
    <w:uiPriority w:val="0"/>
    <w:rPr>
      <w:rFonts w:ascii="宋体" w:hAnsi="宋体"/>
      <w:b/>
      <w:sz w:val="24"/>
      <w:shd w:val="clear" w:color="auto" w:fill="auto"/>
    </w:rPr>
  </w:style>
  <w:style w:type="paragraph" w:customStyle="1" w:styleId="564">
    <w:name w:val="默认段落字体 Para"/>
    <w:basedOn w:val="1"/>
    <w:qFormat/>
    <w:uiPriority w:val="0"/>
  </w:style>
  <w:style w:type="paragraph" w:customStyle="1" w:styleId="565">
    <w:name w:val="本文項目"/>
    <w:basedOn w:val="1"/>
    <w:qFormat/>
    <w:uiPriority w:val="0"/>
    <w:pPr>
      <w:tabs>
        <w:tab w:val="left" w:pos="360"/>
      </w:tabs>
      <w:autoSpaceDE w:val="0"/>
      <w:autoSpaceDN w:val="0"/>
      <w:adjustRightInd w:val="0"/>
      <w:spacing w:line="360" w:lineRule="auto"/>
      <w:ind w:left="360" w:hanging="360"/>
      <w:textAlignment w:val="baseline"/>
    </w:pPr>
    <w:rPr>
      <w:kern w:val="0"/>
      <w:sz w:val="24"/>
      <w:szCs w:val="24"/>
      <w:lang w:eastAsia="zh-TW"/>
    </w:rPr>
  </w:style>
  <w:style w:type="paragraph" w:customStyle="1" w:styleId="566">
    <w:name w:val="xl65"/>
    <w:basedOn w:val="1"/>
    <w:qFormat/>
    <w:uiPriority w:val="0"/>
    <w:pPr>
      <w:widowControl/>
      <w:shd w:val="clear" w:color="auto" w:fill="FFFF00"/>
      <w:spacing w:before="100" w:beforeAutospacing="1" w:after="100" w:afterAutospacing="1"/>
      <w:jc w:val="left"/>
    </w:pPr>
    <w:rPr>
      <w:rFonts w:ascii="宋体" w:hAnsi="宋体"/>
      <w:kern w:val="0"/>
      <w:sz w:val="20"/>
    </w:rPr>
  </w:style>
  <w:style w:type="paragraph" w:customStyle="1" w:styleId="567">
    <w:name w:val="xl118"/>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568">
    <w:name w:val="xl89"/>
    <w:basedOn w:val="1"/>
    <w:qFormat/>
    <w:uiPriority w:val="0"/>
    <w:pPr>
      <w:widowControl/>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569">
    <w:name w:val="百姓X"/>
    <w:basedOn w:val="1"/>
    <w:qFormat/>
    <w:uiPriority w:val="0"/>
    <w:pPr>
      <w:spacing w:before="120" w:after="120" w:line="360" w:lineRule="auto"/>
      <w:ind w:firstLine="539"/>
    </w:pPr>
    <w:rPr>
      <w:sz w:val="24"/>
    </w:rPr>
  </w:style>
  <w:style w:type="paragraph" w:customStyle="1" w:styleId="570">
    <w:name w:val="font7"/>
    <w:basedOn w:val="1"/>
    <w:qFormat/>
    <w:uiPriority w:val="0"/>
    <w:pPr>
      <w:widowControl/>
      <w:spacing w:before="100" w:beforeAutospacing="1" w:after="100" w:afterAutospacing="1"/>
      <w:jc w:val="left"/>
    </w:pPr>
    <w:rPr>
      <w:kern w:val="0"/>
      <w:sz w:val="20"/>
    </w:rPr>
  </w:style>
  <w:style w:type="paragraph" w:customStyle="1" w:styleId="571">
    <w:name w:val="Heading 8"/>
    <w:basedOn w:val="1"/>
    <w:qFormat/>
    <w:uiPriority w:val="0"/>
    <w:pPr>
      <w:widowControl/>
      <w:tabs>
        <w:tab w:val="left" w:pos="1440"/>
      </w:tabs>
      <w:autoSpaceDE w:val="0"/>
      <w:autoSpaceDN w:val="0"/>
      <w:ind w:left="1440" w:hanging="1440"/>
      <w:jc w:val="left"/>
    </w:pPr>
    <w:rPr>
      <w:kern w:val="24"/>
      <w:sz w:val="20"/>
    </w:rPr>
  </w:style>
  <w:style w:type="paragraph" w:customStyle="1" w:styleId="572">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rPr>
  </w:style>
  <w:style w:type="paragraph" w:customStyle="1" w:styleId="573">
    <w:name w:val="p18"/>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74">
    <w:name w:val="标题 四 ZDY"/>
    <w:basedOn w:val="4"/>
    <w:qFormat/>
    <w:uiPriority w:val="0"/>
    <w:pPr>
      <w:tabs>
        <w:tab w:val="left" w:pos="1476"/>
      </w:tabs>
      <w:spacing w:beforeLines="50" w:after="0" w:line="360" w:lineRule="auto"/>
    </w:pPr>
    <w:rPr>
      <w:rFonts w:ascii="宋体" w:hAnsi="宋体" w:eastAsia="宋体"/>
      <w:bCs w:val="0"/>
      <w:spacing w:val="20"/>
      <w:sz w:val="28"/>
      <w:szCs w:val="20"/>
    </w:rPr>
  </w:style>
  <w:style w:type="paragraph" w:customStyle="1" w:styleId="575">
    <w:name w:val="图例编号"/>
    <w:basedOn w:val="74"/>
    <w:next w:val="74"/>
    <w:qFormat/>
    <w:uiPriority w:val="0"/>
    <w:pPr>
      <w:tabs>
        <w:tab w:val="left" w:pos="454"/>
      </w:tabs>
      <w:spacing w:after="0" w:line="300" w:lineRule="auto"/>
      <w:ind w:left="454" w:hanging="454" w:firstLineChars="0"/>
      <w:jc w:val="center"/>
    </w:pPr>
    <w:rPr>
      <w:rFonts w:eastAsia="楷体_GB2312"/>
      <w:sz w:val="24"/>
      <w:szCs w:val="20"/>
    </w:rPr>
  </w:style>
  <w:style w:type="paragraph" w:customStyle="1" w:styleId="576">
    <w:name w:val="样式 标题 4b4bulletblbbPIM 4H4h4sect 1.2.3.4Ref Heading 1r..."/>
    <w:basedOn w:val="6"/>
    <w:qFormat/>
    <w:uiPriority w:val="0"/>
    <w:pPr>
      <w:snapToGrid/>
      <w:spacing w:before="0" w:after="100"/>
      <w:ind w:left="0"/>
      <w:jc w:val="both"/>
    </w:pPr>
    <w:rPr>
      <w:rFonts w:ascii="宋体" w:hAnsi="宋体"/>
      <w:b/>
      <w:color w:val="auto"/>
      <w:kern w:val="2"/>
      <w:szCs w:val="20"/>
    </w:rPr>
  </w:style>
  <w:style w:type="paragraph" w:customStyle="1" w:styleId="577">
    <w:name w:val="_Style 82"/>
    <w:basedOn w:val="1"/>
    <w:qFormat/>
    <w:uiPriority w:val="0"/>
    <w:rPr>
      <w:rFonts w:ascii="宋体" w:hAnsi="宋体"/>
      <w:b/>
      <w:sz w:val="24"/>
    </w:rPr>
  </w:style>
  <w:style w:type="paragraph" w:customStyle="1" w:styleId="578">
    <w:name w:val="编号6"/>
    <w:basedOn w:val="1"/>
    <w:qFormat/>
    <w:uiPriority w:val="0"/>
    <w:pPr>
      <w:tabs>
        <w:tab w:val="left" w:pos="1050"/>
      </w:tabs>
      <w:spacing w:line="500" w:lineRule="exact"/>
      <w:ind w:left="1050" w:right="-155" w:rightChars="-74" w:hanging="1050"/>
    </w:pPr>
    <w:rPr>
      <w:rFonts w:ascii="仿宋_GB2312" w:hAnsi="ˎ̥" w:eastAsia="仿宋_GB2312"/>
      <w:sz w:val="30"/>
      <w:szCs w:val="30"/>
    </w:rPr>
  </w:style>
  <w:style w:type="paragraph" w:customStyle="1" w:styleId="579">
    <w:name w:val="样式5"/>
    <w:qFormat/>
    <w:uiPriority w:val="0"/>
    <w:pPr>
      <w:spacing w:line="500" w:lineRule="exact"/>
      <w:jc w:val="center"/>
      <w:textAlignment w:val="center"/>
    </w:pPr>
    <w:rPr>
      <w:rFonts w:ascii="Times New Roman" w:hAnsi="Times New Roman" w:eastAsia="宋体" w:cs="Times New Roman"/>
      <w:b/>
      <w:bCs/>
      <w:kern w:val="44"/>
      <w:sz w:val="30"/>
      <w:szCs w:val="44"/>
      <w:lang w:val="en-US" w:eastAsia="zh-CN" w:bidi="ar-SA"/>
    </w:rPr>
  </w:style>
  <w:style w:type="paragraph" w:customStyle="1" w:styleId="580">
    <w:name w:val="公司地址"/>
    <w:basedOn w:val="1"/>
    <w:qFormat/>
    <w:uiPriority w:val="0"/>
    <w:pPr>
      <w:spacing w:after="80"/>
      <w:jc w:val="center"/>
    </w:pPr>
    <w:rPr>
      <w:sz w:val="18"/>
    </w:rPr>
  </w:style>
  <w:style w:type="paragraph" w:customStyle="1" w:styleId="581">
    <w:name w:val="正文文字缩进"/>
    <w:basedOn w:val="1"/>
    <w:qFormat/>
    <w:uiPriority w:val="0"/>
    <w:pPr>
      <w:widowControl/>
      <w:spacing w:line="351" w:lineRule="atLeast"/>
      <w:ind w:firstLine="357"/>
      <w:textAlignment w:val="baseline"/>
    </w:pPr>
    <w:rPr>
      <w:color w:val="000000"/>
      <w:kern w:val="0"/>
      <w:u w:color="000000"/>
    </w:rPr>
  </w:style>
  <w:style w:type="paragraph" w:customStyle="1" w:styleId="582">
    <w:name w:val="7"/>
    <w:basedOn w:val="1"/>
    <w:qFormat/>
    <w:uiPriority w:val="0"/>
    <w:pPr>
      <w:autoSpaceDE w:val="0"/>
      <w:autoSpaceDN w:val="0"/>
      <w:adjustRightInd w:val="0"/>
      <w:spacing w:line="270" w:lineRule="atLeast"/>
      <w:jc w:val="left"/>
    </w:pPr>
    <w:rPr>
      <w:rFonts w:ascii="宋体"/>
      <w:kern w:val="0"/>
      <w:sz w:val="18"/>
    </w:rPr>
  </w:style>
  <w:style w:type="paragraph" w:customStyle="1" w:styleId="583">
    <w:name w:val="样式 表格正文"/>
    <w:basedOn w:val="1"/>
    <w:qFormat/>
    <w:uiPriority w:val="0"/>
    <w:pPr>
      <w:spacing w:beforeLines="10" w:afterLines="10" w:line="200" w:lineRule="exact"/>
      <w:jc w:val="left"/>
    </w:pPr>
    <w:rPr>
      <w:rFonts w:ascii="Arial" w:hAnsi="Arial" w:cs="宋体"/>
      <w:sz w:val="15"/>
      <w:szCs w:val="15"/>
    </w:rPr>
  </w:style>
  <w:style w:type="paragraph" w:customStyle="1" w:styleId="584">
    <w:name w:val="xl2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585">
    <w:name w:val="style22"/>
    <w:basedOn w:val="1"/>
    <w:qFormat/>
    <w:uiPriority w:val="0"/>
    <w:pPr>
      <w:widowControl/>
      <w:spacing w:before="100" w:beforeAutospacing="1" w:after="100" w:afterAutospacing="1"/>
      <w:jc w:val="left"/>
    </w:pPr>
    <w:rPr>
      <w:rFonts w:ascii="Arial" w:hAnsi="Arial"/>
      <w:kern w:val="0"/>
      <w:sz w:val="24"/>
    </w:rPr>
  </w:style>
  <w:style w:type="paragraph" w:customStyle="1" w:styleId="586">
    <w:name w:val="标题  4"/>
    <w:basedOn w:val="1"/>
    <w:qFormat/>
    <w:uiPriority w:val="0"/>
    <w:pPr>
      <w:adjustRightInd w:val="0"/>
      <w:snapToGrid w:val="0"/>
      <w:spacing w:line="360" w:lineRule="auto"/>
      <w:ind w:firstLine="420"/>
    </w:pPr>
    <w:rPr>
      <w:kern w:val="0"/>
      <w:sz w:val="24"/>
      <w:szCs w:val="24"/>
    </w:rPr>
  </w:style>
  <w:style w:type="paragraph" w:customStyle="1" w:styleId="587">
    <w:name w:val="Char Char Char Char Char Char Char Char Char1 Char Char Char Char Char Char1 Char Char Char Char Char Char Char Char Char Char Char Char Char Char Char Char Char Char Char Char Char Char Char Char Char Char Char Char Char Char Char"/>
    <w:basedOn w:val="1"/>
    <w:qFormat/>
    <w:uiPriority w:val="0"/>
    <w:pPr>
      <w:keepNext/>
      <w:keepLines/>
      <w:adjustRightInd w:val="0"/>
      <w:spacing w:beforeLines="100" w:afterLines="100" w:line="300" w:lineRule="auto"/>
      <w:ind w:firstLine="200" w:firstLineChars="200"/>
      <w:textAlignment w:val="center"/>
    </w:pPr>
    <w:rPr>
      <w:rFonts w:ascii="仿宋_GB2312" w:hAnsi="宋体" w:eastAsia="仿宋_GB2312"/>
      <w:kern w:val="0"/>
      <w:sz w:val="24"/>
    </w:rPr>
  </w:style>
  <w:style w:type="paragraph" w:customStyle="1" w:styleId="588">
    <w:name w:val="xl38"/>
    <w:basedOn w:val="1"/>
    <w:qFormat/>
    <w:uiPriority w:val="0"/>
    <w:pPr>
      <w:widowControl/>
      <w:pBdr>
        <w:bottom w:val="single" w:color="auto" w:sz="4" w:space="0"/>
      </w:pBdr>
      <w:spacing w:before="100" w:beforeAutospacing="1" w:after="100" w:afterAutospacing="1"/>
      <w:jc w:val="center"/>
    </w:pPr>
    <w:rPr>
      <w:rFonts w:ascii="宋体" w:hAnsi="宋体" w:cs="宋体"/>
      <w:kern w:val="0"/>
      <w:sz w:val="24"/>
      <w:szCs w:val="24"/>
    </w:rPr>
  </w:style>
  <w:style w:type="paragraph" w:customStyle="1" w:styleId="589">
    <w:name w:val="版权页资料信息"/>
    <w:qFormat/>
    <w:uiPriority w:val="0"/>
    <w:pPr>
      <w:tabs>
        <w:tab w:val="right" w:pos="945"/>
        <w:tab w:val="left" w:pos="1155"/>
      </w:tabs>
      <w:spacing w:line="300" w:lineRule="auto"/>
    </w:pPr>
    <w:rPr>
      <w:rFonts w:ascii="宋体" w:hAnsi="Times New Roman" w:eastAsia="宋体" w:cs="Times New Roman"/>
      <w:sz w:val="24"/>
      <w:lang w:val="en-US" w:eastAsia="zh-CN" w:bidi="ar-SA"/>
    </w:rPr>
  </w:style>
  <w:style w:type="paragraph" w:customStyle="1" w:styleId="590">
    <w:name w:val="xl42"/>
    <w:basedOn w:val="1"/>
    <w:qFormat/>
    <w:uiPriority w:val="0"/>
    <w:pPr>
      <w:widowControl/>
      <w:adjustRightInd w:val="0"/>
      <w:snapToGrid w:val="0"/>
      <w:spacing w:before="100" w:beforeAutospacing="1" w:after="100" w:afterAutospacing="1"/>
      <w:jc w:val="center"/>
    </w:pPr>
    <w:rPr>
      <w:rFonts w:ascii="宋体" w:hAnsi="宋体"/>
      <w:kern w:val="0"/>
      <w:sz w:val="24"/>
      <w:szCs w:val="24"/>
    </w:rPr>
  </w:style>
  <w:style w:type="paragraph" w:customStyle="1" w:styleId="591">
    <w:name w:val="author"/>
    <w:basedOn w:val="6"/>
    <w:qFormat/>
    <w:uiPriority w:val="0"/>
    <w:pPr>
      <w:keepNext w:val="0"/>
      <w:keepLines w:val="0"/>
      <w:adjustRightInd w:val="0"/>
      <w:snapToGrid/>
      <w:spacing w:beforeLines="50" w:after="120" w:line="240" w:lineRule="auto"/>
      <w:ind w:left="426" w:right="74" w:hanging="425"/>
      <w:jc w:val="center"/>
      <w:textAlignment w:val="baseline"/>
      <w:outlineLvl w:val="9"/>
    </w:pPr>
    <w:rPr>
      <w:rFonts w:ascii="Arial" w:hAnsi="Arial"/>
      <w:b/>
      <w:color w:val="auto"/>
      <w:szCs w:val="20"/>
    </w:rPr>
  </w:style>
  <w:style w:type="paragraph" w:customStyle="1" w:styleId="592">
    <w:name w:val="xl80"/>
    <w:basedOn w:val="1"/>
    <w:qFormat/>
    <w:uiPriority w:val="0"/>
    <w:pPr>
      <w:widowControl/>
      <w:spacing w:before="100" w:beforeAutospacing="1" w:after="100" w:afterAutospacing="1"/>
      <w:jc w:val="left"/>
    </w:pPr>
    <w:rPr>
      <w:rFonts w:ascii="宋体" w:hAnsi="宋体"/>
      <w:kern w:val="0"/>
      <w:sz w:val="20"/>
    </w:rPr>
  </w:style>
  <w:style w:type="paragraph" w:customStyle="1" w:styleId="593">
    <w:name w:val="Char Char 字元 字元 字元 Char Char Char Char"/>
    <w:basedOn w:val="1"/>
    <w:qFormat/>
    <w:uiPriority w:val="0"/>
    <w:pPr>
      <w:adjustRightInd w:val="0"/>
      <w:spacing w:line="360" w:lineRule="auto"/>
    </w:pPr>
    <w:rPr>
      <w:kern w:val="0"/>
      <w:sz w:val="24"/>
    </w:rPr>
  </w:style>
  <w:style w:type="paragraph" w:customStyle="1" w:styleId="594">
    <w:name w:val="正文2"/>
    <w:basedOn w:val="1"/>
    <w:qFormat/>
    <w:uiPriority w:val="0"/>
    <w:pPr>
      <w:widowControl/>
      <w:tabs>
        <w:tab w:val="left" w:pos="1378"/>
      </w:tabs>
      <w:spacing w:line="360" w:lineRule="auto"/>
      <w:ind w:left="1378" w:hanging="420"/>
    </w:pPr>
    <w:rPr>
      <w:rFonts w:ascii="宋体"/>
      <w:kern w:val="16"/>
      <w:sz w:val="24"/>
    </w:rPr>
  </w:style>
  <w:style w:type="paragraph" w:customStyle="1" w:styleId="595">
    <w:name w:val="默认段落字体 Para Char Char Char Char Char Char Char Char Char Char"/>
    <w:basedOn w:val="1"/>
    <w:qFormat/>
    <w:uiPriority w:val="0"/>
    <w:rPr>
      <w:rFonts w:ascii="Tahoma" w:hAnsi="Tahoma"/>
      <w:sz w:val="24"/>
    </w:rPr>
  </w:style>
  <w:style w:type="paragraph" w:customStyle="1" w:styleId="596">
    <w:name w:val="标书正文1"/>
    <w:basedOn w:val="1"/>
    <w:qFormat/>
    <w:uiPriority w:val="0"/>
    <w:pPr>
      <w:tabs>
        <w:tab w:val="left" w:pos="5730"/>
        <w:tab w:val="left" w:pos="8280"/>
      </w:tabs>
      <w:adjustRightInd w:val="0"/>
      <w:snapToGrid w:val="0"/>
      <w:spacing w:line="360" w:lineRule="auto"/>
    </w:pPr>
    <w:rPr>
      <w:rFonts w:ascii="黑体" w:hAnsi="宋体" w:eastAsia="黑体"/>
      <w:b/>
      <w:sz w:val="24"/>
      <w:szCs w:val="24"/>
    </w:rPr>
  </w:style>
  <w:style w:type="paragraph" w:customStyle="1" w:styleId="597">
    <w:name w:val="Char1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598">
    <w:name w:val="1 Char Char Char Char"/>
    <w:basedOn w:val="1"/>
    <w:qFormat/>
    <w:uiPriority w:val="0"/>
    <w:rPr>
      <w:rFonts w:ascii="Tahoma" w:hAnsi="Tahoma"/>
      <w:sz w:val="24"/>
    </w:rPr>
  </w:style>
  <w:style w:type="paragraph" w:customStyle="1" w:styleId="599">
    <w:name w:val="xl98"/>
    <w:basedOn w:val="1"/>
    <w:qFormat/>
    <w:uiPriority w:val="0"/>
    <w:pPr>
      <w:widowControl/>
      <w:pBdr>
        <w:top w:val="single" w:color="auto" w:sz="4" w:space="0"/>
        <w:bottom w:val="single" w:color="auto" w:sz="4" w:space="0"/>
      </w:pBdr>
      <w:shd w:val="clear" w:color="000000" w:fill="33CCCC"/>
      <w:spacing w:before="100" w:beforeAutospacing="1" w:after="100" w:afterAutospacing="1"/>
      <w:jc w:val="center"/>
      <w:textAlignment w:val="center"/>
    </w:pPr>
    <w:rPr>
      <w:rFonts w:ascii="宋体" w:hAnsi="宋体" w:cs="宋体"/>
      <w:b/>
      <w:bCs/>
      <w:color w:val="000000"/>
      <w:kern w:val="0"/>
      <w:sz w:val="22"/>
      <w:szCs w:val="22"/>
    </w:rPr>
  </w:style>
  <w:style w:type="paragraph" w:customStyle="1" w:styleId="600">
    <w:name w:val="xl35"/>
    <w:basedOn w:val="1"/>
    <w:qFormat/>
    <w:uiPriority w:val="0"/>
    <w:pPr>
      <w:widowControl/>
      <w:spacing w:before="100" w:beforeAutospacing="1" w:after="100" w:afterAutospacing="1"/>
      <w:jc w:val="center"/>
      <w:textAlignment w:val="center"/>
    </w:pPr>
    <w:rPr>
      <w:rFonts w:ascii="Arial Unicode MS" w:hAnsi="Arial Unicode MS" w:eastAsia="Arial Unicode MS"/>
      <w:kern w:val="0"/>
      <w:sz w:val="24"/>
      <w:szCs w:val="18"/>
    </w:rPr>
  </w:style>
  <w:style w:type="paragraph" w:customStyle="1" w:styleId="601">
    <w:name w:val="Char3"/>
    <w:basedOn w:val="1"/>
    <w:qFormat/>
    <w:uiPriority w:val="0"/>
    <w:rPr>
      <w:rFonts w:ascii="仿宋_GB2312" w:eastAsia="仿宋_GB2312"/>
      <w:b/>
      <w:sz w:val="32"/>
      <w:szCs w:val="32"/>
    </w:rPr>
  </w:style>
  <w:style w:type="paragraph" w:customStyle="1" w:styleId="602">
    <w:name w:val="表文字"/>
    <w:qFormat/>
    <w:uiPriority w:val="0"/>
    <w:rPr>
      <w:rFonts w:ascii="宋体" w:hAnsi="Times New Roman" w:eastAsia="宋体" w:cs="Times New Roman"/>
      <w:kern w:val="2"/>
      <w:lang w:val="en-US" w:eastAsia="zh-CN" w:bidi="ar-SA"/>
    </w:rPr>
  </w:style>
  <w:style w:type="paragraph" w:customStyle="1" w:styleId="603">
    <w:name w:val="Char Char2 Char Char Char Char"/>
    <w:basedOn w:val="1"/>
    <w:qFormat/>
    <w:uiPriority w:val="0"/>
    <w:pPr>
      <w:widowControl/>
      <w:spacing w:after="160" w:line="240" w:lineRule="exact"/>
      <w:jc w:val="left"/>
    </w:pPr>
    <w:rPr>
      <w:rFonts w:ascii="宋体" w:hAnsi="宋体"/>
      <w:b/>
      <w:sz w:val="24"/>
    </w:rPr>
  </w:style>
  <w:style w:type="paragraph" w:customStyle="1" w:styleId="604">
    <w:name w:val="font1"/>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605">
    <w:name w:val="正文1"/>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paragraph" w:customStyle="1" w:styleId="606">
    <w:name w:val="xl50"/>
    <w:basedOn w:val="1"/>
    <w:qFormat/>
    <w:uiPriority w:val="0"/>
    <w:pPr>
      <w:widowControl/>
      <w:pBdr>
        <w:top w:val="single" w:color="auto" w:sz="4" w:space="0"/>
        <w:left w:val="single" w:color="auto" w:sz="4" w:space="0"/>
        <w:bottom w:val="single" w:color="auto" w:sz="4" w:space="0"/>
      </w:pBdr>
      <w:spacing w:before="100" w:beforeAutospacing="1" w:after="100" w:afterAutospacing="1"/>
      <w:jc w:val="right"/>
      <w:textAlignment w:val="center"/>
    </w:pPr>
    <w:rPr>
      <w:rFonts w:ascii="宋体" w:hAnsi="宋体"/>
      <w:kern w:val="0"/>
      <w:sz w:val="20"/>
    </w:rPr>
  </w:style>
  <w:style w:type="paragraph" w:customStyle="1" w:styleId="607">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608">
    <w:name w:val="Char Char1 Char Char Char Char Char Char Char Char Char Char Char Char Char Char Char Char Char Char Char Char Char Char Char Char Char Char Char Char Char Char Char Char Char Char Char"/>
    <w:basedOn w:val="1"/>
    <w:qFormat/>
    <w:uiPriority w:val="0"/>
    <w:pPr>
      <w:keepNext/>
      <w:keepLines/>
      <w:adjustRightInd w:val="0"/>
      <w:spacing w:beforeLines="100" w:afterLines="100" w:line="300" w:lineRule="auto"/>
      <w:ind w:firstLine="200" w:firstLineChars="200"/>
      <w:textAlignment w:val="center"/>
    </w:pPr>
    <w:rPr>
      <w:rFonts w:ascii="仿宋_GB2312" w:hAnsi="宋体" w:eastAsia="仿宋_GB2312"/>
      <w:kern w:val="0"/>
      <w:sz w:val="24"/>
    </w:rPr>
  </w:style>
  <w:style w:type="paragraph" w:customStyle="1" w:styleId="609">
    <w:name w:val="图片"/>
    <w:basedOn w:val="452"/>
    <w:next w:val="452"/>
    <w:qFormat/>
    <w:uiPriority w:val="0"/>
    <w:pPr>
      <w:keepNext/>
    </w:pPr>
  </w:style>
  <w:style w:type="paragraph" w:customStyle="1" w:styleId="610">
    <w:name w:val="font12"/>
    <w:basedOn w:val="1"/>
    <w:qFormat/>
    <w:uiPriority w:val="0"/>
    <w:pPr>
      <w:widowControl/>
      <w:spacing w:before="100" w:beforeAutospacing="1" w:after="100" w:afterAutospacing="1"/>
      <w:jc w:val="left"/>
    </w:pPr>
    <w:rPr>
      <w:b/>
      <w:kern w:val="0"/>
      <w:sz w:val="24"/>
    </w:rPr>
  </w:style>
  <w:style w:type="paragraph" w:customStyle="1" w:styleId="611">
    <w:name w:val="xl85"/>
    <w:basedOn w:val="1"/>
    <w:qFormat/>
    <w:uiPriority w:val="0"/>
    <w:pPr>
      <w:widowControl/>
      <w:pBdr>
        <w:top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612">
    <w:name w:val="表文"/>
    <w:qFormat/>
    <w:uiPriority w:val="0"/>
    <w:pPr>
      <w:spacing w:before="62" w:after="62"/>
      <w:jc w:val="center"/>
    </w:pPr>
    <w:rPr>
      <w:rFonts w:ascii="Times New Roman" w:hAnsi="Times New Roman" w:eastAsia="仿宋_GB2312" w:cs="Times New Roman"/>
      <w:sz w:val="24"/>
      <w:lang w:val="en-US" w:eastAsia="zh-CN" w:bidi="ar-SA"/>
    </w:rPr>
  </w:style>
  <w:style w:type="paragraph" w:customStyle="1" w:styleId="613">
    <w:name w:val="xl32"/>
    <w:basedOn w:val="1"/>
    <w:qFormat/>
    <w:uiPriority w:val="0"/>
    <w:pPr>
      <w:widowControl/>
      <w:pBdr>
        <w:top w:val="single" w:color="auto" w:sz="4" w:space="0"/>
      </w:pBdr>
      <w:spacing w:before="100" w:beforeAutospacing="1" w:after="100" w:afterAutospacing="1"/>
      <w:jc w:val="center"/>
    </w:pPr>
    <w:rPr>
      <w:rFonts w:ascii="宋体" w:hAnsi="宋体" w:cs="宋体"/>
      <w:kern w:val="0"/>
      <w:sz w:val="24"/>
      <w:szCs w:val="24"/>
    </w:rPr>
  </w:style>
  <w:style w:type="paragraph" w:customStyle="1" w:styleId="614">
    <w:name w:val="xl86"/>
    <w:basedOn w:val="1"/>
    <w:qFormat/>
    <w:uiPriority w:val="0"/>
    <w:pPr>
      <w:widowControl/>
      <w:pBdr>
        <w:top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61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rPr>
  </w:style>
  <w:style w:type="paragraph" w:customStyle="1" w:styleId="616">
    <w:name w:val="xl72"/>
    <w:basedOn w:val="1"/>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jc w:val="center"/>
    </w:pPr>
    <w:rPr>
      <w:rFonts w:ascii="宋体" w:hAnsi="宋体"/>
      <w:kern w:val="0"/>
      <w:sz w:val="20"/>
    </w:rPr>
  </w:style>
  <w:style w:type="paragraph" w:customStyle="1" w:styleId="617">
    <w:name w:val="样式 标题 1Heading 0 + Arial 段前: 7.75 磅 段后: 7.75 磅 行距: 固定值 22 磅"/>
    <w:basedOn w:val="3"/>
    <w:qFormat/>
    <w:uiPriority w:val="0"/>
    <w:pPr>
      <w:tabs>
        <w:tab w:val="left" w:pos="425"/>
      </w:tabs>
      <w:spacing w:before="155" w:after="155" w:line="440" w:lineRule="exact"/>
      <w:ind w:left="425" w:hanging="425"/>
    </w:pPr>
    <w:rPr>
      <w:rFonts w:ascii="Arial" w:hAnsi="Arial" w:eastAsia="黑体"/>
      <w:sz w:val="32"/>
      <w:szCs w:val="20"/>
    </w:rPr>
  </w:style>
  <w:style w:type="paragraph" w:customStyle="1" w:styleId="618">
    <w:name w:val="xl8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left"/>
    </w:pPr>
    <w:rPr>
      <w:rFonts w:ascii="宋体" w:hAnsi="宋体" w:cs="宋体"/>
      <w:b/>
      <w:bCs/>
      <w:i/>
      <w:iCs/>
      <w:kern w:val="0"/>
      <w:sz w:val="24"/>
      <w:szCs w:val="24"/>
    </w:rPr>
  </w:style>
  <w:style w:type="paragraph" w:customStyle="1" w:styleId="619">
    <w:name w:val="样式 Arial 行距: 多倍行距 1.2 字行 首行缩进:  2 字符"/>
    <w:basedOn w:val="1"/>
    <w:qFormat/>
    <w:uiPriority w:val="0"/>
    <w:pPr>
      <w:spacing w:line="288" w:lineRule="auto"/>
      <w:ind w:firstLine="420" w:firstLineChars="200"/>
    </w:pPr>
    <w:rPr>
      <w:rFonts w:ascii="Arial" w:hAnsi="Arial" w:cs="宋体"/>
      <w:sz w:val="20"/>
    </w:rPr>
  </w:style>
  <w:style w:type="paragraph" w:customStyle="1" w:styleId="620">
    <w:name w:val="默认段落字体 Para Char Char Char Char Char Char Char Char Char1 Char Char Char Char Char Char Char Char"/>
    <w:basedOn w:val="23"/>
    <w:qFormat/>
    <w:uiPriority w:val="0"/>
    <w:rPr>
      <w:rFonts w:ascii="Tahoma" w:hAnsi="Tahoma"/>
      <w:sz w:val="24"/>
    </w:rPr>
  </w:style>
  <w:style w:type="paragraph" w:customStyle="1" w:styleId="621">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622">
    <w:name w:val="xl4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623">
    <w:name w:val="CM9"/>
    <w:basedOn w:val="253"/>
    <w:next w:val="253"/>
    <w:qFormat/>
    <w:uiPriority w:val="0"/>
    <w:pPr>
      <w:autoSpaceDE w:val="0"/>
      <w:autoSpaceDN w:val="0"/>
      <w:adjustRightInd w:val="0"/>
      <w:spacing w:line="300" w:lineRule="atLeast"/>
    </w:pPr>
    <w:rPr>
      <w:rFonts w:ascii="Arial Black" w:hAnsi="Arial Black" w:eastAsia="宋体"/>
      <w:color w:val="auto"/>
      <w:sz w:val="20"/>
      <w:lang w:eastAsia="zh-CN"/>
    </w:rPr>
  </w:style>
  <w:style w:type="paragraph" w:customStyle="1" w:styleId="624">
    <w:name w:val="表题"/>
    <w:qFormat/>
    <w:uiPriority w:val="0"/>
    <w:pPr>
      <w:keepNext/>
      <w:keepLines/>
      <w:spacing w:line="360" w:lineRule="auto"/>
      <w:ind w:left="1134"/>
      <w:jc w:val="center"/>
    </w:pPr>
    <w:rPr>
      <w:rFonts w:ascii="Arial" w:hAnsi="Arial" w:eastAsia="黑体" w:cs="Times New Roman"/>
      <w:lang w:val="en-US" w:eastAsia="zh-CN" w:bidi="ar-SA"/>
    </w:rPr>
  </w:style>
  <w:style w:type="paragraph" w:customStyle="1" w:styleId="625">
    <w:name w:val="temp"/>
    <w:basedOn w:val="1"/>
    <w:qFormat/>
    <w:uiPriority w:val="0"/>
    <w:pPr>
      <w:spacing w:line="0" w:lineRule="atLeast"/>
      <w:jc w:val="center"/>
    </w:pPr>
    <w:rPr>
      <w:rFonts w:ascii="Arial" w:hAnsi="Arial" w:eastAsia="楷体_GB2312"/>
      <w:sz w:val="14"/>
    </w:rPr>
  </w:style>
  <w:style w:type="paragraph" w:customStyle="1" w:styleId="626">
    <w:name w:val="样式 首行缩进:  0.74 厘米"/>
    <w:basedOn w:val="1"/>
    <w:qFormat/>
    <w:uiPriority w:val="0"/>
    <w:pPr>
      <w:spacing w:line="360" w:lineRule="auto"/>
      <w:ind w:firstLine="200" w:firstLineChars="200"/>
    </w:pPr>
    <w:rPr>
      <w:rFonts w:cs="宋体"/>
      <w:sz w:val="24"/>
    </w:rPr>
  </w:style>
  <w:style w:type="paragraph" w:customStyle="1" w:styleId="627">
    <w:name w:val="Char Char5 Char Char Char Char Char Char Char Char"/>
    <w:basedOn w:val="1"/>
    <w:qFormat/>
    <w:uiPriority w:val="0"/>
  </w:style>
  <w:style w:type="paragraph" w:customStyle="1" w:styleId="628">
    <w:name w:val="font0"/>
    <w:basedOn w:val="1"/>
    <w:qFormat/>
    <w:uiPriority w:val="0"/>
    <w:pPr>
      <w:widowControl/>
      <w:spacing w:before="100" w:beforeAutospacing="1" w:after="100" w:afterAutospacing="1"/>
      <w:jc w:val="left"/>
    </w:pPr>
    <w:rPr>
      <w:rFonts w:hint="eastAsia" w:ascii="宋体"/>
      <w:kern w:val="0"/>
      <w:sz w:val="24"/>
      <w:szCs w:val="24"/>
    </w:rPr>
  </w:style>
  <w:style w:type="paragraph" w:customStyle="1" w:styleId="629">
    <w:name w:val="xl112"/>
    <w:basedOn w:val="1"/>
    <w:qFormat/>
    <w:uiPriority w:val="0"/>
    <w:pPr>
      <w:widowControl/>
      <w:pBdr>
        <w:bottom w:val="single" w:color="auto" w:sz="4" w:space="0"/>
      </w:pBdr>
      <w:spacing w:before="100" w:beforeAutospacing="1" w:after="100" w:afterAutospacing="1"/>
      <w:jc w:val="left"/>
    </w:pPr>
    <w:rPr>
      <w:rFonts w:ascii="宋体" w:hAnsi="宋体" w:cs="宋体"/>
      <w:kern w:val="0"/>
      <w:sz w:val="24"/>
      <w:szCs w:val="24"/>
    </w:rPr>
  </w:style>
  <w:style w:type="paragraph" w:customStyle="1" w:styleId="630">
    <w:name w:val="contentnoteheader"/>
    <w:basedOn w:val="1"/>
    <w:qFormat/>
    <w:uiPriority w:val="0"/>
    <w:pPr>
      <w:widowControl/>
      <w:spacing w:before="30" w:after="100" w:afterAutospacing="1"/>
      <w:ind w:left="90"/>
      <w:jc w:val="left"/>
    </w:pPr>
    <w:rPr>
      <w:rFonts w:ascii="Arial Unicode MS" w:hAnsi="Arial Unicode MS"/>
      <w:b/>
      <w:color w:val="990000"/>
      <w:kern w:val="0"/>
      <w:sz w:val="18"/>
    </w:rPr>
  </w:style>
  <w:style w:type="paragraph" w:customStyle="1" w:styleId="631">
    <w:name w:val="正文1.2"/>
    <w:basedOn w:val="1"/>
    <w:qFormat/>
    <w:uiPriority w:val="0"/>
    <w:pPr>
      <w:spacing w:line="288" w:lineRule="auto"/>
      <w:jc w:val="left"/>
    </w:pPr>
    <w:rPr>
      <w:rFonts w:ascii="宋体"/>
      <w:kern w:val="0"/>
      <w:sz w:val="28"/>
      <w:lang w:eastAsia="en-US"/>
    </w:rPr>
  </w:style>
  <w:style w:type="paragraph" w:customStyle="1" w:styleId="632">
    <w:name w:val="list1"/>
    <w:basedOn w:val="493"/>
    <w:qFormat/>
    <w:uiPriority w:val="0"/>
    <w:pPr>
      <w:ind w:left="1242" w:hanging="397"/>
    </w:pPr>
    <w:rPr>
      <w:rFonts w:ascii="宋体" w:eastAsia="宋体"/>
      <w:color w:val="000000"/>
      <w:kern w:val="2"/>
      <w:sz w:val="24"/>
    </w:rPr>
  </w:style>
  <w:style w:type="paragraph" w:customStyle="1" w:styleId="633">
    <w:name w:val="Definition List"/>
    <w:basedOn w:val="1"/>
    <w:next w:val="501"/>
    <w:qFormat/>
    <w:uiPriority w:val="0"/>
    <w:pPr>
      <w:widowControl/>
      <w:ind w:left="360"/>
      <w:jc w:val="left"/>
    </w:pPr>
    <w:rPr>
      <w:snapToGrid w:val="0"/>
      <w:kern w:val="0"/>
      <w:sz w:val="24"/>
      <w:lang w:eastAsia="en-US"/>
    </w:rPr>
  </w:style>
  <w:style w:type="paragraph" w:customStyle="1" w:styleId="634">
    <w:name w:val="列出段落2"/>
    <w:basedOn w:val="1"/>
    <w:qFormat/>
    <w:uiPriority w:val="0"/>
    <w:pPr>
      <w:ind w:firstLine="420" w:firstLineChars="200"/>
    </w:pPr>
    <w:rPr>
      <w:szCs w:val="24"/>
    </w:rPr>
  </w:style>
  <w:style w:type="paragraph" w:customStyle="1" w:styleId="635">
    <w:name w:val="tableheading"/>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636">
    <w:name w:val="标题 4宋体"/>
    <w:basedOn w:val="6"/>
    <w:qFormat/>
    <w:uiPriority w:val="0"/>
    <w:pPr>
      <w:keepLines w:val="0"/>
      <w:tabs>
        <w:tab w:val="left" w:pos="864"/>
      </w:tabs>
      <w:autoSpaceDE w:val="0"/>
      <w:autoSpaceDN w:val="0"/>
      <w:adjustRightInd w:val="0"/>
      <w:snapToGrid/>
      <w:spacing w:before="0" w:after="0"/>
      <w:ind w:left="864" w:hanging="864"/>
    </w:pPr>
    <w:rPr>
      <w:rFonts w:ascii="宋体" w:hAnsi="宋体"/>
      <w:b/>
      <w:szCs w:val="20"/>
    </w:rPr>
  </w:style>
  <w:style w:type="paragraph" w:customStyle="1" w:styleId="637">
    <w:name w:val="特点反白字"/>
    <w:qFormat/>
    <w:uiPriority w:val="0"/>
    <w:pPr>
      <w:autoSpaceDE w:val="0"/>
      <w:autoSpaceDN w:val="0"/>
      <w:adjustRightInd w:val="0"/>
      <w:ind w:left="198"/>
      <w:jc w:val="both"/>
    </w:pPr>
    <w:rPr>
      <w:rFonts w:ascii="汉鼎简中等线Arial" w:hAnsi="Times New Roman" w:eastAsia="汉鼎简中等线Arial" w:cs="Times New Roman"/>
      <w:color w:val="FFFFFF"/>
      <w:sz w:val="16"/>
      <w:szCs w:val="16"/>
      <w:lang w:val="en-US" w:eastAsia="en-US" w:bidi="ar-SA"/>
    </w:rPr>
  </w:style>
  <w:style w:type="paragraph" w:customStyle="1" w:styleId="638">
    <w:name w:val="CM93"/>
    <w:basedOn w:val="1"/>
    <w:next w:val="1"/>
    <w:qFormat/>
    <w:uiPriority w:val="0"/>
    <w:pPr>
      <w:autoSpaceDE w:val="0"/>
      <w:autoSpaceDN w:val="0"/>
      <w:adjustRightInd w:val="0"/>
      <w:spacing w:line="273" w:lineRule="atLeast"/>
      <w:jc w:val="left"/>
    </w:pPr>
    <w:rPr>
      <w:rFonts w:ascii="EPKJJF+DFPHeiW5" w:eastAsia="EPKJJF+DFPHeiW5"/>
      <w:kern w:val="0"/>
      <w:sz w:val="24"/>
    </w:rPr>
  </w:style>
  <w:style w:type="paragraph" w:customStyle="1" w:styleId="639">
    <w:name w:val="Char Char25 Char Char"/>
    <w:basedOn w:val="23"/>
    <w:qFormat/>
    <w:uiPriority w:val="0"/>
    <w:rPr>
      <w:rFonts w:ascii="宋体" w:hAnsi="宋体"/>
      <w:b/>
      <w:sz w:val="24"/>
      <w:shd w:val="clear" w:color="auto" w:fill="auto"/>
    </w:rPr>
  </w:style>
  <w:style w:type="paragraph" w:customStyle="1" w:styleId="640">
    <w:name w:val="xl49"/>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641">
    <w:name w:val="正文文字缩进 2"/>
    <w:basedOn w:val="1"/>
    <w:qFormat/>
    <w:uiPriority w:val="0"/>
    <w:pPr>
      <w:widowControl/>
      <w:spacing w:line="351" w:lineRule="atLeast"/>
      <w:ind w:firstLine="419"/>
      <w:textAlignment w:val="baseline"/>
    </w:pPr>
    <w:rPr>
      <w:color w:val="000000"/>
      <w:kern w:val="0"/>
      <w:u w:color="000000"/>
    </w:rPr>
  </w:style>
  <w:style w:type="paragraph" w:customStyle="1" w:styleId="642">
    <w:name w:val="正文 A"/>
    <w:qFormat/>
    <w:uiPriority w:val="0"/>
    <w:pPr>
      <w:widowControl w:val="0"/>
      <w:jc w:val="both"/>
    </w:pPr>
    <w:rPr>
      <w:rFonts w:ascii="Calibri" w:hAnsi="Arial Unicode MS" w:eastAsia="Arial Unicode MS" w:cs="黑体"/>
      <w:color w:val="000000"/>
      <w:kern w:val="2"/>
      <w:sz w:val="21"/>
      <w:szCs w:val="21"/>
      <w:u w:color="000000"/>
      <w:lang w:val="en-US" w:eastAsia="zh-CN" w:bidi="ar-SA"/>
    </w:rPr>
  </w:style>
  <w:style w:type="paragraph" w:customStyle="1" w:styleId="643">
    <w:name w:val="xl119"/>
    <w:basedOn w:val="1"/>
    <w:qFormat/>
    <w:uiPriority w:val="0"/>
    <w:pPr>
      <w:widowControl/>
      <w:pBdr>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color w:val="000000"/>
      <w:kern w:val="0"/>
      <w:sz w:val="20"/>
    </w:rPr>
  </w:style>
  <w:style w:type="paragraph" w:customStyle="1" w:styleId="644">
    <w:name w:val="Table"/>
    <w:basedOn w:val="1"/>
    <w:qFormat/>
    <w:uiPriority w:val="0"/>
    <w:pPr>
      <w:snapToGrid w:val="0"/>
      <w:spacing w:before="20" w:after="20"/>
      <w:ind w:left="2268" w:right="709"/>
      <w:jc w:val="center"/>
    </w:pPr>
    <w:rPr>
      <w:rFonts w:ascii="Arial" w:hAnsi="Arial" w:eastAsia="2OcuAe"/>
      <w:spacing w:val="2"/>
      <w:kern w:val="0"/>
      <w:sz w:val="18"/>
    </w:rPr>
  </w:style>
  <w:style w:type="paragraph" w:customStyle="1" w:styleId="645">
    <w:name w:val="标书表格字体格式"/>
    <w:next w:val="138"/>
    <w:qFormat/>
    <w:uiPriority w:val="0"/>
    <w:pPr>
      <w:jc w:val="center"/>
    </w:pPr>
    <w:rPr>
      <w:rFonts w:ascii="Times New Roman" w:hAnsi="Times New Roman" w:eastAsia="宋体" w:cs="Times New Roman"/>
      <w:kern w:val="2"/>
      <w:sz w:val="21"/>
      <w:lang w:val="en-US" w:eastAsia="zh-CN" w:bidi="ar-SA"/>
    </w:rPr>
  </w:style>
  <w:style w:type="paragraph" w:customStyle="1" w:styleId="646">
    <w:name w:val="xl73"/>
    <w:basedOn w:val="1"/>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jc w:val="center"/>
    </w:pPr>
    <w:rPr>
      <w:rFonts w:ascii="宋体" w:hAnsi="宋体"/>
      <w:kern w:val="0"/>
      <w:sz w:val="20"/>
    </w:rPr>
  </w:style>
  <w:style w:type="paragraph" w:customStyle="1" w:styleId="647">
    <w:name w:val="纯文本1"/>
    <w:basedOn w:val="1"/>
    <w:qFormat/>
    <w:uiPriority w:val="99"/>
    <w:pPr>
      <w:ind w:firstLine="560" w:firstLineChars="200"/>
    </w:pPr>
    <w:rPr>
      <w:rFonts w:ascii="宋体" w:hAnsi="宋体"/>
      <w:sz w:val="24"/>
    </w:rPr>
  </w:style>
  <w:style w:type="paragraph" w:customStyle="1" w:styleId="648">
    <w:name w:val="xl48"/>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649">
    <w:name w:val="123"/>
    <w:basedOn w:val="1"/>
    <w:qFormat/>
    <w:uiPriority w:val="0"/>
    <w:pPr>
      <w:spacing w:before="120"/>
      <w:ind w:firstLine="425"/>
    </w:pPr>
  </w:style>
  <w:style w:type="paragraph" w:customStyle="1" w:styleId="650">
    <w:name w:val="Char Char1 Char Char Char Char1"/>
    <w:basedOn w:val="1"/>
    <w:qFormat/>
    <w:uiPriority w:val="0"/>
    <w:pPr>
      <w:keepNext/>
      <w:keepLines/>
      <w:adjustRightInd w:val="0"/>
      <w:spacing w:beforeLines="100" w:afterLines="100" w:line="300" w:lineRule="auto"/>
      <w:ind w:firstLine="200" w:firstLineChars="200"/>
      <w:textAlignment w:val="center"/>
    </w:pPr>
    <w:rPr>
      <w:rFonts w:ascii="仿宋_GB2312" w:hAnsi="宋体" w:eastAsia="仿宋_GB2312"/>
      <w:kern w:val="0"/>
      <w:sz w:val="24"/>
    </w:rPr>
  </w:style>
  <w:style w:type="paragraph" w:customStyle="1" w:styleId="651">
    <w:name w:val="xl83"/>
    <w:basedOn w:val="1"/>
    <w:qFormat/>
    <w:uiPriority w:val="0"/>
    <w:pPr>
      <w:widowControl/>
      <w:pBdr>
        <w:top w:val="single" w:color="auto" w:sz="4" w:space="0"/>
        <w:bottom w:val="single" w:color="auto" w:sz="4" w:space="0"/>
      </w:pBdr>
      <w:shd w:val="clear" w:color="auto" w:fill="CCFFFF"/>
      <w:spacing w:before="100" w:beforeAutospacing="1" w:after="100" w:afterAutospacing="1"/>
      <w:jc w:val="center"/>
      <w:textAlignment w:val="center"/>
    </w:pPr>
    <w:rPr>
      <w:rFonts w:ascii="黑体" w:hAnsi="宋体" w:eastAsia="黑体" w:cs="宋体"/>
      <w:b/>
      <w:bCs/>
      <w:kern w:val="0"/>
      <w:sz w:val="22"/>
      <w:szCs w:val="22"/>
    </w:rPr>
  </w:style>
  <w:style w:type="paragraph" w:customStyle="1" w:styleId="652">
    <w:name w:val="Char1 Char Char Char Char Char Char"/>
    <w:basedOn w:val="1"/>
    <w:qFormat/>
    <w:uiPriority w:val="0"/>
    <w:rPr>
      <w:rFonts w:ascii="Tahoma" w:hAnsi="Tahoma"/>
      <w:sz w:val="24"/>
    </w:rPr>
  </w:style>
  <w:style w:type="paragraph" w:customStyle="1" w:styleId="653">
    <w:name w:val="表2"/>
    <w:basedOn w:val="1"/>
    <w:qFormat/>
    <w:uiPriority w:val="0"/>
    <w:pPr>
      <w:widowControl/>
      <w:tabs>
        <w:tab w:val="left" w:pos="6234"/>
      </w:tabs>
      <w:jc w:val="left"/>
    </w:pPr>
    <w:rPr>
      <w:rFonts w:ascii="宋体" w:hAnsi="宋体"/>
      <w:iCs/>
      <w:kern w:val="0"/>
    </w:rPr>
  </w:style>
  <w:style w:type="paragraph" w:customStyle="1" w:styleId="654">
    <w:name w:val="xl92"/>
    <w:basedOn w:val="1"/>
    <w:qFormat/>
    <w:uiPriority w:val="0"/>
    <w:pPr>
      <w:widowControl/>
      <w:pBdr>
        <w:left w:val="single" w:color="auto" w:sz="4" w:space="0"/>
        <w:bottom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655">
    <w:name w:val="普通正文"/>
    <w:basedOn w:val="1"/>
    <w:qFormat/>
    <w:uiPriority w:val="0"/>
    <w:pPr>
      <w:snapToGrid w:val="0"/>
      <w:spacing w:before="120" w:after="120" w:line="360" w:lineRule="atLeast"/>
      <w:ind w:firstLine="425"/>
    </w:pPr>
    <w:rPr>
      <w:kern w:val="21"/>
    </w:rPr>
  </w:style>
  <w:style w:type="paragraph" w:customStyle="1" w:styleId="656">
    <w:name w:val="样式 宋体 小四 行距: 1.5 倍行距"/>
    <w:basedOn w:val="1"/>
    <w:qFormat/>
    <w:uiPriority w:val="0"/>
    <w:pPr>
      <w:spacing w:line="360" w:lineRule="auto"/>
      <w:ind w:firstLine="480" w:firstLineChars="200"/>
    </w:pPr>
    <w:rPr>
      <w:rFonts w:ascii="宋体" w:hAnsi="宋体"/>
      <w:color w:val="000000"/>
      <w:sz w:val="24"/>
    </w:rPr>
  </w:style>
  <w:style w:type="paragraph" w:customStyle="1" w:styleId="657">
    <w:name w:val="CM140"/>
    <w:basedOn w:val="1"/>
    <w:next w:val="1"/>
    <w:qFormat/>
    <w:uiPriority w:val="0"/>
    <w:pPr>
      <w:autoSpaceDE w:val="0"/>
      <w:autoSpaceDN w:val="0"/>
      <w:adjustRightInd w:val="0"/>
      <w:spacing w:after="543"/>
      <w:jc w:val="left"/>
    </w:pPr>
    <w:rPr>
      <w:rFonts w:ascii="EPKJJF+DFPHeiW5" w:eastAsia="EPKJJF+DFPHeiW5"/>
      <w:kern w:val="0"/>
      <w:sz w:val="24"/>
    </w:rPr>
  </w:style>
  <w:style w:type="paragraph" w:customStyle="1" w:styleId="658">
    <w:name w:val="xl61"/>
    <w:basedOn w:val="1"/>
    <w:qFormat/>
    <w:uiPriority w:val="0"/>
    <w:pPr>
      <w:widowControl/>
      <w:pBdr>
        <w:top w:val="single" w:color="auto" w:sz="4" w:space="0"/>
        <w:left w:val="single" w:color="auto" w:sz="8" w:space="0"/>
        <w:bottom w:val="single" w:color="auto" w:sz="4" w:space="0"/>
        <w:right w:val="single" w:color="auto" w:sz="4" w:space="0"/>
      </w:pBdr>
      <w:shd w:val="clear" w:color="auto" w:fill="FFFF00"/>
      <w:spacing w:before="100" w:beforeAutospacing="1" w:after="100" w:afterAutospacing="1"/>
      <w:jc w:val="center"/>
    </w:pPr>
    <w:rPr>
      <w:rFonts w:ascii="宋体" w:hAnsi="宋体"/>
      <w:kern w:val="0"/>
      <w:sz w:val="20"/>
    </w:rPr>
  </w:style>
  <w:style w:type="paragraph" w:customStyle="1" w:styleId="659">
    <w:name w:val="特别说明"/>
    <w:basedOn w:val="1"/>
    <w:qFormat/>
    <w:uiPriority w:val="0"/>
    <w:pPr>
      <w:widowControl/>
      <w:tabs>
        <w:tab w:val="left" w:pos="720"/>
      </w:tabs>
      <w:spacing w:before="120" w:after="120" w:line="360" w:lineRule="auto"/>
      <w:ind w:left="720" w:hanging="720"/>
      <w:jc w:val="left"/>
    </w:pPr>
    <w:rPr>
      <w:rFonts w:ascii="仿宋体" w:eastAsia="仿宋体"/>
      <w:b/>
      <w:i/>
      <w:kern w:val="0"/>
      <w:sz w:val="24"/>
    </w:rPr>
  </w:style>
  <w:style w:type="paragraph" w:customStyle="1" w:styleId="660">
    <w:name w:val="Char Char2 Char Char"/>
    <w:basedOn w:val="1"/>
    <w:qFormat/>
    <w:uiPriority w:val="0"/>
    <w:pPr>
      <w:widowControl/>
      <w:spacing w:after="160" w:line="240" w:lineRule="exact"/>
      <w:jc w:val="left"/>
    </w:pPr>
    <w:rPr>
      <w:rFonts w:ascii="宋体" w:hAnsi="宋体"/>
      <w:b/>
      <w:sz w:val="24"/>
    </w:rPr>
  </w:style>
  <w:style w:type="paragraph" w:customStyle="1" w:styleId="661">
    <w:name w:val="样式 宋体 小四 段前: 6 磅 段后: 6 磅 行距: 1.5 倍行距"/>
    <w:basedOn w:val="1"/>
    <w:qFormat/>
    <w:uiPriority w:val="0"/>
    <w:pPr>
      <w:spacing w:line="360" w:lineRule="auto"/>
    </w:pPr>
    <w:rPr>
      <w:rFonts w:ascii="宋体" w:hAnsi="宋体"/>
      <w:sz w:val="24"/>
    </w:rPr>
  </w:style>
  <w:style w:type="paragraph" w:customStyle="1" w:styleId="662">
    <w:name w:val="普文W"/>
    <w:basedOn w:val="41"/>
    <w:qFormat/>
    <w:uiPriority w:val="0"/>
    <w:pPr>
      <w:spacing w:before="120" w:after="120" w:line="360" w:lineRule="auto"/>
    </w:pPr>
  </w:style>
  <w:style w:type="paragraph" w:customStyle="1" w:styleId="663">
    <w:name w:val="样式 正文文字 + 左侧:  2 字符 首行缩进:  2 字符"/>
    <w:basedOn w:val="1"/>
    <w:qFormat/>
    <w:uiPriority w:val="0"/>
    <w:pPr>
      <w:spacing w:line="360" w:lineRule="auto"/>
      <w:ind w:left="480" w:leftChars="200" w:firstLine="480" w:firstLineChars="200"/>
    </w:pPr>
  </w:style>
  <w:style w:type="paragraph" w:customStyle="1" w:styleId="664">
    <w:name w:val="标书正文样式"/>
    <w:basedOn w:val="1"/>
    <w:qFormat/>
    <w:uiPriority w:val="0"/>
    <w:pPr>
      <w:spacing w:after="100" w:afterAutospacing="1" w:line="360" w:lineRule="auto"/>
      <w:ind w:firstLine="480" w:firstLineChars="200"/>
    </w:pPr>
    <w:rPr>
      <w:sz w:val="24"/>
    </w:rPr>
  </w:style>
  <w:style w:type="paragraph" w:customStyle="1" w:styleId="665">
    <w:name w:val="Char Char2 Char Char Char"/>
    <w:basedOn w:val="23"/>
    <w:qFormat/>
    <w:uiPriority w:val="0"/>
  </w:style>
  <w:style w:type="paragraph" w:customStyle="1" w:styleId="666">
    <w:name w:val="xl114"/>
    <w:basedOn w:val="1"/>
    <w:qFormat/>
    <w:uiPriority w:val="0"/>
    <w:pPr>
      <w:widowControl/>
      <w:pBdr>
        <w:top w:val="single" w:color="auto" w:sz="4" w:space="0"/>
        <w:left w:val="single" w:color="auto" w:sz="4" w:space="0"/>
        <w:right w:val="single" w:color="auto" w:sz="4" w:space="0"/>
      </w:pBdr>
      <w:shd w:val="pct10" w:color="000000" w:fill="33CCCC"/>
      <w:spacing w:before="100" w:beforeAutospacing="1" w:after="100" w:afterAutospacing="1"/>
      <w:jc w:val="left"/>
      <w:textAlignment w:val="center"/>
    </w:pPr>
    <w:rPr>
      <w:rFonts w:ascii="黑体" w:hAnsi="宋体" w:eastAsia="黑体" w:cs="宋体"/>
      <w:kern w:val="0"/>
      <w:sz w:val="24"/>
      <w:szCs w:val="24"/>
    </w:rPr>
  </w:style>
  <w:style w:type="paragraph" w:customStyle="1" w:styleId="667">
    <w:name w:val="答复"/>
    <w:basedOn w:val="10"/>
    <w:next w:val="1"/>
    <w:qFormat/>
    <w:uiPriority w:val="0"/>
    <w:pPr>
      <w:ind w:firstLine="0" w:firstLineChars="0"/>
    </w:pPr>
    <w:rPr>
      <w:b/>
      <w:spacing w:val="20"/>
    </w:rPr>
  </w:style>
  <w:style w:type="paragraph" w:customStyle="1" w:styleId="668">
    <w:name w:val="xl101"/>
    <w:basedOn w:val="1"/>
    <w:qFormat/>
    <w:uiPriority w:val="0"/>
    <w:pPr>
      <w:widowControl/>
      <w:pBdr>
        <w:right w:val="single" w:color="auto" w:sz="4" w:space="0"/>
      </w:pBdr>
      <w:spacing w:before="100" w:beforeAutospacing="1" w:after="100" w:afterAutospacing="1"/>
      <w:jc w:val="center"/>
    </w:pPr>
    <w:rPr>
      <w:rFonts w:ascii="宋体" w:hAnsi="宋体" w:cs="宋体"/>
      <w:kern w:val="0"/>
      <w:sz w:val="20"/>
    </w:rPr>
  </w:style>
  <w:style w:type="paragraph" w:customStyle="1" w:styleId="669">
    <w:name w:val="Char1 Char Char Char"/>
    <w:basedOn w:val="1"/>
    <w:qFormat/>
    <w:uiPriority w:val="0"/>
    <w:rPr>
      <w:rFonts w:ascii="Tahoma" w:hAnsi="Tahoma"/>
      <w:sz w:val="24"/>
    </w:rPr>
  </w:style>
  <w:style w:type="paragraph" w:customStyle="1" w:styleId="670">
    <w:name w:val="xl29"/>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671">
    <w:name w:val="CM36"/>
    <w:basedOn w:val="253"/>
    <w:next w:val="253"/>
    <w:qFormat/>
    <w:uiPriority w:val="0"/>
    <w:pPr>
      <w:autoSpaceDE w:val="0"/>
      <w:autoSpaceDN w:val="0"/>
      <w:adjustRightInd w:val="0"/>
      <w:spacing w:after="933"/>
    </w:pPr>
    <w:rPr>
      <w:rFonts w:ascii="HYDaHeiJ" w:eastAsia="HYDaHeiJ"/>
      <w:color w:val="auto"/>
      <w:lang w:eastAsia="zh-CN"/>
    </w:rPr>
  </w:style>
  <w:style w:type="paragraph" w:customStyle="1" w:styleId="672">
    <w:name w:val="p"/>
    <w:basedOn w:val="1"/>
    <w:qFormat/>
    <w:uiPriority w:val="0"/>
    <w:pPr>
      <w:widowControl/>
      <w:spacing w:before="60" w:after="60" w:line="420" w:lineRule="atLeast"/>
      <w:ind w:firstLine="480"/>
      <w:jc w:val="left"/>
    </w:pPr>
    <w:rPr>
      <w:rFonts w:ascii="宋体" w:hAnsi="宋体"/>
      <w:color w:val="000000"/>
      <w:kern w:val="0"/>
      <w:sz w:val="24"/>
    </w:rPr>
  </w:style>
  <w:style w:type="paragraph" w:customStyle="1" w:styleId="673">
    <w:name w:val="Char1 Char Char Char1"/>
    <w:basedOn w:val="1"/>
    <w:qFormat/>
    <w:uiPriority w:val="0"/>
    <w:pPr>
      <w:widowControl/>
      <w:spacing w:after="160" w:line="240" w:lineRule="exact"/>
      <w:jc w:val="left"/>
    </w:pPr>
    <w:rPr>
      <w:rFonts w:ascii="Verdana" w:hAnsi="Verdana" w:eastAsia="仿宋_GB2312"/>
      <w:kern w:val="0"/>
      <w:sz w:val="28"/>
      <w:lang w:eastAsia="en-US"/>
    </w:rPr>
  </w:style>
  <w:style w:type="paragraph" w:customStyle="1" w:styleId="674">
    <w:name w:val="font10"/>
    <w:basedOn w:val="1"/>
    <w:qFormat/>
    <w:uiPriority w:val="0"/>
    <w:pPr>
      <w:widowControl/>
      <w:spacing w:before="100" w:beforeAutospacing="1" w:after="100" w:afterAutospacing="1"/>
      <w:jc w:val="left"/>
    </w:pPr>
    <w:rPr>
      <w:rFonts w:hint="eastAsia" w:ascii="宋体" w:hAnsi="宋体"/>
      <w:b/>
      <w:kern w:val="0"/>
      <w:sz w:val="24"/>
    </w:rPr>
  </w:style>
  <w:style w:type="paragraph" w:customStyle="1" w:styleId="675">
    <w:name w:val="表格正文"/>
    <w:basedOn w:val="1"/>
    <w:qFormat/>
    <w:uiPriority w:val="0"/>
    <w:rPr>
      <w:rFonts w:ascii="Arial" w:hAnsi="Arial"/>
      <w:sz w:val="18"/>
      <w:szCs w:val="24"/>
    </w:rPr>
  </w:style>
  <w:style w:type="paragraph" w:customStyle="1" w:styleId="676">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677">
    <w:name w:val="Char1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678">
    <w:name w:val="CM12"/>
    <w:basedOn w:val="253"/>
    <w:next w:val="253"/>
    <w:qFormat/>
    <w:uiPriority w:val="0"/>
    <w:pPr>
      <w:autoSpaceDE w:val="0"/>
      <w:autoSpaceDN w:val="0"/>
      <w:adjustRightInd w:val="0"/>
    </w:pPr>
    <w:rPr>
      <w:rFonts w:ascii="HYDaHeiJ" w:eastAsia="HYDaHeiJ"/>
      <w:color w:val="auto"/>
      <w:lang w:eastAsia="zh-CN"/>
    </w:rPr>
  </w:style>
  <w:style w:type="paragraph" w:customStyle="1" w:styleId="679">
    <w:name w:val="font9"/>
    <w:basedOn w:val="1"/>
    <w:qFormat/>
    <w:uiPriority w:val="0"/>
    <w:pPr>
      <w:widowControl/>
      <w:spacing w:before="100" w:beforeAutospacing="1" w:after="100" w:afterAutospacing="1"/>
      <w:jc w:val="left"/>
    </w:pPr>
    <w:rPr>
      <w:rFonts w:hint="eastAsia" w:ascii="宋体" w:hAnsi="宋体"/>
      <w:b/>
      <w:i/>
      <w:kern w:val="0"/>
      <w:sz w:val="20"/>
    </w:rPr>
  </w:style>
  <w:style w:type="paragraph" w:customStyle="1" w:styleId="680">
    <w:name w:val="符合标题4"/>
    <w:basedOn w:val="1"/>
    <w:qFormat/>
    <w:uiPriority w:val="0"/>
    <w:pPr>
      <w:widowControl/>
      <w:tabs>
        <w:tab w:val="left" w:pos="360"/>
      </w:tabs>
      <w:spacing w:before="50" w:line="360" w:lineRule="auto"/>
      <w:ind w:left="300" w:hanging="420"/>
      <w:jc w:val="left"/>
    </w:pPr>
    <w:rPr>
      <w:rFonts w:ascii="宋体" w:hAnsi="宋体"/>
      <w:kern w:val="0"/>
    </w:rPr>
  </w:style>
  <w:style w:type="paragraph" w:customStyle="1" w:styleId="681">
    <w:name w:val="1st Layer"/>
    <w:basedOn w:val="1"/>
    <w:qFormat/>
    <w:uiPriority w:val="0"/>
    <w:pPr>
      <w:tabs>
        <w:tab w:val="left" w:pos="780"/>
      </w:tabs>
      <w:autoSpaceDE w:val="0"/>
      <w:autoSpaceDN w:val="0"/>
      <w:adjustRightInd w:val="0"/>
      <w:spacing w:line="312" w:lineRule="exact"/>
      <w:ind w:left="629" w:hanging="209"/>
      <w:textAlignment w:val="baseline"/>
    </w:pPr>
    <w:rPr>
      <w:kern w:val="24"/>
    </w:rPr>
  </w:style>
  <w:style w:type="paragraph" w:customStyle="1" w:styleId="682">
    <w:name w:val="样式07"/>
    <w:basedOn w:val="1"/>
    <w:qFormat/>
    <w:uiPriority w:val="0"/>
    <w:pPr>
      <w:tabs>
        <w:tab w:val="left" w:pos="1370"/>
      </w:tabs>
      <w:spacing w:beforeLines="50" w:afterLines="50" w:line="300" w:lineRule="auto"/>
      <w:ind w:left="1370" w:hanging="425"/>
    </w:pPr>
    <w:rPr>
      <w:b/>
      <w:sz w:val="24"/>
      <w:szCs w:val="24"/>
    </w:rPr>
  </w:style>
  <w:style w:type="paragraph" w:customStyle="1" w:styleId="683">
    <w:name w:val="Part Label"/>
    <w:basedOn w:val="1"/>
    <w:qFormat/>
    <w:uiPriority w:val="0"/>
    <w:pPr>
      <w:widowControl/>
      <w:pBdr>
        <w:top w:val="single" w:color="auto" w:sz="6" w:space="1"/>
        <w:left w:val="single" w:color="auto" w:sz="6" w:space="1"/>
      </w:pBdr>
      <w:shd w:val="solid" w:color="auto" w:fill="auto"/>
      <w:spacing w:line="360" w:lineRule="exact"/>
      <w:ind w:left="907" w:right="7412"/>
      <w:jc w:val="center"/>
    </w:pPr>
    <w:rPr>
      <w:rFonts w:ascii="仿宋体" w:hAnsi="Arial" w:eastAsia="仿宋体"/>
      <w:color w:val="FFFFFF"/>
      <w:spacing w:val="-16"/>
      <w:kern w:val="0"/>
      <w:position w:val="4"/>
      <w:sz w:val="26"/>
      <w:lang w:eastAsia="en-US"/>
    </w:rPr>
  </w:style>
  <w:style w:type="paragraph" w:customStyle="1" w:styleId="684">
    <w:name w:val="Char Char26 Char Char Char Char1"/>
    <w:basedOn w:val="1"/>
    <w:qFormat/>
    <w:uiPriority w:val="0"/>
  </w:style>
  <w:style w:type="paragraph" w:customStyle="1" w:styleId="685">
    <w:name w:val="xl102"/>
    <w:basedOn w:val="1"/>
    <w:qFormat/>
    <w:uiPriority w:val="0"/>
    <w:pPr>
      <w:widowControl/>
      <w:spacing w:before="100" w:beforeAutospacing="1" w:after="100" w:afterAutospacing="1"/>
      <w:jc w:val="center"/>
    </w:pPr>
    <w:rPr>
      <w:rFonts w:ascii="宋体" w:hAnsi="宋体" w:cs="宋体"/>
      <w:kern w:val="0"/>
      <w:sz w:val="20"/>
    </w:rPr>
  </w:style>
  <w:style w:type="paragraph" w:customStyle="1" w:styleId="686">
    <w:name w:val="章"/>
    <w:basedOn w:val="338"/>
    <w:next w:val="1"/>
    <w:qFormat/>
    <w:uiPriority w:val="0"/>
    <w:pPr>
      <w:tabs>
        <w:tab w:val="left" w:pos="360"/>
      </w:tabs>
    </w:pPr>
  </w:style>
  <w:style w:type="paragraph" w:customStyle="1" w:styleId="687">
    <w:name w:val="xl103"/>
    <w:basedOn w:val="1"/>
    <w:qFormat/>
    <w:uiPriority w:val="0"/>
    <w:pPr>
      <w:widowControl/>
      <w:pBdr>
        <w:top w:val="single" w:color="auto" w:sz="4" w:space="0"/>
        <w:left w:val="single" w:color="auto" w:sz="4" w:space="0"/>
        <w:bottom w:val="single" w:color="auto" w:sz="4" w:space="0"/>
      </w:pBdr>
      <w:shd w:val="clear" w:color="000000" w:fill="33CCCC"/>
      <w:spacing w:before="100" w:beforeAutospacing="1" w:after="100" w:afterAutospacing="1"/>
      <w:jc w:val="left"/>
      <w:textAlignment w:val="center"/>
    </w:pPr>
    <w:rPr>
      <w:rFonts w:ascii="宋体" w:hAnsi="宋体" w:cs="宋体"/>
      <w:b/>
      <w:bCs/>
      <w:color w:val="000000"/>
      <w:kern w:val="0"/>
      <w:sz w:val="22"/>
      <w:szCs w:val="22"/>
    </w:rPr>
  </w:style>
  <w:style w:type="paragraph" w:customStyle="1" w:styleId="688">
    <w:name w:val="xl36"/>
    <w:basedOn w:val="1"/>
    <w:qFormat/>
    <w:uiPriority w:val="0"/>
    <w:pPr>
      <w:widowControl/>
      <w:pBdr>
        <w:right w:val="single" w:color="auto" w:sz="4" w:space="0"/>
      </w:pBdr>
      <w:spacing w:before="100" w:beforeAutospacing="1" w:after="100" w:afterAutospacing="1"/>
      <w:jc w:val="center"/>
    </w:pPr>
    <w:rPr>
      <w:rFonts w:ascii="宋体" w:hAnsi="宋体" w:cs="宋体"/>
      <w:kern w:val="0"/>
      <w:sz w:val="24"/>
      <w:szCs w:val="24"/>
    </w:rPr>
  </w:style>
  <w:style w:type="paragraph" w:customStyle="1" w:styleId="689">
    <w:name w:val="xl66"/>
    <w:basedOn w:val="1"/>
    <w:qFormat/>
    <w:uiPriority w:val="0"/>
    <w:pPr>
      <w:widowControl/>
      <w:pBdr>
        <w:top w:val="single" w:color="auto" w:sz="4" w:space="0"/>
        <w:left w:val="single" w:color="auto" w:sz="4" w:space="0"/>
      </w:pBdr>
      <w:shd w:val="clear" w:color="auto" w:fill="FFFF00"/>
      <w:spacing w:before="100" w:beforeAutospacing="1" w:after="100" w:afterAutospacing="1"/>
      <w:jc w:val="right"/>
    </w:pPr>
    <w:rPr>
      <w:kern w:val="0"/>
      <w:sz w:val="20"/>
    </w:rPr>
  </w:style>
  <w:style w:type="paragraph" w:customStyle="1" w:styleId="690">
    <w:name w:val="Char Char Char Char1 Char Char"/>
    <w:basedOn w:val="23"/>
    <w:qFormat/>
    <w:uiPriority w:val="0"/>
    <w:rPr>
      <w:rFonts w:ascii="宋体" w:hAnsi="宋体"/>
      <w:b/>
      <w:sz w:val="24"/>
      <w:shd w:val="clear" w:color="auto" w:fill="auto"/>
    </w:rPr>
  </w:style>
  <w:style w:type="paragraph" w:customStyle="1" w:styleId="691">
    <w:name w:val="符号悬挂缩进"/>
    <w:basedOn w:val="1"/>
    <w:qFormat/>
    <w:uiPriority w:val="0"/>
    <w:pPr>
      <w:tabs>
        <w:tab w:val="left" w:pos="0"/>
      </w:tabs>
      <w:spacing w:line="360" w:lineRule="auto"/>
    </w:pPr>
    <w:rPr>
      <w:rFonts w:ascii="宋体"/>
      <w:snapToGrid w:val="0"/>
      <w:kern w:val="0"/>
      <w:sz w:val="24"/>
    </w:rPr>
  </w:style>
  <w:style w:type="paragraph" w:customStyle="1" w:styleId="692">
    <w:name w:val="xl60"/>
    <w:basedOn w:val="1"/>
    <w:qFormat/>
    <w:uiPriority w:val="0"/>
    <w:pPr>
      <w:widowControl/>
      <w:pBdr>
        <w:right w:val="single" w:color="auto" w:sz="8" w:space="0"/>
      </w:pBdr>
      <w:shd w:val="clear" w:color="auto" w:fill="FFFF00"/>
      <w:spacing w:before="100" w:beforeAutospacing="1" w:after="100" w:afterAutospacing="1"/>
      <w:jc w:val="right"/>
    </w:pPr>
    <w:rPr>
      <w:rFonts w:ascii="宋体" w:hAnsi="宋体"/>
      <w:kern w:val="0"/>
      <w:sz w:val="20"/>
    </w:rPr>
  </w:style>
  <w:style w:type="paragraph" w:customStyle="1" w:styleId="693">
    <w:name w:val="numbers"/>
    <w:basedOn w:val="1"/>
    <w:qFormat/>
    <w:uiPriority w:val="0"/>
    <w:pPr>
      <w:tabs>
        <w:tab w:val="left" w:pos="792"/>
      </w:tabs>
      <w:adjustRightInd w:val="0"/>
      <w:spacing w:before="120" w:after="120" w:line="360" w:lineRule="auto"/>
      <w:ind w:left="792" w:hanging="432"/>
      <w:jc w:val="left"/>
      <w:textAlignment w:val="baseline"/>
    </w:pPr>
    <w:rPr>
      <w:rFonts w:ascii="宋体"/>
      <w:kern w:val="0"/>
      <w:sz w:val="24"/>
    </w:rPr>
  </w:style>
  <w:style w:type="paragraph" w:customStyle="1" w:styleId="694">
    <w:name w:val="paragraph1"/>
    <w:basedOn w:val="1"/>
    <w:qFormat/>
    <w:uiPriority w:val="0"/>
    <w:pPr>
      <w:spacing w:afterLines="30" w:line="360" w:lineRule="auto"/>
      <w:ind w:firstLine="480" w:firstLineChars="200"/>
    </w:pPr>
    <w:rPr>
      <w:sz w:val="24"/>
      <w:szCs w:val="24"/>
    </w:rPr>
  </w:style>
  <w:style w:type="paragraph" w:customStyle="1" w:styleId="695">
    <w:name w:val="xl62"/>
    <w:basedOn w:val="1"/>
    <w:qFormat/>
    <w:uiPriority w:val="0"/>
    <w:pPr>
      <w:widowControl/>
      <w:shd w:val="clear" w:color="auto" w:fill="FFFF00"/>
      <w:spacing w:before="100" w:beforeAutospacing="1" w:after="100" w:afterAutospacing="1"/>
      <w:jc w:val="center"/>
    </w:pPr>
    <w:rPr>
      <w:rFonts w:ascii="宋体" w:hAnsi="宋体"/>
      <w:kern w:val="0"/>
      <w:sz w:val="20"/>
    </w:rPr>
  </w:style>
  <w:style w:type="paragraph" w:customStyle="1" w:styleId="696">
    <w:name w:val="列表项"/>
    <w:basedOn w:val="1"/>
    <w:qFormat/>
    <w:uiPriority w:val="0"/>
    <w:pPr>
      <w:tabs>
        <w:tab w:val="left" w:pos="1020"/>
      </w:tabs>
      <w:spacing w:line="400" w:lineRule="exact"/>
    </w:pPr>
    <w:rPr>
      <w:rFonts w:eastAsia="楷体_GB2312"/>
      <w:sz w:val="24"/>
      <w:szCs w:val="24"/>
    </w:rPr>
  </w:style>
  <w:style w:type="paragraph" w:customStyle="1" w:styleId="697">
    <w:name w:val="xl56"/>
    <w:basedOn w:val="1"/>
    <w:qFormat/>
    <w:uiPriority w:val="0"/>
    <w:pPr>
      <w:widowControl/>
      <w:shd w:val="clear" w:color="auto" w:fill="FFFF00"/>
      <w:spacing w:before="100" w:beforeAutospacing="1" w:after="100" w:afterAutospacing="1"/>
      <w:jc w:val="left"/>
    </w:pPr>
    <w:rPr>
      <w:rFonts w:ascii="宋体" w:hAnsi="宋体"/>
      <w:b/>
      <w:i/>
      <w:kern w:val="0"/>
      <w:sz w:val="20"/>
    </w:rPr>
  </w:style>
  <w:style w:type="paragraph" w:customStyle="1" w:styleId="698">
    <w:name w:val="Char Char1 Char Char Char Char Char Char Char Char Char Char Char Char Char Char Char1"/>
    <w:basedOn w:val="1"/>
    <w:qFormat/>
    <w:uiPriority w:val="0"/>
    <w:pPr>
      <w:keepNext/>
      <w:keepLines/>
      <w:adjustRightInd w:val="0"/>
      <w:spacing w:beforeLines="100" w:afterLines="100" w:line="300" w:lineRule="auto"/>
      <w:ind w:firstLine="200" w:firstLineChars="200"/>
      <w:textAlignment w:val="center"/>
    </w:pPr>
    <w:rPr>
      <w:rFonts w:ascii="仿宋_GB2312" w:hAnsi="宋体" w:eastAsia="仿宋_GB2312"/>
      <w:kern w:val="0"/>
      <w:sz w:val="24"/>
    </w:rPr>
  </w:style>
  <w:style w:type="paragraph" w:customStyle="1" w:styleId="699">
    <w:name w:val="xl95"/>
    <w:basedOn w:val="1"/>
    <w:qFormat/>
    <w:uiPriority w:val="0"/>
    <w:pPr>
      <w:widowControl/>
      <w:pBdr>
        <w:top w:val="single" w:color="auto" w:sz="4" w:space="0"/>
        <w:left w:val="single" w:color="auto" w:sz="4" w:space="0"/>
        <w:bottom w:val="single" w:color="auto" w:sz="4" w:space="0"/>
      </w:pBdr>
      <w:shd w:val="clear" w:color="000000" w:fill="CCFFFF"/>
      <w:spacing w:before="100" w:beforeAutospacing="1" w:after="100" w:afterAutospacing="1"/>
      <w:jc w:val="center"/>
      <w:textAlignment w:val="center"/>
    </w:pPr>
    <w:rPr>
      <w:rFonts w:ascii="宋体" w:hAnsi="宋体" w:cs="宋体"/>
      <w:b/>
      <w:bCs/>
      <w:color w:val="000000"/>
      <w:kern w:val="0"/>
      <w:sz w:val="20"/>
    </w:rPr>
  </w:style>
  <w:style w:type="paragraph" w:customStyle="1" w:styleId="700">
    <w:name w:val="正文（首行缩进两字）"/>
    <w:basedOn w:val="1"/>
    <w:next w:val="1"/>
    <w:qFormat/>
    <w:uiPriority w:val="0"/>
    <w:pPr>
      <w:widowControl/>
      <w:ind w:firstLine="420"/>
    </w:pPr>
    <w:rPr>
      <w:color w:val="000000"/>
      <w:sz w:val="24"/>
    </w:rPr>
  </w:style>
  <w:style w:type="paragraph" w:customStyle="1" w:styleId="701">
    <w:name w:val="正文11"/>
    <w:basedOn w:val="1"/>
    <w:qFormat/>
    <w:uiPriority w:val="0"/>
    <w:pPr>
      <w:tabs>
        <w:tab w:val="left" w:pos="3055"/>
      </w:tabs>
      <w:spacing w:line="360" w:lineRule="auto"/>
      <w:ind w:firstLine="480"/>
    </w:pPr>
    <w:rPr>
      <w:rFonts w:ascii="宋体" w:hAnsi="宋体"/>
      <w:sz w:val="24"/>
    </w:rPr>
  </w:style>
  <w:style w:type="paragraph" w:customStyle="1" w:styleId="702">
    <w:name w:val="CM28"/>
    <w:basedOn w:val="253"/>
    <w:next w:val="253"/>
    <w:qFormat/>
    <w:uiPriority w:val="0"/>
    <w:pPr>
      <w:autoSpaceDE w:val="0"/>
      <w:autoSpaceDN w:val="0"/>
      <w:adjustRightInd w:val="0"/>
      <w:spacing w:after="825"/>
    </w:pPr>
    <w:rPr>
      <w:rFonts w:ascii="HYDaHeiJ" w:eastAsia="HYDaHeiJ"/>
      <w:color w:val="auto"/>
      <w:lang w:eastAsia="zh-CN"/>
    </w:rPr>
  </w:style>
  <w:style w:type="paragraph" w:customStyle="1" w:styleId="703">
    <w:name w:val="xl7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704">
    <w:name w:val="Char Char Char Char Char Char1 Char1"/>
    <w:basedOn w:val="1"/>
    <w:qFormat/>
    <w:uiPriority w:val="0"/>
    <w:pPr>
      <w:widowControl/>
      <w:spacing w:after="160" w:line="240" w:lineRule="exact"/>
      <w:jc w:val="left"/>
    </w:pPr>
    <w:rPr>
      <w:rFonts w:ascii="Verdana" w:hAnsi="Verdana"/>
      <w:kern w:val="0"/>
      <w:lang w:eastAsia="en-US"/>
    </w:rPr>
  </w:style>
  <w:style w:type="paragraph" w:customStyle="1" w:styleId="705">
    <w:name w:val="CM30"/>
    <w:basedOn w:val="253"/>
    <w:next w:val="253"/>
    <w:qFormat/>
    <w:uiPriority w:val="0"/>
    <w:pPr>
      <w:autoSpaceDE w:val="0"/>
      <w:autoSpaceDN w:val="0"/>
      <w:adjustRightInd w:val="0"/>
      <w:spacing w:after="550"/>
    </w:pPr>
    <w:rPr>
      <w:rFonts w:ascii="HYDaHeiJ" w:eastAsia="HYDaHeiJ"/>
      <w:color w:val="auto"/>
      <w:lang w:eastAsia="zh-CN"/>
    </w:rPr>
  </w:style>
  <w:style w:type="character" w:customStyle="1" w:styleId="706">
    <w:name w:val="font61"/>
    <w:basedOn w:val="78"/>
    <w:qFormat/>
    <w:uiPriority w:val="0"/>
    <w:rPr>
      <w:rFonts w:hint="eastAsia" w:ascii="宋体" w:hAnsi="宋体" w:eastAsia="宋体" w:cs="宋体"/>
      <w:color w:val="000000"/>
      <w:sz w:val="22"/>
      <w:szCs w:val="22"/>
      <w:u w:val="none"/>
    </w:rPr>
  </w:style>
  <w:style w:type="paragraph" w:customStyle="1" w:styleId="707">
    <w:name w:val="正文格式"/>
    <w:qFormat/>
    <w:uiPriority w:val="99"/>
    <w:pPr>
      <w:spacing w:line="360" w:lineRule="auto"/>
      <w:ind w:firstLine="200" w:firstLineChars="200"/>
    </w:pPr>
    <w:rPr>
      <w:rFonts w:ascii="宋体" w:hAnsi="宋体" w:eastAsia="宋体" w:cs="Times New Roman"/>
      <w:kern w:val="2"/>
      <w:sz w:val="28"/>
      <w:szCs w:val="22"/>
      <w:lang w:val="en-US" w:eastAsia="zh-CN" w:bidi="ar-SA"/>
    </w:rPr>
  </w:style>
  <w:style w:type="paragraph" w:customStyle="1" w:styleId="708">
    <w:name w:val="常用顶格样式"/>
    <w:basedOn w:val="1"/>
    <w:qFormat/>
    <w:uiPriority w:val="0"/>
    <w:pPr>
      <w:widowControl/>
      <w:spacing w:line="360" w:lineRule="auto"/>
      <w:ind w:firstLine="480" w:firstLineChars="200"/>
      <w:jc w:val="left"/>
    </w:pPr>
    <w:rPr>
      <w:rFonts w:ascii="宋体" w:hAnsi="宋体" w:eastAsiaTheme="minorEastAsia" w:cstheme="minorBidi"/>
      <w:sz w:val="24"/>
      <w:szCs w:val="22"/>
    </w:rPr>
  </w:style>
  <w:style w:type="paragraph" w:customStyle="1" w:styleId="709">
    <w:name w:val="_Style 13"/>
    <w:basedOn w:val="32"/>
    <w:next w:val="75"/>
    <w:unhideWhenUsed/>
    <w:qFormat/>
    <w:uiPriority w:val="99"/>
    <w:pPr>
      <w:ind w:firstLine="420" w:firstLineChars="200"/>
    </w:pPr>
    <w:rPr>
      <w:szCs w:val="24"/>
    </w:rPr>
  </w:style>
  <w:style w:type="character" w:customStyle="1" w:styleId="710">
    <w:name w:val="NormalCharacter"/>
    <w:link w:val="1"/>
    <w:qFormat/>
    <w:uiPriority w:val="0"/>
    <w:rPr>
      <w:rFonts w:ascii="Times New Roman" w:hAnsi="Times New Roman" w:eastAsia="宋体" w:cs="Times New Roman"/>
      <w:kern w:val="2"/>
      <w:sz w:val="21"/>
      <w:lang w:val="en-US" w:eastAsia="zh-CN" w:bidi="ar-SA"/>
    </w:rPr>
  </w:style>
  <w:style w:type="paragraph" w:customStyle="1" w:styleId="711">
    <w:name w:val="UserStyle_6"/>
    <w:basedOn w:val="1"/>
    <w:next w:val="1"/>
    <w:qFormat/>
    <w:uiPriority w:val="0"/>
    <w:pPr>
      <w:spacing w:line="280" w:lineRule="atLeast"/>
      <w:jc w:val="left"/>
      <w:textAlignment w:val="baseline"/>
    </w:pPr>
    <w:rPr>
      <w:kern w:val="0"/>
      <w:sz w:val="24"/>
      <w:szCs w:val="24"/>
      <w:lang w:val="en-US" w:eastAsia="zh-CN" w:bidi="ar-SA"/>
    </w:rPr>
  </w:style>
  <w:style w:type="paragraph" w:customStyle="1" w:styleId="712">
    <w:name w:val="UserStyle_0"/>
    <w:basedOn w:val="1"/>
    <w:qFormat/>
    <w:uiPriority w:val="0"/>
    <w:pPr>
      <w:jc w:val="both"/>
      <w:textAlignment w:val="baseline"/>
    </w:pPr>
    <w:rPr>
      <w:rFonts w:ascii="宋体" w:hAnsi="宋体" w:eastAsia="宋体"/>
      <w:kern w:val="2"/>
      <w:sz w:val="21"/>
      <w:lang w:val="zh-CN" w:eastAsia="zh-CN" w:bidi="zh-CN"/>
    </w:rPr>
  </w:style>
  <w:style w:type="paragraph" w:customStyle="1" w:styleId="713">
    <w:name w:val="WPSOffice手动目录 1"/>
    <w:qFormat/>
    <w:uiPriority w:val="0"/>
    <w:pPr>
      <w:ind w:leftChars="0"/>
    </w:pPr>
    <w:rPr>
      <w:rFonts w:ascii="Times New Roman" w:hAnsi="Times New Roman" w:eastAsia="宋体" w:cs="Times New Roman"/>
      <w:sz w:val="20"/>
      <w:szCs w:val="20"/>
    </w:rPr>
  </w:style>
  <w:style w:type="paragraph" w:customStyle="1" w:styleId="714">
    <w:name w:val="3级"/>
    <w:basedOn w:val="129"/>
    <w:qFormat/>
    <w:uiPriority w:val="0"/>
    <w:pPr>
      <w:numPr>
        <w:ilvl w:val="0"/>
        <w:numId w:val="1"/>
      </w:numPr>
      <w:ind w:firstLineChars="0"/>
      <w:outlineLvl w:val="2"/>
    </w:pPr>
    <w:rPr>
      <w:rFonts w:ascii="宋体" w:hAnsi="宋体"/>
      <w:color w:val="000000"/>
      <w:szCs w:val="21"/>
    </w:rPr>
  </w:style>
  <w:style w:type="paragraph" w:customStyle="1" w:styleId="715">
    <w:name w:val="Indent Normal"/>
    <w:qFormat/>
    <w:uiPriority w:val="0"/>
    <w:pPr>
      <w:widowControl w:val="0"/>
      <w:spacing w:line="360" w:lineRule="auto"/>
      <w:ind w:firstLine="150" w:firstLineChars="150"/>
    </w:pPr>
    <w:rPr>
      <w:rFonts w:ascii="Times New Roman" w:hAnsi="Times New Roman" w:eastAsia="宋体" w:cs="Times New Roman"/>
      <w:kern w:val="2"/>
      <w:sz w:val="24"/>
      <w:szCs w:val="24"/>
      <w:lang w:val="en-US" w:eastAsia="zh-CN" w:bidi="ar-SA"/>
    </w:rPr>
  </w:style>
  <w:style w:type="paragraph" w:customStyle="1" w:styleId="716">
    <w:name w:val="1"/>
    <w:qFormat/>
    <w:uiPriority w:val="0"/>
    <w:pPr>
      <w:widowControl w:val="0"/>
      <w:spacing w:line="360" w:lineRule="auto"/>
      <w:ind w:firstLine="0" w:firstLineChars="0"/>
    </w:pPr>
    <w:rPr>
      <w:rFonts w:ascii="Times New Roman" w:hAnsi="Times New Roman" w:eastAsia="宋体" w:cs="Times New Roman"/>
      <w:kern w:val="2"/>
      <w:sz w:val="21"/>
      <w:szCs w:val="24"/>
      <w:lang w:val="en-US" w:eastAsia="zh-CN" w:bidi="ar-SA"/>
    </w:rPr>
  </w:style>
  <w:style w:type="character" w:customStyle="1" w:styleId="717">
    <w:name w:val="font81"/>
    <w:basedOn w:val="78"/>
    <w:qFormat/>
    <w:uiPriority w:val="0"/>
    <w:rPr>
      <w:rFonts w:hint="eastAsia" w:ascii="宋体" w:hAnsi="宋体" w:eastAsia="宋体" w:cs="宋体"/>
      <w:color w:val="000000"/>
      <w:sz w:val="16"/>
      <w:szCs w:val="16"/>
      <w:u w:val="none"/>
    </w:rPr>
  </w:style>
  <w:style w:type="character" w:customStyle="1" w:styleId="718">
    <w:name w:val="font71"/>
    <w:basedOn w:val="78"/>
    <w:qFormat/>
    <w:uiPriority w:val="0"/>
    <w:rPr>
      <w:rFonts w:hint="eastAsia" w:ascii="宋体" w:hAnsi="宋体" w:eastAsia="宋体" w:cs="宋体"/>
      <w:color w:val="000000"/>
      <w:sz w:val="20"/>
      <w:szCs w:val="20"/>
      <w:u w:val="none"/>
    </w:rPr>
  </w:style>
  <w:style w:type="paragraph" w:customStyle="1" w:styleId="719">
    <w:name w:val="Table Paragraph"/>
    <w:basedOn w:val="1"/>
    <w:qFormat/>
    <w:uiPriority w:val="1"/>
    <w:rPr>
      <w:rFonts w:ascii="宋体" w:hAnsi="宋体" w:eastAsia="宋体" w:cs="宋体"/>
      <w:lang w:val="zh-CN" w:eastAsia="zh-CN" w:bidi="zh-CN"/>
    </w:rPr>
  </w:style>
  <w:style w:type="character" w:customStyle="1" w:styleId="720">
    <w:name w:val="layui-layer-tabnow"/>
    <w:basedOn w:val="78"/>
    <w:qFormat/>
    <w:uiPriority w:val="0"/>
    <w:rPr>
      <w:bdr w:val="single" w:color="CCCCCC" w:sz="6" w:space="0"/>
      <w:shd w:val="clear" w:fill="FFFFFF"/>
    </w:rPr>
  </w:style>
  <w:style w:type="character" w:customStyle="1" w:styleId="721">
    <w:name w:val="first-child"/>
    <w:basedOn w:val="78"/>
    <w:qFormat/>
    <w:uiPriority w:val="0"/>
  </w:style>
  <w:style w:type="paragraph" w:customStyle="1" w:styleId="722">
    <w:name w:val="标题 11"/>
    <w:basedOn w:val="1"/>
    <w:qFormat/>
    <w:uiPriority w:val="1"/>
    <w:pPr>
      <w:spacing w:before="35"/>
      <w:ind w:left="813" w:right="845"/>
      <w:jc w:val="center"/>
      <w:outlineLvl w:val="1"/>
    </w:pPr>
    <w:rPr>
      <w:sz w:val="36"/>
      <w:szCs w:val="36"/>
    </w:rPr>
  </w:style>
  <w:style w:type="table" w:customStyle="1" w:styleId="723">
    <w:name w:val="Table Normal"/>
    <w:semiHidden/>
    <w:unhideWhenUsed/>
    <w:qFormat/>
    <w:uiPriority w:val="2"/>
    <w:tblPr>
      <w:tblCellMar>
        <w:top w:w="0" w:type="dxa"/>
        <w:left w:w="0" w:type="dxa"/>
        <w:bottom w:w="0" w:type="dxa"/>
        <w:right w:w="0" w:type="dxa"/>
      </w:tblCellMar>
    </w:tblPr>
  </w:style>
  <w:style w:type="character" w:customStyle="1" w:styleId="724">
    <w:name w:val="标题 字符"/>
    <w:basedOn w:val="78"/>
    <w:link w:val="72"/>
    <w:qFormat/>
    <w:uiPriority w:val="10"/>
    <w:rPr>
      <w:rFonts w:ascii="Arial" w:hAnsi="Arial" w:cs="Arial"/>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customXml" Target="../customXml/item2.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0.png"/><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D3537D-1A08-4DDF-87AC-FFE2F52698A4}">
  <ds:schemaRefs/>
</ds:datastoreItem>
</file>

<file path=docProps/app.xml><?xml version="1.0" encoding="utf-8"?>
<Properties xmlns="http://schemas.openxmlformats.org/officeDocument/2006/extended-properties" xmlns:vt="http://schemas.openxmlformats.org/officeDocument/2006/docPropsVTypes">
  <Template>Normal.dotm</Template>
  <Pages>90</Pages>
  <Words>27089</Words>
  <Characters>28282</Characters>
  <Lines>347</Lines>
  <Paragraphs>97</Paragraphs>
  <TotalTime>12</TotalTime>
  <ScaleCrop>false</ScaleCrop>
  <LinksUpToDate>false</LinksUpToDate>
  <CharactersWithSpaces>29689</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2019-02-14T08:17:00Z</dcterms:created>
  <dc:creator>sdf</dc:creator>
  <cp:lastModifiedBy>时光无声、</cp:lastModifiedBy>
  <cp:lastPrinted>2021-04-28T06:54:00Z</cp:lastPrinted>
  <dcterms:modified xsi:type="dcterms:W3CDTF">2024-11-05T04:53:40Z</dcterms:modified>
  <dc:title>烟台市政府采购</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979DCE40DDCF431C84A34AFF58394E23_13</vt:lpwstr>
  </property>
</Properties>
</file>