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51B943">
      <w:pPr>
        <w:spacing w:before="180" w:line="362" w:lineRule="auto"/>
        <w:ind w:left="24" w:right="113" w:firstLine="400"/>
        <w:jc w:val="center"/>
        <w:outlineLvl w:val="0"/>
        <w:rPr>
          <w:rFonts w:ascii="宋体" w:hAnsi="宋体" w:eastAsia="宋体" w:cs="宋体"/>
          <w:color w:val="auto"/>
          <w:sz w:val="35"/>
          <w:szCs w:val="35"/>
          <w:highlight w:val="none"/>
        </w:rPr>
      </w:pPr>
      <w:bookmarkStart w:id="0" w:name="_Toc743"/>
      <w:r>
        <w:rPr>
          <w:rFonts w:hint="eastAsia" w:ascii="宋体" w:hAnsi="宋体" w:eastAsia="宋体" w:cs="宋体"/>
          <w:b/>
          <w:bCs/>
          <w:color w:val="auto"/>
          <w:spacing w:val="2"/>
          <w:sz w:val="35"/>
          <w:szCs w:val="35"/>
          <w:highlight w:val="none"/>
        </w:rPr>
        <w:t>第</w:t>
      </w:r>
      <w:r>
        <w:rPr>
          <w:rFonts w:hint="eastAsia" w:ascii="宋体" w:hAnsi="宋体" w:eastAsia="宋体" w:cs="宋体"/>
          <w:b/>
          <w:bCs/>
          <w:color w:val="auto"/>
          <w:spacing w:val="2"/>
          <w:sz w:val="35"/>
          <w:szCs w:val="35"/>
          <w:highlight w:val="none"/>
          <w:lang w:eastAsia="zh-CN"/>
        </w:rPr>
        <w:t>三</w:t>
      </w:r>
      <w:r>
        <w:rPr>
          <w:rFonts w:hint="eastAsia" w:ascii="宋体" w:hAnsi="宋体" w:eastAsia="宋体" w:cs="宋体"/>
          <w:b/>
          <w:bCs/>
          <w:color w:val="auto"/>
          <w:spacing w:val="2"/>
          <w:sz w:val="35"/>
          <w:szCs w:val="35"/>
          <w:highlight w:val="none"/>
        </w:rPr>
        <w:t>部分</w:t>
      </w:r>
      <w:r>
        <w:rPr>
          <w:rFonts w:ascii="宋体" w:hAnsi="宋体" w:eastAsia="宋体" w:cs="宋体"/>
          <w:b/>
          <w:bCs/>
          <w:color w:val="auto"/>
          <w:spacing w:val="2"/>
          <w:sz w:val="35"/>
          <w:szCs w:val="35"/>
          <w:highlight w:val="none"/>
        </w:rPr>
        <w:t>项目说明</w:t>
      </w:r>
      <w:bookmarkEnd w:id="0"/>
    </w:p>
    <w:p w14:paraId="0C64933B">
      <w:pPr>
        <w:spacing w:before="11" w:line="219" w:lineRule="auto"/>
        <w:ind w:left="32"/>
        <w:rPr>
          <w:rFonts w:ascii="宋体" w:hAnsi="宋体" w:eastAsia="宋体" w:cs="宋体"/>
          <w:sz w:val="24"/>
          <w:szCs w:val="24"/>
        </w:rPr>
      </w:pPr>
      <w:r>
        <w:rPr>
          <w:rFonts w:ascii="宋体" w:hAnsi="宋体" w:eastAsia="宋体" w:cs="宋体"/>
          <w:b/>
          <w:bCs/>
          <w:spacing w:val="-5"/>
          <w:sz w:val="24"/>
          <w:szCs w:val="24"/>
        </w:rPr>
        <w:t>一、项目内容</w:t>
      </w:r>
    </w:p>
    <w:p w14:paraId="7E7835A8">
      <w:pPr>
        <w:spacing w:before="180" w:line="359" w:lineRule="auto"/>
        <w:ind w:left="74" w:right="240" w:firstLine="435"/>
        <w:rPr>
          <w:rFonts w:ascii="宋体" w:hAnsi="宋体" w:eastAsia="宋体" w:cs="宋体"/>
          <w:sz w:val="24"/>
          <w:szCs w:val="24"/>
        </w:rPr>
      </w:pPr>
      <w:r>
        <w:rPr>
          <w:rFonts w:ascii="宋体" w:hAnsi="宋体" w:eastAsia="宋体" w:cs="宋体"/>
          <w:sz w:val="24"/>
          <w:szCs w:val="24"/>
        </w:rPr>
        <w:t>本项目为</w:t>
      </w:r>
      <w:r>
        <w:rPr>
          <w:rFonts w:hint="eastAsia" w:ascii="宋体" w:hAnsi="宋体" w:eastAsia="宋体" w:cs="宋体"/>
          <w:sz w:val="24"/>
          <w:szCs w:val="24"/>
        </w:rPr>
        <w:t>聊城市公安局交通巡逻警察支队高唐大队辖区电子警察监控网络租赁项目</w:t>
      </w:r>
      <w:r>
        <w:rPr>
          <w:rFonts w:ascii="宋体" w:hAnsi="宋体" w:eastAsia="宋体" w:cs="宋体"/>
          <w:spacing w:val="-6"/>
          <w:sz w:val="24"/>
          <w:szCs w:val="24"/>
        </w:rPr>
        <w:t>，项目预算为：</w:t>
      </w:r>
      <w:r>
        <w:rPr>
          <w:rFonts w:hint="eastAsia" w:ascii="宋体" w:hAnsi="宋体" w:eastAsia="宋体" w:cs="宋体"/>
          <w:spacing w:val="-6"/>
          <w:sz w:val="24"/>
          <w:szCs w:val="24"/>
          <w:lang w:val="en-US" w:eastAsia="zh-CN"/>
        </w:rPr>
        <w:t>99.12</w:t>
      </w:r>
      <w:r>
        <w:rPr>
          <w:rFonts w:ascii="宋体" w:hAnsi="宋体" w:eastAsia="宋体" w:cs="宋体"/>
          <w:spacing w:val="-6"/>
          <w:sz w:val="24"/>
          <w:szCs w:val="24"/>
        </w:rPr>
        <w:t>万元。</w:t>
      </w:r>
    </w:p>
    <w:p w14:paraId="6B9AEF0C">
      <w:pPr>
        <w:spacing w:before="3" w:line="312" w:lineRule="auto"/>
        <w:ind w:left="27" w:firstLine="378"/>
        <w:rPr>
          <w:rFonts w:ascii="宋体" w:hAnsi="宋体" w:eastAsia="宋体" w:cs="宋体"/>
          <w:sz w:val="24"/>
          <w:szCs w:val="24"/>
        </w:rPr>
      </w:pPr>
      <w:r>
        <w:rPr>
          <w:rFonts w:ascii="宋体" w:hAnsi="宋体" w:eastAsia="宋体" w:cs="宋体"/>
          <w:spacing w:val="-1"/>
          <w:sz w:val="24"/>
          <w:szCs w:val="24"/>
        </w:rPr>
        <w:t>1.供应商所报价格应为提供与本项目服务内容有关的一切费用。供应商所报价格应为含</w:t>
      </w:r>
      <w:r>
        <w:rPr>
          <w:rFonts w:ascii="宋体" w:hAnsi="宋体" w:eastAsia="宋体" w:cs="宋体"/>
          <w:sz w:val="24"/>
          <w:szCs w:val="24"/>
        </w:rPr>
        <w:t>税全包价，包括与提供服务相关的人工、设备、保险、税费、验收及</w:t>
      </w:r>
      <w:r>
        <w:rPr>
          <w:rFonts w:ascii="宋体" w:hAnsi="宋体" w:eastAsia="宋体" w:cs="宋体"/>
          <w:spacing w:val="-1"/>
          <w:sz w:val="24"/>
          <w:szCs w:val="24"/>
        </w:rPr>
        <w:t>知识产权等一切费用并</w:t>
      </w:r>
      <w:r>
        <w:rPr>
          <w:rFonts w:ascii="宋体" w:hAnsi="宋体" w:eastAsia="宋体" w:cs="宋体"/>
          <w:spacing w:val="-2"/>
          <w:sz w:val="24"/>
          <w:szCs w:val="24"/>
        </w:rPr>
        <w:t>考虑一定风险。</w:t>
      </w:r>
    </w:p>
    <w:p w14:paraId="3E8A32C3">
      <w:pPr>
        <w:spacing w:before="181" w:line="290" w:lineRule="auto"/>
        <w:ind w:left="52" w:right="120" w:firstLine="339"/>
        <w:rPr>
          <w:rFonts w:ascii="宋体" w:hAnsi="宋体" w:eastAsia="宋体" w:cs="宋体"/>
          <w:sz w:val="24"/>
          <w:szCs w:val="24"/>
        </w:rPr>
      </w:pPr>
      <w:r>
        <w:rPr>
          <w:rFonts w:ascii="宋体" w:hAnsi="宋体" w:eastAsia="宋体" w:cs="宋体"/>
          <w:sz w:val="24"/>
          <w:szCs w:val="24"/>
        </w:rPr>
        <w:t>2.供应商应保证所提供服务符合合同规定的质量要求；</w:t>
      </w:r>
      <w:r>
        <w:rPr>
          <w:rFonts w:ascii="宋体" w:hAnsi="宋体" w:eastAsia="宋体" w:cs="宋体"/>
          <w:spacing w:val="-1"/>
          <w:sz w:val="24"/>
          <w:szCs w:val="24"/>
        </w:rPr>
        <w:t>供应商应保证所提供的服务符合</w:t>
      </w:r>
      <w:r>
        <w:rPr>
          <w:rFonts w:ascii="宋体" w:hAnsi="宋体" w:eastAsia="宋体" w:cs="宋体"/>
          <w:spacing w:val="-3"/>
          <w:sz w:val="24"/>
          <w:szCs w:val="24"/>
        </w:rPr>
        <w:t>国家标准或者行业标准。</w:t>
      </w:r>
    </w:p>
    <w:p w14:paraId="573EDB3B">
      <w:pPr>
        <w:spacing w:before="180" w:line="289" w:lineRule="auto"/>
        <w:ind w:left="29" w:right="120" w:firstLine="363"/>
        <w:rPr>
          <w:rFonts w:ascii="宋体" w:hAnsi="宋体" w:eastAsia="宋体" w:cs="宋体"/>
          <w:sz w:val="24"/>
          <w:szCs w:val="24"/>
        </w:rPr>
      </w:pPr>
      <w:r>
        <w:rPr>
          <w:rFonts w:ascii="宋体" w:hAnsi="宋体" w:eastAsia="宋体" w:cs="宋体"/>
          <w:sz w:val="24"/>
          <w:szCs w:val="24"/>
        </w:rPr>
        <w:t>3.具有完善的质量保证、售后服务体系及备品备件</w:t>
      </w:r>
      <w:r>
        <w:rPr>
          <w:rFonts w:ascii="宋体" w:hAnsi="宋体" w:eastAsia="宋体" w:cs="宋体"/>
          <w:spacing w:val="-1"/>
          <w:sz w:val="24"/>
          <w:szCs w:val="24"/>
        </w:rPr>
        <w:t>库，</w:t>
      </w:r>
      <w:r>
        <w:rPr>
          <w:rFonts w:hint="eastAsia" w:ascii="宋体" w:hAnsi="宋体" w:eastAsia="宋体" w:cs="宋体"/>
          <w:spacing w:val="-1"/>
          <w:sz w:val="24"/>
          <w:szCs w:val="24"/>
          <w:lang w:eastAsia="zh-CN"/>
        </w:rPr>
        <w:t>供应商</w:t>
      </w:r>
      <w:r>
        <w:rPr>
          <w:rFonts w:ascii="宋体" w:hAnsi="宋体" w:eastAsia="宋体" w:cs="宋体"/>
          <w:spacing w:val="-1"/>
          <w:sz w:val="24"/>
          <w:szCs w:val="24"/>
        </w:rPr>
        <w:t>需根据现场实际情况和招标要求，提供完善的设计、施工、售后方案。</w:t>
      </w:r>
    </w:p>
    <w:p w14:paraId="4CB15461">
      <w:pPr>
        <w:spacing w:before="182" w:line="219" w:lineRule="auto"/>
        <w:ind w:left="104"/>
        <w:outlineLvl w:val="0"/>
        <w:rPr>
          <w:rFonts w:ascii="宋体" w:hAnsi="宋体" w:eastAsia="宋体" w:cs="宋体"/>
          <w:sz w:val="24"/>
          <w:szCs w:val="24"/>
        </w:rPr>
      </w:pPr>
      <w:r>
        <w:rPr>
          <w:rFonts w:ascii="宋体" w:hAnsi="宋体" w:eastAsia="宋体" w:cs="宋体"/>
          <w:b/>
          <w:bCs/>
          <w:spacing w:val="-5"/>
          <w:sz w:val="24"/>
          <w:szCs w:val="24"/>
        </w:rPr>
        <w:t>二、项目概况</w:t>
      </w:r>
    </w:p>
    <w:p w14:paraId="7E654D63">
      <w:pPr>
        <w:spacing w:before="180" w:line="289" w:lineRule="auto"/>
        <w:ind w:left="29" w:right="120" w:firstLine="363"/>
        <w:rPr>
          <w:rFonts w:ascii="宋体" w:hAnsi="宋体" w:eastAsia="宋体" w:cs="宋体"/>
          <w:color w:val="auto"/>
          <w:sz w:val="24"/>
          <w:szCs w:val="24"/>
        </w:rPr>
      </w:pPr>
      <w:r>
        <w:rPr>
          <w:rFonts w:ascii="宋体" w:hAnsi="宋体" w:eastAsia="宋体" w:cs="宋体"/>
          <w:color w:val="auto"/>
          <w:sz w:val="24"/>
          <w:szCs w:val="24"/>
        </w:rPr>
        <w:t>近几年，对高唐辖区国省道、县乡道路监控卡口加大建设安装力度，实现了监控全覆盖，有效保障了重要路口、部位的安全防范工作，提高各类案件侦破、事故预防能力，为实现“平安高唐”建设发挥应有作用。城市道路交通信号灯，是为了加强道路交通管理，减少道路交通事故，提高道路交通使用效率，改善道路交通状况。</w:t>
      </w:r>
    </w:p>
    <w:p w14:paraId="7DD8194E">
      <w:pPr>
        <w:spacing w:before="180" w:line="289" w:lineRule="auto"/>
        <w:ind w:left="29" w:right="120" w:firstLine="363"/>
        <w:rPr>
          <w:rFonts w:ascii="宋体" w:hAnsi="宋体" w:eastAsia="宋体" w:cs="宋体"/>
          <w:color w:val="auto"/>
          <w:sz w:val="24"/>
          <w:szCs w:val="24"/>
        </w:rPr>
      </w:pPr>
      <w:r>
        <w:rPr>
          <w:rFonts w:ascii="宋体" w:hAnsi="宋体" w:eastAsia="宋体" w:cs="宋体"/>
          <w:color w:val="auto"/>
          <w:sz w:val="24"/>
          <w:szCs w:val="24"/>
        </w:rPr>
        <w:t>为保障电子监控设备及交通信号灯正常运行，需对</w:t>
      </w:r>
      <w:r>
        <w:rPr>
          <w:rFonts w:hint="eastAsia" w:ascii="宋体" w:hAnsi="宋体" w:eastAsia="宋体" w:cs="宋体"/>
          <w:color w:val="auto"/>
          <w:sz w:val="24"/>
          <w:szCs w:val="24"/>
          <w:lang w:val="en-US" w:eastAsia="zh-CN"/>
        </w:rPr>
        <w:t>118</w:t>
      </w:r>
      <w:r>
        <w:rPr>
          <w:rFonts w:ascii="宋体" w:hAnsi="宋体" w:eastAsia="宋体" w:cs="宋体"/>
          <w:color w:val="auto"/>
          <w:sz w:val="24"/>
          <w:szCs w:val="24"/>
        </w:rPr>
        <w:t>处网络服务进行租赁。</w:t>
      </w:r>
    </w:p>
    <w:p w14:paraId="1EDBECFE">
      <w:pPr>
        <w:spacing w:before="180" w:line="289" w:lineRule="auto"/>
        <w:ind w:left="29" w:right="120" w:firstLine="363"/>
        <w:rPr>
          <w:rFonts w:ascii="宋体" w:hAnsi="宋体" w:eastAsia="宋体" w:cs="宋体"/>
          <w:sz w:val="24"/>
          <w:szCs w:val="24"/>
        </w:rPr>
      </w:pPr>
      <w:r>
        <w:rPr>
          <w:rFonts w:ascii="宋体" w:hAnsi="宋体" w:eastAsia="宋体" w:cs="宋体"/>
          <w:color w:val="auto"/>
          <w:sz w:val="24"/>
          <w:szCs w:val="24"/>
        </w:rPr>
        <w:t>（1）租用视频监控光纤线路，需要连接至交警视频专网，要求所有监控点通过裸光缆直连到交警机房，为保证其安全性，中间不允许通过转接</w:t>
      </w:r>
      <w:r>
        <w:rPr>
          <w:rFonts w:ascii="宋体" w:hAnsi="宋体" w:eastAsia="宋体" w:cs="宋体"/>
          <w:sz w:val="24"/>
          <w:szCs w:val="24"/>
        </w:rPr>
        <w:t>设备。</w:t>
      </w:r>
    </w:p>
    <w:p w14:paraId="56096DB8">
      <w:pPr>
        <w:spacing w:before="180" w:line="289" w:lineRule="auto"/>
        <w:ind w:left="29" w:right="120" w:firstLine="363"/>
        <w:rPr>
          <w:rFonts w:ascii="宋体" w:hAnsi="宋体" w:eastAsia="宋体" w:cs="宋体"/>
          <w:sz w:val="24"/>
          <w:szCs w:val="24"/>
        </w:rPr>
      </w:pPr>
      <w:r>
        <w:rPr>
          <w:rFonts w:ascii="宋体" w:hAnsi="宋体" w:eastAsia="宋体" w:cs="宋体"/>
          <w:sz w:val="24"/>
          <w:szCs w:val="24"/>
        </w:rPr>
        <w:t>（2）运营商提供的网络必须具有高可靠性，保证监控系统的正常运行，具有完备的网络健康保障及运营支持体系。</w:t>
      </w:r>
    </w:p>
    <w:p w14:paraId="561194FC">
      <w:pPr>
        <w:spacing w:before="180" w:line="289" w:lineRule="auto"/>
        <w:ind w:left="29" w:right="120" w:firstLine="363"/>
        <w:rPr>
          <w:rFonts w:ascii="宋体" w:hAnsi="宋体" w:eastAsia="宋体" w:cs="宋体"/>
          <w:sz w:val="24"/>
          <w:szCs w:val="24"/>
        </w:rPr>
      </w:pPr>
      <w:r>
        <w:rPr>
          <w:rFonts w:ascii="宋体" w:hAnsi="宋体" w:eastAsia="宋体" w:cs="宋体"/>
          <w:sz w:val="24"/>
          <w:szCs w:val="24"/>
        </w:rPr>
        <w:t>（3）运营商提供的网络必须具备可扩展能力，能够适应交警监控网络及监控系统网络结构的变化，具有灵活的伸缩能力，满足业务发展的需要。</w:t>
      </w:r>
    </w:p>
    <w:p w14:paraId="3599E756">
      <w:pPr>
        <w:spacing w:before="180" w:line="289" w:lineRule="auto"/>
        <w:ind w:left="29" w:right="120" w:firstLine="363"/>
        <w:rPr>
          <w:rFonts w:ascii="宋体" w:hAnsi="宋体" w:eastAsia="宋体" w:cs="宋体"/>
          <w:sz w:val="24"/>
          <w:szCs w:val="24"/>
        </w:rPr>
      </w:pPr>
      <w:r>
        <w:rPr>
          <w:rFonts w:ascii="宋体" w:hAnsi="宋体" w:eastAsia="宋体" w:cs="宋体"/>
          <w:sz w:val="24"/>
          <w:szCs w:val="24"/>
        </w:rPr>
        <w:t>（4）需求：线路带宽应满足应用需求，具体带宽视两端设备而定，具备千兆能力。</w:t>
      </w:r>
    </w:p>
    <w:p w14:paraId="3C4F5207">
      <w:pPr>
        <w:spacing w:before="180" w:line="289" w:lineRule="auto"/>
        <w:ind w:left="29" w:right="120" w:firstLine="363"/>
        <w:rPr>
          <w:rFonts w:ascii="宋体" w:hAnsi="宋体" w:eastAsia="宋体" w:cs="宋体"/>
          <w:sz w:val="24"/>
          <w:szCs w:val="24"/>
        </w:rPr>
      </w:pPr>
      <w:r>
        <w:rPr>
          <w:rFonts w:ascii="宋体" w:hAnsi="宋体" w:eastAsia="宋体" w:cs="宋体"/>
          <w:sz w:val="24"/>
          <w:szCs w:val="24"/>
        </w:rPr>
        <w:t>（5）线路质量要求，提供符合信息产业部颁布的《电信服务标准（试行）》的电信业务质量要的线路质量，即长期运行基本无瞬时中断现象，误码率在10E-8以内的电信级线路，具备线路故障自动报警功能，提高修复效率减少故障时间。</w:t>
      </w:r>
    </w:p>
    <w:p w14:paraId="4D83CAA1">
      <w:pPr>
        <w:spacing w:before="180" w:line="289" w:lineRule="auto"/>
        <w:ind w:left="29" w:right="120" w:firstLine="363"/>
        <w:rPr>
          <w:rFonts w:ascii="宋体" w:hAnsi="宋体" w:eastAsia="宋体" w:cs="宋体"/>
          <w:sz w:val="24"/>
          <w:szCs w:val="24"/>
        </w:rPr>
      </w:pPr>
      <w:r>
        <w:rPr>
          <w:rFonts w:ascii="宋体" w:hAnsi="宋体" w:eastAsia="宋体" w:cs="宋体"/>
          <w:sz w:val="24"/>
          <w:szCs w:val="24"/>
        </w:rPr>
        <w:t>（6）扩展性要求，要求可以实现向下多层的线路扩展，实现灵活的带宽和接入调节。</w:t>
      </w:r>
    </w:p>
    <w:p w14:paraId="6A0B80AC">
      <w:pPr>
        <w:spacing w:before="157" w:line="219" w:lineRule="auto"/>
        <w:ind w:left="28"/>
        <w:outlineLvl w:val="0"/>
        <w:rPr>
          <w:rFonts w:ascii="宋体" w:hAnsi="宋体" w:eastAsia="宋体" w:cs="宋体"/>
          <w:sz w:val="24"/>
          <w:szCs w:val="24"/>
        </w:rPr>
      </w:pPr>
      <w:r>
        <w:rPr>
          <w:rFonts w:ascii="宋体" w:hAnsi="宋体" w:eastAsia="宋体" w:cs="宋体"/>
          <w:b/>
          <w:bCs/>
          <w:spacing w:val="-4"/>
          <w:sz w:val="24"/>
          <w:szCs w:val="24"/>
        </w:rPr>
        <w:t>三、售后服务：</w:t>
      </w:r>
    </w:p>
    <w:p w14:paraId="674D3C98">
      <w:pPr>
        <w:spacing w:before="3" w:line="312" w:lineRule="auto"/>
        <w:ind w:left="27" w:firstLine="378"/>
        <w:rPr>
          <w:rFonts w:ascii="宋体" w:hAnsi="宋体" w:eastAsia="宋体" w:cs="宋体"/>
          <w:sz w:val="24"/>
          <w:szCs w:val="24"/>
        </w:rPr>
      </w:pPr>
      <w:r>
        <w:rPr>
          <w:rFonts w:ascii="宋体" w:hAnsi="宋体" w:eastAsia="宋体" w:cs="宋体"/>
          <w:sz w:val="24"/>
          <w:szCs w:val="24"/>
        </w:rPr>
        <w:t>（1）</w:t>
      </w:r>
      <w:r>
        <w:rPr>
          <w:rFonts w:hint="eastAsia" w:ascii="宋体" w:hAnsi="宋体" w:eastAsia="宋体" w:cs="宋体"/>
          <w:sz w:val="24"/>
          <w:szCs w:val="24"/>
          <w:lang w:eastAsia="zh-CN"/>
        </w:rPr>
        <w:t>供应商</w:t>
      </w:r>
      <w:r>
        <w:rPr>
          <w:rFonts w:ascii="宋体" w:hAnsi="宋体" w:eastAsia="宋体" w:cs="宋体"/>
          <w:sz w:val="24"/>
          <w:szCs w:val="24"/>
        </w:rPr>
        <w:t>应提供7×24小时电话技术支持和故障申告服务；</w:t>
      </w:r>
      <w:r>
        <w:rPr>
          <w:rFonts w:hint="eastAsia" w:ascii="宋体" w:hAnsi="宋体" w:eastAsia="宋体" w:cs="宋体"/>
          <w:sz w:val="24"/>
          <w:szCs w:val="24"/>
          <w:lang w:eastAsia="zh-CN"/>
        </w:rPr>
        <w:t>供应商</w:t>
      </w:r>
      <w:r>
        <w:rPr>
          <w:rFonts w:ascii="宋体" w:hAnsi="宋体" w:eastAsia="宋体" w:cs="宋体"/>
          <w:sz w:val="24"/>
          <w:szCs w:val="24"/>
        </w:rPr>
        <w:t>应具备应急通信的能力，如遇不可抗力因素（如地震、洪水等）造成的线路阻断，</w:t>
      </w:r>
      <w:r>
        <w:rPr>
          <w:rFonts w:hint="eastAsia" w:ascii="宋体" w:hAnsi="宋体" w:eastAsia="宋体" w:cs="宋体"/>
          <w:sz w:val="24"/>
          <w:szCs w:val="24"/>
          <w:lang w:eastAsia="zh-CN"/>
        </w:rPr>
        <w:t>供应商</w:t>
      </w:r>
      <w:r>
        <w:rPr>
          <w:rFonts w:ascii="宋体" w:hAnsi="宋体" w:eastAsia="宋体" w:cs="宋体"/>
          <w:sz w:val="24"/>
          <w:szCs w:val="24"/>
        </w:rPr>
        <w:t>应</w:t>
      </w:r>
    </w:p>
    <w:p w14:paraId="4ABE1F50">
      <w:pPr>
        <w:spacing w:before="3" w:line="312" w:lineRule="auto"/>
        <w:ind w:left="27" w:firstLine="378"/>
        <w:rPr>
          <w:rFonts w:ascii="宋体" w:hAnsi="宋体" w:eastAsia="宋体" w:cs="宋体"/>
          <w:sz w:val="24"/>
          <w:szCs w:val="24"/>
        </w:rPr>
      </w:pPr>
      <w:r>
        <w:rPr>
          <w:rFonts w:ascii="宋体" w:hAnsi="宋体" w:eastAsia="宋体" w:cs="宋体"/>
          <w:sz w:val="24"/>
          <w:szCs w:val="24"/>
        </w:rPr>
        <w:t>在短期内无偿采用应急手段恢复通信。</w:t>
      </w:r>
    </w:p>
    <w:p w14:paraId="5BE5601C">
      <w:pPr>
        <w:spacing w:before="3" w:line="312" w:lineRule="auto"/>
        <w:ind w:left="27" w:firstLine="378"/>
        <w:rPr>
          <w:rFonts w:ascii="宋体" w:hAnsi="宋体" w:eastAsia="宋体" w:cs="宋体"/>
          <w:sz w:val="24"/>
          <w:szCs w:val="24"/>
        </w:rPr>
      </w:pPr>
      <w:r>
        <w:rPr>
          <w:rFonts w:ascii="宋体" w:hAnsi="宋体" w:eastAsia="宋体" w:cs="宋体"/>
          <w:sz w:val="24"/>
          <w:szCs w:val="24"/>
        </w:rPr>
        <w:t>（</w:t>
      </w:r>
      <w:r>
        <w:rPr>
          <w:rFonts w:hint="eastAsia" w:ascii="宋体" w:hAnsi="宋体" w:eastAsia="宋体" w:cs="宋体"/>
          <w:sz w:val="24"/>
          <w:szCs w:val="24"/>
          <w:lang w:val="en-US" w:eastAsia="zh-CN"/>
        </w:rPr>
        <w:t>2</w:t>
      </w:r>
      <w:r>
        <w:rPr>
          <w:rFonts w:ascii="宋体" w:hAnsi="宋体" w:eastAsia="宋体" w:cs="宋体"/>
          <w:sz w:val="24"/>
          <w:szCs w:val="24"/>
        </w:rPr>
        <w:t>）</w:t>
      </w:r>
      <w:r>
        <w:rPr>
          <w:rFonts w:hint="eastAsia" w:ascii="宋体" w:hAnsi="宋体" w:eastAsia="宋体" w:cs="宋体"/>
          <w:sz w:val="24"/>
          <w:szCs w:val="24"/>
          <w:lang w:eastAsia="zh-CN"/>
        </w:rPr>
        <w:t>供应商</w:t>
      </w:r>
      <w:r>
        <w:rPr>
          <w:rFonts w:ascii="宋体" w:hAnsi="宋体" w:eastAsia="宋体" w:cs="宋体"/>
          <w:sz w:val="24"/>
          <w:szCs w:val="24"/>
        </w:rPr>
        <w:t>应配合采购人进行所租赁线路传输故障的诊断和排除。</w:t>
      </w:r>
    </w:p>
    <w:p w14:paraId="60E559E8">
      <w:pPr>
        <w:spacing w:before="3" w:line="312" w:lineRule="auto"/>
        <w:ind w:left="27" w:firstLine="378"/>
        <w:rPr>
          <w:rFonts w:ascii="宋体" w:hAnsi="宋体" w:eastAsia="宋体" w:cs="宋体"/>
          <w:sz w:val="24"/>
          <w:szCs w:val="24"/>
        </w:rPr>
      </w:pPr>
      <w:r>
        <w:rPr>
          <w:rFonts w:ascii="宋体" w:hAnsi="宋体" w:eastAsia="宋体" w:cs="宋体"/>
          <w:sz w:val="24"/>
          <w:szCs w:val="24"/>
        </w:rPr>
        <w:t>（</w:t>
      </w:r>
      <w:r>
        <w:rPr>
          <w:rFonts w:hint="eastAsia" w:ascii="宋体" w:hAnsi="宋体" w:eastAsia="宋体" w:cs="宋体"/>
          <w:sz w:val="24"/>
          <w:szCs w:val="24"/>
          <w:lang w:val="en-US" w:eastAsia="zh-CN"/>
        </w:rPr>
        <w:t>3</w:t>
      </w:r>
      <w:r>
        <w:rPr>
          <w:rFonts w:ascii="宋体" w:hAnsi="宋体" w:eastAsia="宋体" w:cs="宋体"/>
          <w:sz w:val="24"/>
          <w:szCs w:val="24"/>
        </w:rPr>
        <w:t>）</w:t>
      </w:r>
      <w:r>
        <w:rPr>
          <w:rFonts w:hint="eastAsia" w:ascii="宋体" w:hAnsi="宋体" w:eastAsia="宋体" w:cs="宋体"/>
          <w:sz w:val="24"/>
          <w:szCs w:val="24"/>
          <w:lang w:eastAsia="zh-CN"/>
        </w:rPr>
        <w:t>供应商</w:t>
      </w:r>
      <w:r>
        <w:rPr>
          <w:rFonts w:ascii="宋体" w:hAnsi="宋体" w:eastAsia="宋体" w:cs="宋体"/>
          <w:sz w:val="24"/>
          <w:szCs w:val="24"/>
        </w:rPr>
        <w:t>承诺对线路故障申告响应时间小于20分钟，故障恢复时间一般小于1小时，最长不超过4小时。</w:t>
      </w:r>
    </w:p>
    <w:p w14:paraId="72E4CD3A">
      <w:pPr>
        <w:spacing w:before="292" w:line="219" w:lineRule="auto"/>
        <w:ind w:left="145"/>
        <w:outlineLvl w:val="0"/>
        <w:rPr>
          <w:rFonts w:ascii="宋体" w:hAnsi="宋体" w:eastAsia="宋体" w:cs="宋体"/>
          <w:sz w:val="24"/>
          <w:szCs w:val="24"/>
        </w:rPr>
      </w:pPr>
      <w:r>
        <w:rPr>
          <w:rFonts w:ascii="宋体" w:hAnsi="宋体" w:eastAsia="宋体" w:cs="宋体"/>
          <w:b/>
          <w:bCs/>
          <w:spacing w:val="-8"/>
          <w:sz w:val="24"/>
          <w:szCs w:val="24"/>
        </w:rPr>
        <w:t>四、点位分布</w:t>
      </w:r>
    </w:p>
    <w:tbl>
      <w:tblPr>
        <w:tblStyle w:val="4"/>
        <w:tblW w:w="969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75"/>
        <w:gridCol w:w="3360"/>
        <w:gridCol w:w="1500"/>
        <w:gridCol w:w="3555"/>
      </w:tblGrid>
      <w:tr w14:paraId="49876C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9690" w:type="dxa"/>
            <w:gridSpan w:val="4"/>
            <w:tcBorders>
              <w:top w:val="nil"/>
              <w:left w:val="nil"/>
              <w:bottom w:val="nil"/>
              <w:right w:val="nil"/>
            </w:tcBorders>
            <w:shd w:val="clear" w:color="auto" w:fill="auto"/>
            <w:noWrap/>
            <w:vAlign w:val="center"/>
          </w:tcPr>
          <w:p w14:paraId="5EAF558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snapToGrid w:val="0"/>
                <w:color w:val="000000"/>
                <w:kern w:val="0"/>
                <w:sz w:val="24"/>
                <w:szCs w:val="24"/>
                <w:u w:val="none"/>
                <w:lang w:val="en-US" w:eastAsia="zh-CN" w:bidi="ar"/>
              </w:rPr>
              <w:t>辖区高清电警网络（44处）</w:t>
            </w:r>
          </w:p>
        </w:tc>
      </w:tr>
      <w:tr w14:paraId="47AC6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80D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序号</w:t>
            </w: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927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路口名称</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2DC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序号</w:t>
            </w:r>
          </w:p>
        </w:tc>
        <w:tc>
          <w:tcPr>
            <w:tcW w:w="3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0EB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路口名称</w:t>
            </w:r>
          </w:p>
        </w:tc>
      </w:tr>
      <w:tr w14:paraId="11EFB1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547F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7F49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G105与S520路口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3927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23</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6C86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官道街与政通路路口</w:t>
            </w:r>
          </w:p>
        </w:tc>
      </w:tr>
      <w:tr w14:paraId="1F614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E5BC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7700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G308与G105路口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41E9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24</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259F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金城路与春长路路口</w:t>
            </w:r>
          </w:p>
        </w:tc>
      </w:tr>
      <w:tr w14:paraId="491B3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6E31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F5B4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G105与官道街路口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CA28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25</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8D89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泉林路与官道街路口</w:t>
            </w:r>
          </w:p>
        </w:tc>
      </w:tr>
      <w:tr w14:paraId="19B9D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5174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8683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G308与S514路口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32D2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26</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D8A3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鼓楼路与春长街路口</w:t>
            </w:r>
          </w:p>
        </w:tc>
      </w:tr>
      <w:tr w14:paraId="6446B8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253E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046F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S242与S520路口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24B0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27</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270A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金城路与东兴路路口</w:t>
            </w:r>
          </w:p>
        </w:tc>
      </w:tr>
      <w:tr w14:paraId="7D068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C2CF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C3C3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S520与东兴路路口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7DE6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28</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5BE8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金城路与官道街路口</w:t>
            </w:r>
          </w:p>
        </w:tc>
      </w:tr>
      <w:tr w14:paraId="4CFFC9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22D9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7</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A0D6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S520与官道街路口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20F0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29</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3670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时风路与东兴路路口</w:t>
            </w:r>
          </w:p>
        </w:tc>
      </w:tr>
      <w:tr w14:paraId="5C3C1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D7EE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8</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85F6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滨湖路与S520路口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F651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30</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3195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鼓楼路与官道街路口</w:t>
            </w:r>
          </w:p>
        </w:tc>
      </w:tr>
      <w:tr w14:paraId="17E28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6112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9</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FB88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北湖路与金城路路口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DA14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31</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CDD5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G105与G514路口</w:t>
            </w:r>
          </w:p>
        </w:tc>
      </w:tr>
      <w:tr w14:paraId="41986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F369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87A6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滨湖路与鼓楼路路口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CE25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32</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3CAB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S520与杨屯小学路口</w:t>
            </w:r>
          </w:p>
        </w:tc>
      </w:tr>
      <w:tr w14:paraId="366E2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1A08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11</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94B6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滨湖路与金城路路口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019B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33</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7EE9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北湖路与人和路路口</w:t>
            </w:r>
          </w:p>
        </w:tc>
      </w:tr>
      <w:tr w14:paraId="764AE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B4FE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12</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7E50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滨湖路与人和路路口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40F5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34</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0AC3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人和路与东兴路路口</w:t>
            </w:r>
          </w:p>
        </w:tc>
      </w:tr>
      <w:tr w14:paraId="5F172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B438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13</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A6B9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滨湖路与时风路路口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850D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35</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1A37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超越路与政通路路口</w:t>
            </w:r>
          </w:p>
        </w:tc>
      </w:tr>
      <w:tr w14:paraId="52A803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17F1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14</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BCF0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滨湖路与泉林路路口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2E0E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36</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2A83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政通路与东兴路路口</w:t>
            </w:r>
          </w:p>
        </w:tc>
      </w:tr>
      <w:tr w14:paraId="2AE92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3995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15</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E592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春长街与人和路路口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B98D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37</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40A5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G308西转盘违停球路口</w:t>
            </w:r>
          </w:p>
        </w:tc>
      </w:tr>
      <w:tr w14:paraId="0B217D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2417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16</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4617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泉林路与东兴路路口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F976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38</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E413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盛世路与泉林路路口</w:t>
            </w:r>
          </w:p>
        </w:tc>
      </w:tr>
      <w:tr w14:paraId="7D5D74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3F99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17</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9BB8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超越路与时风路路口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B0D6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39</w:t>
            </w:r>
          </w:p>
        </w:tc>
        <w:tc>
          <w:tcPr>
            <w:tcW w:w="3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F76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时风路与南湖路路口</w:t>
            </w:r>
          </w:p>
        </w:tc>
      </w:tr>
      <w:tr w14:paraId="5ACB5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D5FC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18</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F8EA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南湖路与府后街路口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C408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40</w:t>
            </w:r>
          </w:p>
        </w:tc>
        <w:tc>
          <w:tcPr>
            <w:tcW w:w="3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37A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南湖路与政通路路口</w:t>
            </w:r>
          </w:p>
        </w:tc>
      </w:tr>
      <w:tr w14:paraId="71AB5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A4CF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19</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2DFA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官道街与府后街路口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F922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41</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B314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S242毛庄路口路口</w:t>
            </w:r>
          </w:p>
        </w:tc>
      </w:tr>
      <w:tr w14:paraId="58285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1A63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20</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8E2C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滨湖路与政通路路口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7BD7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42</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70B3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鼓楼路与超越路路口</w:t>
            </w:r>
          </w:p>
        </w:tc>
      </w:tr>
      <w:tr w14:paraId="3080A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B8EF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21</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84F9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官道街与人和路路口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ADA2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43</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2C32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光明路与北湖路路口</w:t>
            </w:r>
          </w:p>
        </w:tc>
      </w:tr>
      <w:tr w14:paraId="4B8BF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2C86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22</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EFCC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官道街与时风路路口</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FF3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44</w:t>
            </w:r>
          </w:p>
        </w:tc>
        <w:tc>
          <w:tcPr>
            <w:tcW w:w="3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E57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滨湖路与滨河路逆行路口</w:t>
            </w:r>
          </w:p>
        </w:tc>
      </w:tr>
      <w:tr w14:paraId="39596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0" w:type="auto"/>
            <w:gridSpan w:val="4"/>
            <w:tcBorders>
              <w:top w:val="nil"/>
              <w:left w:val="nil"/>
              <w:bottom w:val="nil"/>
              <w:right w:val="nil"/>
            </w:tcBorders>
            <w:shd w:val="clear" w:color="auto" w:fill="auto"/>
            <w:noWrap/>
            <w:vAlign w:val="center"/>
          </w:tcPr>
          <w:p w14:paraId="70ABE89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snapToGrid w:val="0"/>
                <w:color w:val="000000"/>
                <w:kern w:val="0"/>
                <w:sz w:val="24"/>
                <w:szCs w:val="24"/>
                <w:u w:val="none"/>
                <w:lang w:val="en-US" w:eastAsia="zh-CN" w:bidi="ar"/>
              </w:rPr>
              <w:t>高清视频治安监控网络（11处）</w:t>
            </w:r>
          </w:p>
        </w:tc>
      </w:tr>
      <w:tr w14:paraId="67DDC9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630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序号</w:t>
            </w: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30B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路口名称</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0A0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序号</w:t>
            </w:r>
          </w:p>
        </w:tc>
        <w:tc>
          <w:tcPr>
            <w:tcW w:w="3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A69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路口名称</w:t>
            </w:r>
          </w:p>
        </w:tc>
      </w:tr>
      <w:tr w14:paraId="1E0FD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6EE5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6C8E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时风中学路口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28B6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7</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F802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鼓楼路与G514路口</w:t>
            </w:r>
          </w:p>
        </w:tc>
      </w:tr>
      <w:tr w14:paraId="66F42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A985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40F6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煤建公司路口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A85A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8</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03C9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人和路与超越路路口</w:t>
            </w:r>
          </w:p>
        </w:tc>
      </w:tr>
      <w:tr w14:paraId="34378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A205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3C48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高唐二实小天桥</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AB8B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9</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DB5F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太平村与G514路口</w:t>
            </w:r>
          </w:p>
        </w:tc>
      </w:tr>
      <w:tr w14:paraId="62BCB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8C38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BD3D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小朱寨路口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A59E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6743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G105梁村五岔口</w:t>
            </w:r>
          </w:p>
        </w:tc>
      </w:tr>
      <w:tr w14:paraId="2844C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E02B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3047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光明路与官道街路口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8AF7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11</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7A31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滨湖路与文英路路口</w:t>
            </w:r>
          </w:p>
        </w:tc>
      </w:tr>
      <w:tr w14:paraId="310D0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6343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D52D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高唐一实小天桥</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5CFF78">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6DA6AB">
            <w:pPr>
              <w:rPr>
                <w:rFonts w:hint="eastAsia" w:ascii="宋体" w:hAnsi="宋体" w:eastAsia="宋体" w:cs="宋体"/>
                <w:i w:val="0"/>
                <w:iCs w:val="0"/>
                <w:color w:val="000000"/>
                <w:sz w:val="24"/>
                <w:szCs w:val="24"/>
                <w:u w:val="none"/>
              </w:rPr>
            </w:pPr>
          </w:p>
        </w:tc>
      </w:tr>
      <w:tr w14:paraId="51D15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9690" w:type="dxa"/>
            <w:gridSpan w:val="4"/>
            <w:tcBorders>
              <w:top w:val="nil"/>
              <w:left w:val="nil"/>
              <w:bottom w:val="nil"/>
              <w:right w:val="nil"/>
            </w:tcBorders>
            <w:shd w:val="clear" w:color="auto" w:fill="auto"/>
            <w:vAlign w:val="center"/>
          </w:tcPr>
          <w:p w14:paraId="28E52B1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snapToGrid w:val="0"/>
                <w:color w:val="000000"/>
                <w:kern w:val="0"/>
                <w:sz w:val="24"/>
                <w:szCs w:val="24"/>
                <w:u w:val="none"/>
                <w:lang w:val="en-US" w:eastAsia="zh-CN" w:bidi="ar"/>
              </w:rPr>
              <w:t>国省道卡口网络（14处）</w:t>
            </w:r>
          </w:p>
        </w:tc>
      </w:tr>
      <w:tr w14:paraId="735351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A82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序号</w:t>
            </w: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170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路口名称</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077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序号</w:t>
            </w:r>
          </w:p>
        </w:tc>
        <w:tc>
          <w:tcPr>
            <w:tcW w:w="3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CB1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路口名称</w:t>
            </w:r>
          </w:p>
        </w:tc>
      </w:tr>
      <w:tr w14:paraId="36318B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C890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45D4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赵寨子卡口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2BC5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8</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3AD5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赵寨子法庭卡口</w:t>
            </w:r>
          </w:p>
        </w:tc>
      </w:tr>
      <w:tr w14:paraId="3D85B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5C63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34E5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南镇卡口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78B5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9</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A673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二中队卡口</w:t>
            </w:r>
          </w:p>
        </w:tc>
      </w:tr>
      <w:tr w14:paraId="4CA5B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9299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CFB4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杨屯卡口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0E50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580D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杨屯西卡口</w:t>
            </w:r>
          </w:p>
        </w:tc>
      </w:tr>
      <w:tr w14:paraId="427E2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E431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5185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固河卡口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851F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11</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6C06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韩寨卡口</w:t>
            </w:r>
          </w:p>
        </w:tc>
      </w:tr>
      <w:tr w14:paraId="10AFBA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D0DB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08D8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马桥卡口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1AB6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12</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0B6C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五中队卡口</w:t>
            </w:r>
          </w:p>
        </w:tc>
      </w:tr>
      <w:tr w14:paraId="06458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0B3D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2917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三十里铺卡口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20EC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13</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6DDC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王架子卡口</w:t>
            </w:r>
          </w:p>
        </w:tc>
      </w:tr>
      <w:tr w14:paraId="72A49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6F54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7</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9271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梁村卡口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D808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14</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614D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国能电厂卡口</w:t>
            </w:r>
          </w:p>
        </w:tc>
      </w:tr>
      <w:tr w14:paraId="60A86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atLeast"/>
        </w:trPr>
        <w:tc>
          <w:tcPr>
            <w:tcW w:w="9690" w:type="dxa"/>
            <w:gridSpan w:val="4"/>
            <w:tcBorders>
              <w:top w:val="nil"/>
              <w:left w:val="nil"/>
              <w:bottom w:val="nil"/>
              <w:right w:val="nil"/>
            </w:tcBorders>
            <w:shd w:val="clear" w:color="auto" w:fill="auto"/>
            <w:vAlign w:val="center"/>
          </w:tcPr>
          <w:p w14:paraId="5AAC1D1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snapToGrid w:val="0"/>
                <w:color w:val="000000"/>
                <w:kern w:val="0"/>
                <w:sz w:val="24"/>
                <w:szCs w:val="24"/>
                <w:u w:val="none"/>
                <w:lang w:val="en-US" w:eastAsia="zh-CN" w:bidi="ar"/>
              </w:rPr>
              <w:t>中队球机视频监控网络（6处）</w:t>
            </w:r>
          </w:p>
        </w:tc>
      </w:tr>
      <w:tr w14:paraId="22A24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A98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序号</w:t>
            </w: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43D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路口名称</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CD6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序号</w:t>
            </w:r>
          </w:p>
        </w:tc>
        <w:tc>
          <w:tcPr>
            <w:tcW w:w="3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60E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路口名称</w:t>
            </w:r>
          </w:p>
        </w:tc>
      </w:tr>
      <w:tr w14:paraId="235596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A086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DD56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G514谷官屯球机</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3984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4BA8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G105与南镇Y型路口</w:t>
            </w:r>
          </w:p>
        </w:tc>
      </w:tr>
      <w:tr w14:paraId="0625D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7A3B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DFFF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G308与S520丁字口（杨屯大桥）</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2480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2FBC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G105北球机(G105与梁固路)</w:t>
            </w:r>
          </w:p>
        </w:tc>
      </w:tr>
      <w:tr w14:paraId="0A618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0D1A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16AC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G105大董庄路口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BF00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w:t>
            </w:r>
          </w:p>
        </w:tc>
        <w:tc>
          <w:tcPr>
            <w:tcW w:w="3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E52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G105南球机（韩寨路口）</w:t>
            </w:r>
          </w:p>
        </w:tc>
      </w:tr>
      <w:tr w14:paraId="1B7DD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0" w:type="auto"/>
            <w:gridSpan w:val="4"/>
            <w:tcBorders>
              <w:top w:val="nil"/>
              <w:left w:val="nil"/>
              <w:bottom w:val="nil"/>
              <w:right w:val="nil"/>
            </w:tcBorders>
            <w:shd w:val="clear" w:color="auto" w:fill="auto"/>
            <w:noWrap/>
            <w:vAlign w:val="center"/>
          </w:tcPr>
          <w:p w14:paraId="21FD040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snapToGrid w:val="0"/>
                <w:color w:val="000000"/>
                <w:kern w:val="0"/>
                <w:sz w:val="24"/>
                <w:szCs w:val="24"/>
                <w:u w:val="none"/>
                <w:lang w:val="en-US" w:eastAsia="zh-CN" w:bidi="ar"/>
              </w:rPr>
              <w:t>公安局至中队视频专线4处（大集和校门口监控传输）</w:t>
            </w:r>
          </w:p>
        </w:tc>
      </w:tr>
      <w:tr w14:paraId="11C67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E53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99B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赵寨子中队</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9DD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w:t>
            </w:r>
          </w:p>
        </w:tc>
        <w:tc>
          <w:tcPr>
            <w:tcW w:w="3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F00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汇鑫中队</w:t>
            </w:r>
          </w:p>
        </w:tc>
      </w:tr>
      <w:tr w14:paraId="325E4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2C2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w:t>
            </w: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9D6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姜店中队</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5D7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w:t>
            </w:r>
          </w:p>
        </w:tc>
        <w:tc>
          <w:tcPr>
            <w:tcW w:w="3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5A5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梁村中队</w:t>
            </w:r>
          </w:p>
        </w:tc>
      </w:tr>
      <w:tr w14:paraId="02BE0D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0" w:type="auto"/>
            <w:gridSpan w:val="4"/>
            <w:tcBorders>
              <w:top w:val="nil"/>
              <w:left w:val="nil"/>
              <w:bottom w:val="nil"/>
              <w:right w:val="nil"/>
            </w:tcBorders>
            <w:shd w:val="clear" w:color="auto" w:fill="auto"/>
            <w:noWrap/>
            <w:vAlign w:val="center"/>
          </w:tcPr>
          <w:p w14:paraId="6AD81ED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snapToGrid w:val="0"/>
                <w:color w:val="000000"/>
                <w:kern w:val="0"/>
                <w:sz w:val="24"/>
                <w:szCs w:val="24"/>
                <w:u w:val="none"/>
                <w:lang w:val="en-US" w:eastAsia="zh-CN" w:bidi="ar"/>
              </w:rPr>
              <w:t>县乡道卡口网络（34处）</w:t>
            </w:r>
          </w:p>
        </w:tc>
      </w:tr>
      <w:tr w14:paraId="0FCF91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58E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序号</w:t>
            </w: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4C9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路口名称</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B6A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序号</w:t>
            </w:r>
          </w:p>
        </w:tc>
        <w:tc>
          <w:tcPr>
            <w:tcW w:w="3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9B0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路口名称</w:t>
            </w:r>
          </w:p>
        </w:tc>
      </w:tr>
      <w:tr w14:paraId="2243D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D212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1253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尹集北卡口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F163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18</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7131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固河巩庄卡口</w:t>
            </w:r>
          </w:p>
        </w:tc>
      </w:tr>
      <w:tr w14:paraId="65D8A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25BB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58FE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固河北卡口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727E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19</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D37F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固河太和庄卡口</w:t>
            </w:r>
          </w:p>
        </w:tc>
      </w:tr>
      <w:tr w14:paraId="0750D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9B9F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6335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老高三路卡口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9D66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20</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4881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固河前辛卡口</w:t>
            </w:r>
          </w:p>
        </w:tc>
      </w:tr>
      <w:tr w14:paraId="0E421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9E9F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ABD7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清平街里卡口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6F2F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21</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FA4D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固河赵庄卡口</w:t>
            </w:r>
          </w:p>
        </w:tc>
      </w:tr>
      <w:tr w14:paraId="4DAEE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E154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97EB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琉寺街里卡口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AB9E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22</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B39D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张八里卡口</w:t>
            </w:r>
          </w:p>
        </w:tc>
      </w:tr>
      <w:tr w14:paraId="3076E1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F5EB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057E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张大屯高庄卡口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186C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23</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28E9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杨屯吴庄卡口</w:t>
            </w:r>
          </w:p>
        </w:tc>
      </w:tr>
      <w:tr w14:paraId="05D30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3902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7</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BD32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赵寨子卡口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A343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24</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247D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杨屯周小庄卡口</w:t>
            </w:r>
          </w:p>
        </w:tc>
      </w:tr>
      <w:tr w14:paraId="056D1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8B7E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8</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5390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尹集卡口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235C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25</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73F8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张大屯卡口</w:t>
            </w:r>
          </w:p>
        </w:tc>
      </w:tr>
      <w:tr w14:paraId="077588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1F76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9</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207C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赵寨子谢庄卡口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B00B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26</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4EC2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杨屯祝庄卡口</w:t>
            </w:r>
          </w:p>
        </w:tc>
      </w:tr>
      <w:tr w14:paraId="49ECF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3662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CD20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赵寨子唐庄卡口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DC86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27</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F29A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琉寺李楼卡口</w:t>
            </w:r>
          </w:p>
        </w:tc>
      </w:tr>
      <w:tr w14:paraId="668FB4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EF1F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11</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B8AE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清平马庄卡口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AFDA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28</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39C0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姜店张井卡口</w:t>
            </w:r>
          </w:p>
        </w:tc>
      </w:tr>
      <w:tr w14:paraId="03523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01E2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12</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C68D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清平南卡口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D27A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29</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CC84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姜店梁庄卡口</w:t>
            </w:r>
          </w:p>
        </w:tc>
      </w:tr>
      <w:tr w14:paraId="1755C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5919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13</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98B5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清平皮庄卡口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FCF3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30</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2CBF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姜店郭庄卡口</w:t>
            </w:r>
          </w:p>
        </w:tc>
      </w:tr>
      <w:tr w14:paraId="0AA30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3A8F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14</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F551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三十里铺长屯卡口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6B52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31</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F2C6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清平桑园卡口</w:t>
            </w:r>
          </w:p>
        </w:tc>
      </w:tr>
      <w:tr w14:paraId="5611F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E7DD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15</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EB7C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三十里铺宜丰镇卡口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8209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32</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9882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梁村曹庄卡口</w:t>
            </w:r>
          </w:p>
        </w:tc>
      </w:tr>
      <w:tr w14:paraId="5541A3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E293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16</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EBA9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十五里铺卡口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B6C5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33</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0E8E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梁村茶棚卡口</w:t>
            </w:r>
          </w:p>
        </w:tc>
      </w:tr>
      <w:tr w14:paraId="4F073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EF14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17</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CDB8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尹集焦庄卡口</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3F7E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34</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0A20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琉寺焦庄卡口</w:t>
            </w:r>
          </w:p>
        </w:tc>
      </w:tr>
      <w:tr w14:paraId="5B397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9690" w:type="dxa"/>
            <w:gridSpan w:val="4"/>
            <w:tcBorders>
              <w:top w:val="nil"/>
              <w:left w:val="nil"/>
              <w:bottom w:val="nil"/>
              <w:right w:val="nil"/>
            </w:tcBorders>
            <w:shd w:val="clear" w:color="auto" w:fill="auto"/>
            <w:vAlign w:val="center"/>
          </w:tcPr>
          <w:p w14:paraId="22C18D2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snapToGrid w:val="0"/>
                <w:color w:val="000000"/>
                <w:kern w:val="0"/>
                <w:sz w:val="24"/>
                <w:szCs w:val="24"/>
                <w:u w:val="none"/>
                <w:lang w:val="en-US" w:eastAsia="zh-CN" w:bidi="ar"/>
              </w:rPr>
              <w:t>高点视频监控网络（2处）</w:t>
            </w:r>
          </w:p>
        </w:tc>
      </w:tr>
      <w:tr w14:paraId="23E1B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805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序号</w:t>
            </w: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B9D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路口名称</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CAA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序号</w:t>
            </w:r>
          </w:p>
        </w:tc>
        <w:tc>
          <w:tcPr>
            <w:tcW w:w="3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2E4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路口名称</w:t>
            </w:r>
          </w:p>
        </w:tc>
      </w:tr>
      <w:tr w14:paraId="6253C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A801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73E6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金城官道高点</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E2B5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D749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学府一号高点</w:t>
            </w:r>
          </w:p>
        </w:tc>
      </w:tr>
      <w:tr w14:paraId="664EA1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9690" w:type="dxa"/>
            <w:gridSpan w:val="4"/>
            <w:tcBorders>
              <w:top w:val="nil"/>
              <w:left w:val="nil"/>
              <w:bottom w:val="nil"/>
              <w:right w:val="nil"/>
            </w:tcBorders>
            <w:shd w:val="clear" w:color="auto" w:fill="auto"/>
            <w:vAlign w:val="center"/>
          </w:tcPr>
          <w:p w14:paraId="7BE07F6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snapToGrid w:val="0"/>
                <w:color w:val="000000"/>
                <w:kern w:val="0"/>
                <w:sz w:val="24"/>
                <w:szCs w:val="24"/>
                <w:u w:val="none"/>
                <w:lang w:val="en-US" w:eastAsia="zh-CN" w:bidi="ar"/>
              </w:rPr>
              <w:t>执法站网络（3处）</w:t>
            </w:r>
          </w:p>
        </w:tc>
      </w:tr>
      <w:tr w14:paraId="1A145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B27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序号</w:t>
            </w: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DEC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路口名称</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690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序号</w:t>
            </w:r>
          </w:p>
        </w:tc>
        <w:tc>
          <w:tcPr>
            <w:tcW w:w="3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947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路口名称</w:t>
            </w:r>
          </w:p>
        </w:tc>
      </w:tr>
      <w:tr w14:paraId="19D86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0A27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04FF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赵寨子执法站</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71D2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w:t>
            </w:r>
          </w:p>
        </w:tc>
        <w:tc>
          <w:tcPr>
            <w:tcW w:w="35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0C2F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汇鑫执法站</w:t>
            </w:r>
          </w:p>
        </w:tc>
      </w:tr>
      <w:tr w14:paraId="5DE12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D695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w:t>
            </w:r>
          </w:p>
        </w:tc>
        <w:tc>
          <w:tcPr>
            <w:tcW w:w="33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6798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姜店执法站</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193248">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1450E1">
            <w:pPr>
              <w:rPr>
                <w:rFonts w:hint="eastAsia" w:ascii="宋体" w:hAnsi="宋体" w:eastAsia="宋体" w:cs="宋体"/>
                <w:i w:val="0"/>
                <w:iCs w:val="0"/>
                <w:color w:val="000000"/>
                <w:sz w:val="24"/>
                <w:szCs w:val="24"/>
                <w:u w:val="none"/>
              </w:rPr>
            </w:pPr>
          </w:p>
        </w:tc>
      </w:tr>
    </w:tbl>
    <w:p w14:paraId="2CD94E9D">
      <w:pPr>
        <w:spacing w:line="360" w:lineRule="auto"/>
        <w:rPr>
          <w:color w:val="auto"/>
          <w:highlight w:val="none"/>
        </w:rPr>
      </w:pPr>
    </w:p>
    <w:p w14:paraId="1A541BC2">
      <w:bookmarkStart w:id="1" w:name="_GoBack"/>
      <w:bookmarkEnd w:id="1"/>
    </w:p>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584AED">
    <w:pPr>
      <w:pStyle w:val="2"/>
      <w:spacing w:line="229" w:lineRule="auto"/>
      <w:ind w:left="4779"/>
      <w:rPr>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E53C14">
                          <w:pPr>
                            <w:pStyle w:val="3"/>
                          </w:pPr>
                          <w:r>
                            <w:t xml:space="preserve">第 </w:t>
                          </w:r>
                          <w:r>
                            <w:fldChar w:fldCharType="begin"/>
                          </w:r>
                          <w:r>
                            <w:instrText xml:space="preserve"> PAGE  \* MERGEFORMAT </w:instrText>
                          </w:r>
                          <w:r>
                            <w:fldChar w:fldCharType="separate"/>
                          </w:r>
                          <w:r>
                            <w:t>48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59E53C14">
                    <w:pPr>
                      <w:pStyle w:val="3"/>
                    </w:pPr>
                    <w:r>
                      <w:t xml:space="preserve">第 </w:t>
                    </w:r>
                    <w:r>
                      <w:fldChar w:fldCharType="begin"/>
                    </w:r>
                    <w:r>
                      <w:instrText xml:space="preserve"> PAGE  \* MERGEFORMAT </w:instrText>
                    </w:r>
                    <w:r>
                      <w:fldChar w:fldCharType="separate"/>
                    </w:r>
                    <w:r>
                      <w:t>48</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437AA9"/>
    <w:rsid w:val="1C437AA9"/>
    <w:rsid w:val="31D970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31"/>
      <w:szCs w:val="3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2099</Words>
  <Characters>2270</Characters>
  <Lines>0</Lines>
  <Paragraphs>0</Paragraphs>
  <TotalTime>1</TotalTime>
  <ScaleCrop>false</ScaleCrop>
  <LinksUpToDate>false</LinksUpToDate>
  <CharactersWithSpaces>2270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2026-01-09T07:27:00Z</dcterms:created>
  <dc:creator>半夏</dc:creator>
  <cp:lastModifiedBy>半夏</cp:lastModifiedBy>
  <dcterms:modified xsi:type="dcterms:W3CDTF">2026-01-09T07:32:33Z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1B3639B7817C48A1BB14283FD5A0A3EB_11</vt:lpwstr>
  </property>
  <property fmtid="{D5CDD505-2E9C-101B-9397-08002B2CF9AE}" pid="4" name="KSOTemplateDocerSaveRecord">
    <vt:lpwstr>eyJoZGlkIjoiZDNkNjFjNDE4MTYxYzUxMTIxN2YyYjNkNjI5YzkyOWYiLCJ1c2VySWQiOiIxNDc5MjI0ODQ4In0=</vt:lpwstr>
  </property>
</Properties>
</file>