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5"/>
        <w:tblW w:w="0" w:type="auto"/>
        <w:tblInd w:w="62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75" w:type="dxa"/>
          </w:tcPr>
          <w:p>
            <w:pPr>
              <w:pStyle w:val="96"/>
              <w:ind w:left="0" w:leftChars="0" w:firstLine="0" w:firstLineChars="0"/>
              <w:jc w:val="both"/>
              <w:rPr>
                <w:rFonts w:hint="eastAsia" w:cs="宋体"/>
                <w:b/>
                <w:color w:val="000000" w:themeColor="text1"/>
                <w:sz w:val="72"/>
                <w:szCs w:val="72"/>
                <w:highlight w:val="none"/>
                <w:vertAlign w:val="baseline"/>
                <w:lang w:val="en-US" w:eastAsia="zh-CN"/>
                <w14:textFill>
                  <w14:solidFill>
                    <w14:schemeClr w14:val="tx1"/>
                  </w14:solidFill>
                </w14:textFill>
              </w:rPr>
            </w:pPr>
            <w:r>
              <w:rPr>
                <w:rFonts w:hint="eastAsia" w:ascii="宋体" w:hAnsi="宋体" w:eastAsia="宋体" w:cs="宋体"/>
                <w:b/>
                <w:color w:val="000000" w:themeColor="text1"/>
                <w:sz w:val="30"/>
                <w:szCs w:val="30"/>
                <w:highlight w:val="none"/>
                <w:vertAlign w:val="baseline"/>
                <w:lang w:val="en-US" w:eastAsia="zh-CN"/>
                <w14:textFill>
                  <w14:solidFill>
                    <w14:schemeClr w14:val="tx1"/>
                  </w14:solidFill>
                </w14:textFill>
              </w:rPr>
              <w:t>本项目为预采购，可能因意外情况变更或终止。</w:t>
            </w:r>
          </w:p>
        </w:tc>
      </w:tr>
    </w:tbl>
    <w:p>
      <w:pPr>
        <w:pStyle w:val="96"/>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cs="宋体"/>
          <w:b/>
          <w:color w:val="000000" w:themeColor="text1"/>
          <w:sz w:val="72"/>
          <w:szCs w:val="72"/>
          <w:highlight w:val="none"/>
          <w:lang w:val="en-US" w:eastAsia="zh-CN"/>
          <w14:textFill>
            <w14:solidFill>
              <w14:schemeClr w14:val="tx1"/>
            </w14:solidFill>
          </w14:textFill>
        </w:rPr>
        <w:t>莘县城区绿化苗木采购项目</w:t>
      </w:r>
    </w:p>
    <w:p>
      <w:pPr>
        <w:tabs>
          <w:tab w:val="left" w:pos="5190"/>
        </w:tabs>
        <w:jc w:val="center"/>
        <w:rPr>
          <w:rFonts w:hint="eastAsia" w:ascii="宋体" w:hAnsi="宋体" w:eastAsia="宋体" w:cs="宋体"/>
          <w:b/>
          <w:color w:val="000000" w:themeColor="text1"/>
          <w:spacing w:val="-20"/>
          <w:sz w:val="110"/>
          <w:szCs w:val="110"/>
          <w:highlight w:val="none"/>
          <w14:textFill>
            <w14:solidFill>
              <w14:schemeClr w14:val="tx1"/>
            </w14:solidFill>
          </w14:textFill>
        </w:rPr>
      </w:pPr>
      <w:r>
        <w:rPr>
          <w:rFonts w:hint="eastAsia" w:ascii="宋体" w:hAnsi="宋体" w:eastAsia="宋体" w:cs="宋体"/>
          <w:b/>
          <w:color w:val="000000" w:themeColor="text1"/>
          <w:spacing w:val="-20"/>
          <w:sz w:val="110"/>
          <w:szCs w:val="110"/>
          <w:highlight w:val="none"/>
          <w14:textFill>
            <w14:solidFill>
              <w14:schemeClr w14:val="tx1"/>
            </w14:solidFill>
          </w14:textFill>
        </w:rPr>
        <w:t>招 标 文 件</w:t>
      </w:r>
    </w:p>
    <w:p>
      <w:pPr>
        <w:tabs>
          <w:tab w:val="left" w:pos="5190"/>
        </w:tabs>
        <w:jc w:val="center"/>
        <w:rPr>
          <w:rFonts w:hint="eastAsia" w:ascii="楷体_GB2312" w:eastAsia="楷体_GB2312"/>
          <w:b/>
          <w:color w:val="000000" w:themeColor="text1"/>
          <w:sz w:val="32"/>
          <w:szCs w:val="32"/>
          <w:highlight w:val="none"/>
          <w14:textFill>
            <w14:solidFill>
              <w14:schemeClr w14:val="tx1"/>
            </w14:solidFill>
          </w14:textFill>
        </w:rPr>
      </w:pPr>
    </w:p>
    <w:p>
      <w:pPr>
        <w:tabs>
          <w:tab w:val="left" w:pos="5190"/>
        </w:tabs>
        <w:jc w:val="center"/>
        <w:rPr>
          <w:rFonts w:hint="eastAsia" w:ascii="楷体_GB2312" w:eastAsia="楷体_GB2312"/>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（采购项目编号：</w:t>
      </w:r>
      <w:r>
        <w:rPr>
          <w:rFonts w:hint="eastAsia" w:ascii="宋体" w:hAnsi="宋体" w:cs="宋体"/>
          <w:b/>
          <w:color w:val="000000" w:themeColor="text1"/>
          <w:sz w:val="32"/>
          <w:szCs w:val="32"/>
          <w:highlight w:val="none"/>
          <w:lang w:eastAsia="zh-CN"/>
          <w14:textFill>
            <w14:solidFill>
              <w14:schemeClr w14:val="tx1"/>
            </w14:solidFill>
          </w14:textFill>
        </w:rPr>
        <w:t>SDGP371522000202402000030</w:t>
      </w:r>
      <w:r>
        <w:rPr>
          <w:rFonts w:hint="eastAsia" w:ascii="宋体" w:hAnsi="宋体" w:eastAsia="宋体" w:cs="宋体"/>
          <w:b/>
          <w:color w:val="000000" w:themeColor="text1"/>
          <w:sz w:val="32"/>
          <w:szCs w:val="32"/>
          <w:highlight w:val="none"/>
          <w:lang w:val="en-US" w:eastAsia="zh-CN"/>
          <w14:textFill>
            <w14:solidFill>
              <w14:schemeClr w14:val="tx1"/>
            </w14:solidFill>
          </w14:textFill>
        </w:rPr>
        <w:t>/</w:t>
      </w:r>
      <w:r>
        <w:rPr>
          <w:rFonts w:hint="eastAsia" w:ascii="宋体" w:hAnsi="宋体" w:cs="宋体"/>
          <w:b/>
          <w:color w:val="000000" w:themeColor="text1"/>
          <w:sz w:val="32"/>
          <w:szCs w:val="32"/>
          <w:highlight w:val="none"/>
          <w:lang w:val="en-US" w:eastAsia="zh-CN"/>
          <w14:textFill>
            <w14:solidFill>
              <w14:schemeClr w14:val="tx1"/>
            </w14:solidFill>
          </w14:textFill>
        </w:rPr>
        <w:t>XSXZFCG-2024-029</w:t>
      </w:r>
      <w:r>
        <w:rPr>
          <w:rFonts w:hint="eastAsia" w:ascii="宋体" w:hAnsi="宋体" w:eastAsia="宋体" w:cs="宋体"/>
          <w:b/>
          <w:color w:val="000000" w:themeColor="text1"/>
          <w:sz w:val="32"/>
          <w:szCs w:val="32"/>
          <w:highlight w:val="none"/>
          <w14:textFill>
            <w14:solidFill>
              <w14:schemeClr w14:val="tx1"/>
            </w14:solidFill>
          </w14:textFill>
        </w:rPr>
        <w:t>）</w:t>
      </w:r>
    </w:p>
    <w:p>
      <w:pPr>
        <w:tabs>
          <w:tab w:val="left" w:pos="5190"/>
        </w:tabs>
        <w:jc w:val="center"/>
        <w:rPr>
          <w:rFonts w:hint="eastAsia" w:ascii="楷体_GB2312" w:eastAsia="楷体_GB2312"/>
          <w:b/>
          <w:color w:val="000000" w:themeColor="text1"/>
          <w:sz w:val="32"/>
          <w:szCs w:val="32"/>
          <w:highlight w:val="none"/>
          <w14:textFill>
            <w14:solidFill>
              <w14:schemeClr w14:val="tx1"/>
            </w14:solidFill>
          </w14:textFill>
        </w:rPr>
      </w:pPr>
    </w:p>
    <w:p>
      <w:pPr>
        <w:tabs>
          <w:tab w:val="left" w:pos="5190"/>
        </w:tabs>
        <w:jc w:val="center"/>
        <w:rPr>
          <w:rFonts w:hint="eastAsia" w:ascii="楷体_GB2312" w:eastAsia="楷体_GB2312"/>
          <w:b/>
          <w:color w:val="000000" w:themeColor="text1"/>
          <w:sz w:val="32"/>
          <w:szCs w:val="32"/>
          <w:highlight w:val="none"/>
          <w14:textFill>
            <w14:solidFill>
              <w14:schemeClr w14:val="tx1"/>
            </w14:solidFill>
          </w14:textFill>
        </w:rPr>
      </w:pPr>
    </w:p>
    <w:p>
      <w:pPr>
        <w:tabs>
          <w:tab w:val="left" w:pos="5190"/>
        </w:tabs>
        <w:jc w:val="center"/>
        <w:rPr>
          <w:rFonts w:eastAsia="楷体_GB2312"/>
          <w:b/>
          <w:color w:val="000000" w:themeColor="text1"/>
          <w:sz w:val="30"/>
          <w:szCs w:val="30"/>
          <w:highlight w:val="none"/>
          <w14:textFill>
            <w14:solidFill>
              <w14:schemeClr w14:val="tx1"/>
            </w14:solidFill>
          </w14:textFill>
        </w:rPr>
      </w:pPr>
      <w:r>
        <w:drawing>
          <wp:inline distT="0" distB="0" distL="114300" distR="114300">
            <wp:extent cx="3982085" cy="2647315"/>
            <wp:effectExtent l="0" t="0" r="1841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3982085" cy="2647315"/>
                    </a:xfrm>
                    <a:prstGeom prst="rect">
                      <a:avLst/>
                    </a:prstGeom>
                    <a:noFill/>
                    <a:ln>
                      <a:noFill/>
                    </a:ln>
                  </pic:spPr>
                </pic:pic>
              </a:graphicData>
            </a:graphic>
          </wp:inline>
        </w:drawing>
      </w:r>
    </w:p>
    <w:p>
      <w:pPr>
        <w:adjustRightInd w:val="0"/>
        <w:snapToGrid w:val="0"/>
        <w:jc w:val="center"/>
        <w:rPr>
          <w:rFonts w:eastAsia="楷体_GB2312"/>
          <w:color w:val="000000" w:themeColor="text1"/>
          <w:highlight w:val="none"/>
          <w14:textFill>
            <w14:solidFill>
              <w14:schemeClr w14:val="tx1"/>
            </w14:solidFill>
          </w14:textFill>
        </w:rPr>
      </w:pPr>
    </w:p>
    <w:p>
      <w:pPr>
        <w:adjustRightInd w:val="0"/>
        <w:snapToGrid w:val="0"/>
        <w:spacing w:beforeLines="50" w:line="360" w:lineRule="auto"/>
        <w:ind w:right="424" w:rightChars="202"/>
        <w:jc w:val="left"/>
        <w:rPr>
          <w:rFonts w:hint="eastAsia" w:ascii="宋体" w:hAnsi="宋体" w:cs="宋体"/>
          <w:b/>
          <w:color w:val="000000" w:themeColor="text1"/>
          <w:sz w:val="32"/>
          <w:szCs w:val="32"/>
          <w:highlight w:val="none"/>
          <w:lang w:eastAsia="zh-CN"/>
          <w14:textFill>
            <w14:solidFill>
              <w14:schemeClr w14:val="tx1"/>
            </w14:solidFill>
          </w14:textFill>
        </w:rPr>
      </w:pPr>
    </w:p>
    <w:p>
      <w:pPr>
        <w:adjustRightInd w:val="0"/>
        <w:snapToGrid w:val="0"/>
        <w:spacing w:beforeLines="50" w:line="360" w:lineRule="auto"/>
        <w:ind w:right="424" w:rightChars="202" w:firstLine="2570" w:firstLineChars="800"/>
        <w:jc w:val="left"/>
        <w:rPr>
          <w:rFonts w:hint="eastAsia" w:ascii="宋体" w:hAnsi="宋体" w:eastAsia="宋体" w:cs="宋体"/>
          <w:b/>
          <w:color w:val="000000" w:themeColor="text1"/>
          <w:sz w:val="32"/>
          <w:szCs w:val="32"/>
          <w:highlight w:val="none"/>
          <w:u w:val="single"/>
          <w:lang w:val="en-US" w:eastAsia="zh-CN"/>
          <w14:textFill>
            <w14:solidFill>
              <w14:schemeClr w14:val="tx1"/>
            </w14:solidFill>
          </w14:textFill>
        </w:rPr>
      </w:pPr>
      <w:r>
        <w:rPr>
          <w:rFonts w:hint="eastAsia" w:ascii="宋体" w:hAnsi="宋体" w:cs="宋体"/>
          <w:b/>
          <w:color w:val="000000" w:themeColor="text1"/>
          <w:sz w:val="32"/>
          <w:szCs w:val="32"/>
          <w:highlight w:val="none"/>
          <w:lang w:eastAsia="zh-CN"/>
          <w14:textFill>
            <w14:solidFill>
              <w14:schemeClr w14:val="tx1"/>
            </w14:solidFill>
          </w14:textFill>
        </w:rPr>
        <w:t>招 标 人</w:t>
      </w:r>
      <w:r>
        <w:rPr>
          <w:rFonts w:hint="eastAsia" w:ascii="宋体" w:hAnsi="宋体" w:eastAsia="宋体" w:cs="宋体"/>
          <w:b/>
          <w:color w:val="000000" w:themeColor="text1"/>
          <w:sz w:val="32"/>
          <w:szCs w:val="32"/>
          <w:highlight w:val="none"/>
          <w14:textFill>
            <w14:solidFill>
              <w14:schemeClr w14:val="tx1"/>
            </w14:solidFill>
          </w14:textFill>
        </w:rPr>
        <w:t>：</w:t>
      </w:r>
      <w:r>
        <w:rPr>
          <w:rFonts w:hint="eastAsia" w:ascii="宋体" w:hAnsi="宋体" w:cs="宋体"/>
          <w:b/>
          <w:color w:val="000000" w:themeColor="text1"/>
          <w:sz w:val="32"/>
          <w:szCs w:val="32"/>
          <w:highlight w:val="none"/>
          <w:u w:val="single"/>
          <w:lang w:eastAsia="zh-CN"/>
          <w14:textFill>
            <w14:solidFill>
              <w14:schemeClr w14:val="tx1"/>
            </w14:solidFill>
          </w14:textFill>
        </w:rPr>
        <w:t>莘县综合行政执法局</w:t>
      </w:r>
    </w:p>
    <w:p>
      <w:pPr>
        <w:tabs>
          <w:tab w:val="left" w:pos="6660"/>
        </w:tabs>
        <w:adjustRightInd w:val="0"/>
        <w:snapToGrid w:val="0"/>
        <w:spacing w:line="360" w:lineRule="auto"/>
        <w:ind w:leftChars="300" w:right="1134" w:rightChars="540" w:firstLine="1928" w:firstLineChars="600"/>
        <w:jc w:val="left"/>
        <w:rPr>
          <w:rFonts w:hint="eastAsia" w:ascii="宋体" w:hAnsi="宋体" w:eastAsia="宋体" w:cs="宋体"/>
          <w:b/>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代理机构：</w:t>
      </w:r>
      <w:r>
        <w:rPr>
          <w:rFonts w:hint="eastAsia" w:ascii="宋体" w:hAnsi="宋体" w:cs="宋体"/>
          <w:b/>
          <w:color w:val="000000" w:themeColor="text1"/>
          <w:sz w:val="32"/>
          <w:szCs w:val="32"/>
          <w:highlight w:val="none"/>
          <w:u w:val="single"/>
          <w:lang w:eastAsia="zh-CN"/>
          <w14:textFill>
            <w14:solidFill>
              <w14:schemeClr w14:val="tx1"/>
            </w14:solidFill>
          </w14:textFill>
        </w:rPr>
        <w:t>山东昌润项目管理有限公司</w:t>
      </w:r>
    </w:p>
    <w:p>
      <w:pPr>
        <w:tabs>
          <w:tab w:val="left" w:pos="6660"/>
        </w:tabs>
        <w:adjustRightInd w:val="0"/>
        <w:snapToGrid w:val="0"/>
        <w:spacing w:line="360" w:lineRule="auto"/>
        <w:ind w:leftChars="300" w:right="1134" w:rightChars="540" w:firstLine="1928" w:firstLineChars="600"/>
        <w:jc w:val="left"/>
        <w:rPr>
          <w:rFonts w:ascii="Times New Roman" w:hAnsi="Times New Roman"/>
          <w:b w:val="0"/>
          <w:color w:val="000000" w:themeColor="text1"/>
          <w:sz w:val="36"/>
          <w:szCs w:val="36"/>
          <w:highlight w:val="none"/>
          <w14:textFill>
            <w14:solidFill>
              <w14:schemeClr w14:val="tx1"/>
            </w14:solidFill>
          </w14:textFill>
        </w:rPr>
        <w:sectPr>
          <w:headerReference r:id="rId4" w:type="first"/>
          <w:headerReference r:id="rId3" w:type="default"/>
          <w:footerReference r:id="rId5" w:type="default"/>
          <w:pgSz w:w="11905" w:h="16838"/>
          <w:pgMar w:top="1440" w:right="1083" w:bottom="1440" w:left="1083" w:header="1191" w:footer="1077" w:gutter="0"/>
          <w:cols w:space="0" w:num="1"/>
          <w:titlePg/>
          <w:rtlGutter w:val="0"/>
          <w:docGrid w:linePitch="312" w:charSpace="0"/>
        </w:sectPr>
      </w:pPr>
      <w:r>
        <w:rPr>
          <w:rFonts w:hint="eastAsia" w:ascii="宋体" w:hAnsi="宋体" w:eastAsia="宋体" w:cs="宋体"/>
          <w:b/>
          <w:color w:val="000000" w:themeColor="text1"/>
          <w:sz w:val="32"/>
          <w:szCs w:val="32"/>
          <w:highlight w:val="none"/>
          <w14:textFill>
            <w14:solidFill>
              <w14:schemeClr w14:val="tx1"/>
            </w14:solidFill>
          </w14:textFill>
        </w:rPr>
        <w:t>日    期：</w:t>
      </w:r>
      <w:r>
        <w:rPr>
          <w:rFonts w:hint="eastAsia" w:ascii="宋体" w:hAnsi="宋体" w:eastAsia="宋体" w:cs="宋体"/>
          <w:b/>
          <w:color w:val="000000" w:themeColor="text1"/>
          <w:sz w:val="32"/>
          <w:szCs w:val="32"/>
          <w:highlight w:val="none"/>
          <w:u w:val="single"/>
          <w14:textFill>
            <w14:solidFill>
              <w14:schemeClr w14:val="tx1"/>
            </w14:solidFill>
          </w14:textFill>
        </w:rPr>
        <w:t>二〇二</w:t>
      </w:r>
      <w:r>
        <w:rPr>
          <w:rFonts w:hint="eastAsia" w:ascii="宋体" w:hAnsi="宋体" w:cs="宋体"/>
          <w:b/>
          <w:color w:val="000000" w:themeColor="text1"/>
          <w:sz w:val="32"/>
          <w:szCs w:val="32"/>
          <w:highlight w:val="none"/>
          <w:u w:val="single"/>
          <w:lang w:val="en-US" w:eastAsia="zh-CN"/>
          <w14:textFill>
            <w14:solidFill>
              <w14:schemeClr w14:val="tx1"/>
            </w14:solidFill>
          </w14:textFill>
        </w:rPr>
        <w:t>四</w:t>
      </w:r>
      <w:r>
        <w:rPr>
          <w:rFonts w:hint="eastAsia" w:ascii="宋体" w:hAnsi="宋体" w:eastAsia="宋体" w:cs="宋体"/>
          <w:b/>
          <w:color w:val="000000" w:themeColor="text1"/>
          <w:sz w:val="32"/>
          <w:szCs w:val="32"/>
          <w:highlight w:val="none"/>
          <w:u w:val="single"/>
          <w14:textFill>
            <w14:solidFill>
              <w14:schemeClr w14:val="tx1"/>
            </w14:solidFill>
          </w14:textFill>
        </w:rPr>
        <w:t>年</w:t>
      </w:r>
      <w:r>
        <w:rPr>
          <w:rFonts w:hint="eastAsia" w:ascii="宋体" w:hAnsi="宋体" w:cs="宋体"/>
          <w:b/>
          <w:color w:val="000000" w:themeColor="text1"/>
          <w:sz w:val="32"/>
          <w:szCs w:val="32"/>
          <w:highlight w:val="none"/>
          <w:u w:val="single"/>
          <w:lang w:val="en-US" w:eastAsia="zh-CN"/>
          <w14:textFill>
            <w14:solidFill>
              <w14:schemeClr w14:val="tx1"/>
            </w14:solidFill>
          </w14:textFill>
        </w:rPr>
        <w:t>四</w:t>
      </w:r>
      <w:r>
        <w:rPr>
          <w:rFonts w:hint="eastAsia" w:ascii="宋体" w:hAnsi="宋体" w:eastAsia="宋体" w:cs="宋体"/>
          <w:b/>
          <w:color w:val="000000" w:themeColor="text1"/>
          <w:sz w:val="32"/>
          <w:szCs w:val="32"/>
          <w:highlight w:val="none"/>
          <w:u w:val="single"/>
          <w14:textFill>
            <w14:solidFill>
              <w14:schemeClr w14:val="tx1"/>
            </w14:solidFill>
          </w14:textFill>
        </w:rPr>
        <w:t>月</w:t>
      </w:r>
    </w:p>
    <w:p>
      <w:pPr>
        <w:rPr>
          <w:highlight w:val="none"/>
        </w:rPr>
      </w:pPr>
    </w:p>
    <w:p>
      <w:pPr>
        <w:pStyle w:val="51"/>
        <w:spacing w:after="0" w:line="700" w:lineRule="exact"/>
        <w:ind w:left="0" w:leftChars="0" w:firstLine="0" w:firstLineChars="0"/>
        <w:jc w:val="center"/>
        <w:textAlignment w:val="center"/>
        <w:rPr>
          <w:b w:val="0"/>
          <w:color w:val="000000" w:themeColor="text1"/>
          <w:sz w:val="32"/>
          <w:szCs w:val="28"/>
          <w:highlight w:val="none"/>
          <w14:textFill>
            <w14:solidFill>
              <w14:schemeClr w14:val="tx1"/>
            </w14:solidFill>
          </w14:textFill>
        </w:rPr>
      </w:pPr>
      <w:r>
        <w:rPr>
          <w:rFonts w:ascii="Times New Roman" w:hAnsi="Times New Roman"/>
          <w:color w:val="000000" w:themeColor="text1"/>
          <w:sz w:val="52"/>
          <w:szCs w:val="52"/>
          <w:highlight w:val="none"/>
          <w14:textFill>
            <w14:solidFill>
              <w14:schemeClr w14:val="tx1"/>
            </w14:solidFill>
          </w14:textFill>
        </w:rPr>
        <w:t>目录</w:t>
      </w:r>
    </w:p>
    <w:p>
      <w:pPr>
        <w:pStyle w:val="51"/>
        <w:tabs>
          <w:tab w:val="right" w:leader="dot" w:pos="9184"/>
          <w:tab w:val="clear" w:pos="9060"/>
        </w:tabs>
        <w:spacing w:line="360" w:lineRule="auto"/>
        <w:ind w:left="0" w:leftChars="0" w:firstLine="0" w:firstLineChars="0"/>
        <w:jc w:val="both"/>
        <w:rPr>
          <w:highlight w:val="none"/>
        </w:rPr>
      </w:pPr>
      <w:r>
        <w:rPr>
          <w:b w:val="0"/>
          <w:color w:val="000000" w:themeColor="text1"/>
          <w:highlight w:val="none"/>
          <w14:textFill>
            <w14:solidFill>
              <w14:schemeClr w14:val="tx1"/>
            </w14:solidFill>
          </w14:textFill>
        </w:rPr>
        <w:fldChar w:fldCharType="begin"/>
      </w:r>
      <w:r>
        <w:rPr>
          <w:b w:val="0"/>
          <w:color w:val="000000" w:themeColor="text1"/>
          <w:highlight w:val="none"/>
          <w14:textFill>
            <w14:solidFill>
              <w14:schemeClr w14:val="tx1"/>
            </w14:solidFill>
          </w14:textFill>
        </w:rPr>
        <w:instrText xml:space="preserve"> TOC \o "1-2" \h \z \u </w:instrText>
      </w:r>
      <w:r>
        <w:rPr>
          <w:b w:val="0"/>
          <w:color w:val="000000" w:themeColor="text1"/>
          <w:highlight w:val="none"/>
          <w14:textFill>
            <w14:solidFill>
              <w14:schemeClr w14:val="tx1"/>
            </w14:solidFill>
          </w14:textFill>
        </w:rPr>
        <w:fldChar w:fldCharType="separate"/>
      </w:r>
    </w:p>
    <w:p>
      <w:pPr>
        <w:pStyle w:val="3"/>
        <w:tabs>
          <w:tab w:val="right" w:leader="dot" w:pos="8640"/>
        </w:tabs>
        <w:spacing w:before="0" w:after="0" w:line="600" w:lineRule="exact"/>
        <w:jc w:val="center"/>
        <w:textAlignment w:val="center"/>
        <w:outlineLvl w:val="9"/>
        <w:rPr>
          <w:rFonts w:ascii="宋体" w:hAnsi="宋体"/>
          <w:b w:val="0"/>
          <w:color w:val="000000" w:themeColor="text1"/>
          <w:szCs w:val="24"/>
          <w:highlight w:val="none"/>
          <w14:textFill>
            <w14:solidFill>
              <w14:schemeClr w14:val="tx1"/>
            </w14:solidFill>
          </w14:textFill>
        </w:rPr>
      </w:pPr>
      <w:r>
        <w:rPr>
          <w:rFonts w:ascii="宋体" w:hAnsi="宋体"/>
          <w:b w:val="0"/>
          <w:color w:val="000000" w:themeColor="text1"/>
          <w:szCs w:val="24"/>
          <w:highlight w:val="none"/>
          <w14:textFill>
            <w14:solidFill>
              <w14:schemeClr w14:val="tx1"/>
            </w14:solidFill>
          </w14:textFill>
        </w:rPr>
        <w:fldChar w:fldCharType="end"/>
      </w:r>
      <w:bookmarkStart w:id="0" w:name="_Toc353257255"/>
      <w:bookmarkStart w:id="1" w:name="_Toc24525"/>
    </w:p>
    <w:sdt>
      <w:sdtPr>
        <w:rPr>
          <w:rFonts w:ascii="宋体" w:hAnsi="宋体" w:eastAsia="宋体" w:cs="Times New Roman"/>
          <w:kern w:val="2"/>
          <w:sz w:val="36"/>
          <w:szCs w:val="36"/>
          <w:highlight w:val="none"/>
          <w:lang w:val="en-US" w:eastAsia="zh-CN" w:bidi="ar-SA"/>
        </w:rPr>
        <w:id w:val="147483372"/>
        <w15:color w:val="DBDBDB"/>
        <w:docPartObj>
          <w:docPartGallery w:val="Table of Contents"/>
          <w:docPartUnique/>
        </w:docPartObj>
      </w:sdtPr>
      <w:sdtEndPr>
        <w:rPr>
          <w:rFonts w:ascii="宋体" w:hAnsi="宋体" w:eastAsia="宋体" w:cs="Times New Roman"/>
          <w:kern w:val="2"/>
          <w:sz w:val="36"/>
          <w:szCs w:val="36"/>
          <w:highlight w:val="none"/>
          <w:lang w:val="en-US" w:eastAsia="zh-CN" w:bidi="ar-SA"/>
        </w:rPr>
      </w:sdtEndPr>
      <w:sdtContent>
        <w:p>
          <w:pPr>
            <w:spacing w:before="0" w:beforeLines="0" w:after="0" w:afterLines="0" w:line="240" w:lineRule="auto"/>
            <w:ind w:left="0" w:leftChars="0" w:right="0" w:rightChars="0" w:firstLine="0" w:firstLineChars="0"/>
            <w:jc w:val="center"/>
            <w:rPr>
              <w:sz w:val="36"/>
              <w:szCs w:val="36"/>
              <w:highlight w:val="none"/>
            </w:rPr>
          </w:pPr>
        </w:p>
        <w:p>
          <w:pPr>
            <w:pStyle w:val="712"/>
            <w:tabs>
              <w:tab w:val="right" w:leader="dot" w:pos="9718"/>
            </w:tabs>
            <w:spacing w:line="480" w:lineRule="auto"/>
            <w:rPr>
              <w:sz w:val="30"/>
              <w:szCs w:val="30"/>
              <w:highlight w:val="none"/>
            </w:rPr>
          </w:pPr>
          <w:r>
            <w:rPr>
              <w:highlight w:val="none"/>
            </w:rPr>
            <w:fldChar w:fldCharType="begin"/>
          </w:r>
          <w:r>
            <w:rPr>
              <w:highlight w:val="none"/>
            </w:rPr>
            <w:instrText xml:space="preserve">TOC \o "1-1" \h \u </w:instrText>
          </w:r>
          <w:r>
            <w:rPr>
              <w:highlight w:val="none"/>
            </w:rPr>
            <w:fldChar w:fldCharType="separate"/>
          </w:r>
          <w:r>
            <w:rPr>
              <w:sz w:val="30"/>
              <w:szCs w:val="30"/>
              <w:highlight w:val="none"/>
            </w:rPr>
            <w:fldChar w:fldCharType="begin"/>
          </w:r>
          <w:r>
            <w:rPr>
              <w:sz w:val="30"/>
              <w:szCs w:val="30"/>
              <w:highlight w:val="none"/>
            </w:rPr>
            <w:instrText xml:space="preserve"> HYPERLINK \l _Toc16602 </w:instrText>
          </w:r>
          <w:r>
            <w:rPr>
              <w:sz w:val="30"/>
              <w:szCs w:val="30"/>
              <w:highlight w:val="none"/>
            </w:rPr>
            <w:fldChar w:fldCharType="separate"/>
          </w:r>
          <w:r>
            <w:rPr>
              <w:sz w:val="30"/>
              <w:szCs w:val="30"/>
              <w:highlight w:val="none"/>
            </w:rPr>
            <w:t>第一部分</w:t>
          </w:r>
          <w:r>
            <w:rPr>
              <w:rFonts w:hint="eastAsia"/>
              <w:sz w:val="30"/>
              <w:szCs w:val="30"/>
              <w:highlight w:val="none"/>
              <w:lang w:val="en-US" w:eastAsia="zh-CN"/>
            </w:rPr>
            <w:t xml:space="preserve">  </w:t>
          </w:r>
          <w:r>
            <w:rPr>
              <w:sz w:val="30"/>
              <w:szCs w:val="30"/>
              <w:highlight w:val="none"/>
            </w:rPr>
            <w:t>招标公告</w:t>
          </w:r>
          <w:r>
            <w:rPr>
              <w:sz w:val="30"/>
              <w:szCs w:val="30"/>
              <w:highlight w:val="none"/>
            </w:rPr>
            <w:tab/>
          </w:r>
          <w:r>
            <w:rPr>
              <w:sz w:val="30"/>
              <w:szCs w:val="30"/>
              <w:highlight w:val="none"/>
            </w:rPr>
            <w:fldChar w:fldCharType="begin"/>
          </w:r>
          <w:r>
            <w:rPr>
              <w:sz w:val="30"/>
              <w:szCs w:val="30"/>
              <w:highlight w:val="none"/>
            </w:rPr>
            <w:instrText xml:space="preserve"> PAGEREF _Toc16602 </w:instrText>
          </w:r>
          <w:r>
            <w:rPr>
              <w:sz w:val="30"/>
              <w:szCs w:val="30"/>
              <w:highlight w:val="none"/>
            </w:rPr>
            <w:fldChar w:fldCharType="separate"/>
          </w:r>
          <w:r>
            <w:rPr>
              <w:sz w:val="30"/>
              <w:szCs w:val="30"/>
              <w:highlight w:val="none"/>
            </w:rPr>
            <w:t>2</w:t>
          </w:r>
          <w:r>
            <w:rPr>
              <w:sz w:val="30"/>
              <w:szCs w:val="30"/>
              <w:highlight w:val="none"/>
            </w:rPr>
            <w:fldChar w:fldCharType="end"/>
          </w:r>
          <w:r>
            <w:rPr>
              <w:sz w:val="30"/>
              <w:szCs w:val="30"/>
              <w:highlight w:val="none"/>
            </w:rPr>
            <w:fldChar w:fldCharType="end"/>
          </w:r>
        </w:p>
        <w:p>
          <w:pPr>
            <w:pStyle w:val="712"/>
            <w:tabs>
              <w:tab w:val="right" w:leader="dot" w:pos="9718"/>
            </w:tabs>
            <w:spacing w:line="480" w:lineRule="auto"/>
            <w:rPr>
              <w:sz w:val="30"/>
              <w:szCs w:val="30"/>
              <w:highlight w:val="none"/>
            </w:rPr>
          </w:pPr>
          <w:r>
            <w:rPr>
              <w:sz w:val="30"/>
              <w:szCs w:val="30"/>
              <w:highlight w:val="none"/>
            </w:rPr>
            <w:fldChar w:fldCharType="begin"/>
          </w:r>
          <w:r>
            <w:rPr>
              <w:sz w:val="30"/>
              <w:szCs w:val="30"/>
              <w:highlight w:val="none"/>
            </w:rPr>
            <w:instrText xml:space="preserve"> HYPERLINK \l _Toc3399 </w:instrText>
          </w:r>
          <w:r>
            <w:rPr>
              <w:sz w:val="30"/>
              <w:szCs w:val="30"/>
              <w:highlight w:val="none"/>
            </w:rPr>
            <w:fldChar w:fldCharType="separate"/>
          </w:r>
          <w:r>
            <w:rPr>
              <w:sz w:val="30"/>
              <w:szCs w:val="30"/>
              <w:highlight w:val="none"/>
            </w:rPr>
            <w:t>第二部分  投标人须知</w:t>
          </w:r>
          <w:r>
            <w:rPr>
              <w:sz w:val="30"/>
              <w:szCs w:val="30"/>
              <w:highlight w:val="none"/>
            </w:rPr>
            <w:tab/>
          </w:r>
          <w:r>
            <w:rPr>
              <w:rFonts w:hint="eastAsia"/>
              <w:sz w:val="30"/>
              <w:szCs w:val="30"/>
              <w:highlight w:val="none"/>
              <w:lang w:val="en-US" w:eastAsia="zh-CN"/>
            </w:rPr>
            <w:t>6</w:t>
          </w:r>
          <w:r>
            <w:rPr>
              <w:sz w:val="30"/>
              <w:szCs w:val="30"/>
              <w:highlight w:val="none"/>
            </w:rPr>
            <w:fldChar w:fldCharType="end"/>
          </w:r>
        </w:p>
        <w:p>
          <w:pPr>
            <w:pStyle w:val="712"/>
            <w:tabs>
              <w:tab w:val="right" w:leader="dot" w:pos="9718"/>
            </w:tabs>
            <w:spacing w:line="480" w:lineRule="auto"/>
            <w:rPr>
              <w:sz w:val="30"/>
              <w:szCs w:val="30"/>
              <w:highlight w:val="none"/>
            </w:rPr>
          </w:pPr>
          <w:r>
            <w:rPr>
              <w:sz w:val="30"/>
              <w:szCs w:val="30"/>
              <w:highlight w:val="none"/>
            </w:rPr>
            <w:fldChar w:fldCharType="begin"/>
          </w:r>
          <w:r>
            <w:rPr>
              <w:sz w:val="30"/>
              <w:szCs w:val="30"/>
              <w:highlight w:val="none"/>
            </w:rPr>
            <w:instrText xml:space="preserve"> HYPERLINK \l _Toc28331 </w:instrText>
          </w:r>
          <w:r>
            <w:rPr>
              <w:sz w:val="30"/>
              <w:szCs w:val="30"/>
              <w:highlight w:val="none"/>
            </w:rPr>
            <w:fldChar w:fldCharType="separate"/>
          </w:r>
          <w:r>
            <w:rPr>
              <w:sz w:val="30"/>
              <w:szCs w:val="30"/>
              <w:highlight w:val="none"/>
            </w:rPr>
            <w:t>第三部分  项目说明</w:t>
          </w:r>
          <w:r>
            <w:rPr>
              <w:sz w:val="30"/>
              <w:szCs w:val="30"/>
              <w:highlight w:val="none"/>
            </w:rPr>
            <w:tab/>
          </w:r>
          <w:r>
            <w:rPr>
              <w:sz w:val="30"/>
              <w:szCs w:val="30"/>
              <w:highlight w:val="none"/>
            </w:rPr>
            <w:fldChar w:fldCharType="begin"/>
          </w:r>
          <w:r>
            <w:rPr>
              <w:sz w:val="30"/>
              <w:szCs w:val="30"/>
              <w:highlight w:val="none"/>
            </w:rPr>
            <w:instrText xml:space="preserve"> PAGEREF _Toc28331 </w:instrText>
          </w:r>
          <w:r>
            <w:rPr>
              <w:sz w:val="30"/>
              <w:szCs w:val="30"/>
              <w:highlight w:val="none"/>
            </w:rPr>
            <w:fldChar w:fldCharType="separate"/>
          </w:r>
          <w:r>
            <w:rPr>
              <w:sz w:val="30"/>
              <w:szCs w:val="30"/>
              <w:highlight w:val="none"/>
            </w:rPr>
            <w:t>21</w:t>
          </w:r>
          <w:r>
            <w:rPr>
              <w:sz w:val="30"/>
              <w:szCs w:val="30"/>
              <w:highlight w:val="none"/>
            </w:rPr>
            <w:fldChar w:fldCharType="end"/>
          </w:r>
          <w:r>
            <w:rPr>
              <w:sz w:val="30"/>
              <w:szCs w:val="30"/>
              <w:highlight w:val="none"/>
            </w:rPr>
            <w:fldChar w:fldCharType="end"/>
          </w:r>
        </w:p>
        <w:p>
          <w:pPr>
            <w:pStyle w:val="712"/>
            <w:tabs>
              <w:tab w:val="right" w:leader="dot" w:pos="9718"/>
            </w:tabs>
            <w:spacing w:line="480" w:lineRule="auto"/>
            <w:rPr>
              <w:sz w:val="30"/>
              <w:szCs w:val="30"/>
              <w:highlight w:val="none"/>
            </w:rPr>
          </w:pPr>
          <w:r>
            <w:rPr>
              <w:sz w:val="30"/>
              <w:szCs w:val="30"/>
              <w:highlight w:val="none"/>
            </w:rPr>
            <w:fldChar w:fldCharType="begin"/>
          </w:r>
          <w:r>
            <w:rPr>
              <w:sz w:val="30"/>
              <w:szCs w:val="30"/>
              <w:highlight w:val="none"/>
            </w:rPr>
            <w:instrText xml:space="preserve"> HYPERLINK \l _Toc4256 </w:instrText>
          </w:r>
          <w:r>
            <w:rPr>
              <w:sz w:val="30"/>
              <w:szCs w:val="30"/>
              <w:highlight w:val="none"/>
            </w:rPr>
            <w:fldChar w:fldCharType="separate"/>
          </w:r>
          <w:r>
            <w:rPr>
              <w:sz w:val="30"/>
              <w:szCs w:val="30"/>
              <w:highlight w:val="none"/>
            </w:rPr>
            <w:t>第四部分  开标、评标、定标</w:t>
          </w:r>
          <w:r>
            <w:rPr>
              <w:sz w:val="30"/>
              <w:szCs w:val="30"/>
              <w:highlight w:val="none"/>
            </w:rPr>
            <w:tab/>
          </w:r>
          <w:r>
            <w:rPr>
              <w:sz w:val="30"/>
              <w:szCs w:val="30"/>
              <w:highlight w:val="none"/>
            </w:rPr>
            <w:fldChar w:fldCharType="begin"/>
          </w:r>
          <w:r>
            <w:rPr>
              <w:sz w:val="30"/>
              <w:szCs w:val="30"/>
              <w:highlight w:val="none"/>
            </w:rPr>
            <w:instrText xml:space="preserve"> PAGEREF _Toc4256 </w:instrText>
          </w:r>
          <w:r>
            <w:rPr>
              <w:sz w:val="30"/>
              <w:szCs w:val="30"/>
              <w:highlight w:val="none"/>
            </w:rPr>
            <w:fldChar w:fldCharType="separate"/>
          </w:r>
          <w:r>
            <w:rPr>
              <w:sz w:val="30"/>
              <w:szCs w:val="30"/>
              <w:highlight w:val="none"/>
            </w:rPr>
            <w:t>24</w:t>
          </w:r>
          <w:r>
            <w:rPr>
              <w:sz w:val="30"/>
              <w:szCs w:val="30"/>
              <w:highlight w:val="none"/>
            </w:rPr>
            <w:fldChar w:fldCharType="end"/>
          </w:r>
          <w:r>
            <w:rPr>
              <w:sz w:val="30"/>
              <w:szCs w:val="30"/>
              <w:highlight w:val="none"/>
            </w:rPr>
            <w:fldChar w:fldCharType="end"/>
          </w:r>
        </w:p>
        <w:p>
          <w:pPr>
            <w:pStyle w:val="712"/>
            <w:tabs>
              <w:tab w:val="right" w:leader="dot" w:pos="9718"/>
            </w:tabs>
            <w:spacing w:line="480" w:lineRule="auto"/>
            <w:rPr>
              <w:rFonts w:hint="eastAsia" w:eastAsia="宋体"/>
              <w:sz w:val="30"/>
              <w:szCs w:val="30"/>
              <w:highlight w:val="none"/>
              <w:lang w:val="en-US" w:eastAsia="zh-CN"/>
            </w:rPr>
          </w:pPr>
          <w:r>
            <w:rPr>
              <w:sz w:val="30"/>
              <w:szCs w:val="30"/>
              <w:highlight w:val="none"/>
            </w:rPr>
            <w:fldChar w:fldCharType="begin"/>
          </w:r>
          <w:r>
            <w:rPr>
              <w:sz w:val="30"/>
              <w:szCs w:val="30"/>
              <w:highlight w:val="none"/>
            </w:rPr>
            <w:instrText xml:space="preserve"> HYPERLINK \l _Toc22919 </w:instrText>
          </w:r>
          <w:r>
            <w:rPr>
              <w:sz w:val="30"/>
              <w:szCs w:val="30"/>
              <w:highlight w:val="none"/>
            </w:rPr>
            <w:fldChar w:fldCharType="separate"/>
          </w:r>
          <w:r>
            <w:rPr>
              <w:sz w:val="30"/>
              <w:szCs w:val="30"/>
              <w:highlight w:val="none"/>
            </w:rPr>
            <w:t>第五部分  合同格式</w:t>
          </w:r>
          <w:r>
            <w:rPr>
              <w:sz w:val="30"/>
              <w:szCs w:val="30"/>
              <w:highlight w:val="none"/>
            </w:rPr>
            <w:tab/>
          </w:r>
          <w:r>
            <w:rPr>
              <w:rFonts w:hint="eastAsia"/>
              <w:sz w:val="30"/>
              <w:szCs w:val="30"/>
              <w:highlight w:val="none"/>
              <w:lang w:val="en-US" w:eastAsia="zh-CN"/>
            </w:rPr>
            <w:t>3</w:t>
          </w:r>
          <w:r>
            <w:rPr>
              <w:sz w:val="30"/>
              <w:szCs w:val="30"/>
              <w:highlight w:val="none"/>
            </w:rPr>
            <w:fldChar w:fldCharType="end"/>
          </w:r>
          <w:r>
            <w:rPr>
              <w:rFonts w:hint="eastAsia"/>
              <w:sz w:val="30"/>
              <w:szCs w:val="30"/>
              <w:highlight w:val="none"/>
              <w:lang w:val="en-US" w:eastAsia="zh-CN"/>
            </w:rPr>
            <w:t>5</w:t>
          </w:r>
        </w:p>
        <w:p>
          <w:pPr>
            <w:pStyle w:val="712"/>
            <w:tabs>
              <w:tab w:val="right" w:leader="dot" w:pos="9718"/>
            </w:tabs>
            <w:spacing w:line="480" w:lineRule="auto"/>
            <w:rPr>
              <w:rFonts w:hint="eastAsia" w:eastAsia="宋体"/>
              <w:sz w:val="30"/>
              <w:szCs w:val="30"/>
              <w:highlight w:val="none"/>
              <w:lang w:val="en-US" w:eastAsia="zh-CN"/>
            </w:rPr>
          </w:pPr>
          <w:r>
            <w:rPr>
              <w:sz w:val="30"/>
              <w:szCs w:val="30"/>
              <w:highlight w:val="none"/>
            </w:rPr>
            <w:fldChar w:fldCharType="begin"/>
          </w:r>
          <w:r>
            <w:rPr>
              <w:sz w:val="30"/>
              <w:szCs w:val="30"/>
              <w:highlight w:val="none"/>
            </w:rPr>
            <w:instrText xml:space="preserve"> HYPERLINK \l _Toc21421 </w:instrText>
          </w:r>
          <w:r>
            <w:rPr>
              <w:sz w:val="30"/>
              <w:szCs w:val="30"/>
              <w:highlight w:val="none"/>
            </w:rPr>
            <w:fldChar w:fldCharType="separate"/>
          </w:r>
          <w:r>
            <w:rPr>
              <w:sz w:val="30"/>
              <w:szCs w:val="30"/>
              <w:highlight w:val="none"/>
            </w:rPr>
            <w:t>第六部分  投标书格式</w:t>
          </w:r>
          <w:r>
            <w:rPr>
              <w:sz w:val="30"/>
              <w:szCs w:val="30"/>
              <w:highlight w:val="none"/>
            </w:rPr>
            <w:tab/>
          </w:r>
          <w:r>
            <w:rPr>
              <w:rFonts w:hint="eastAsia"/>
              <w:sz w:val="30"/>
              <w:szCs w:val="30"/>
              <w:highlight w:val="none"/>
              <w:lang w:val="en-US" w:eastAsia="zh-CN"/>
            </w:rPr>
            <w:t>4</w:t>
          </w:r>
          <w:r>
            <w:rPr>
              <w:sz w:val="30"/>
              <w:szCs w:val="30"/>
              <w:highlight w:val="none"/>
            </w:rPr>
            <w:fldChar w:fldCharType="end"/>
          </w:r>
          <w:r>
            <w:rPr>
              <w:rFonts w:hint="eastAsia"/>
              <w:sz w:val="30"/>
              <w:szCs w:val="30"/>
              <w:highlight w:val="none"/>
              <w:lang w:val="en-US" w:eastAsia="zh-CN"/>
            </w:rPr>
            <w:t>0</w:t>
          </w:r>
        </w:p>
        <w:p>
          <w:pPr>
            <w:pStyle w:val="712"/>
            <w:tabs>
              <w:tab w:val="right" w:leader="dot" w:pos="9718"/>
            </w:tabs>
            <w:spacing w:line="480" w:lineRule="auto"/>
            <w:rPr>
              <w:rFonts w:hint="eastAsia" w:eastAsia="宋体"/>
              <w:highlight w:val="none"/>
              <w:lang w:val="en-US" w:eastAsia="zh-CN"/>
            </w:rPr>
          </w:pPr>
          <w:r>
            <w:rPr>
              <w:sz w:val="30"/>
              <w:szCs w:val="30"/>
              <w:highlight w:val="none"/>
            </w:rPr>
            <w:fldChar w:fldCharType="begin"/>
          </w:r>
          <w:r>
            <w:rPr>
              <w:sz w:val="30"/>
              <w:szCs w:val="30"/>
              <w:highlight w:val="none"/>
            </w:rPr>
            <w:instrText xml:space="preserve"> HYPERLINK \l _Toc31789 </w:instrText>
          </w:r>
          <w:r>
            <w:rPr>
              <w:sz w:val="30"/>
              <w:szCs w:val="30"/>
              <w:highlight w:val="none"/>
            </w:rPr>
            <w:fldChar w:fldCharType="separate"/>
          </w:r>
          <w:r>
            <w:rPr>
              <w:rFonts w:ascii="Times New Roman" w:hAnsi="Times New Roman" w:eastAsia="宋体" w:cs="Times New Roman"/>
              <w:sz w:val="30"/>
              <w:szCs w:val="30"/>
              <w:highlight w:val="none"/>
            </w:rPr>
            <w:t>操作手册</w:t>
          </w:r>
          <w:r>
            <w:rPr>
              <w:sz w:val="30"/>
              <w:szCs w:val="30"/>
              <w:highlight w:val="none"/>
            </w:rPr>
            <w:tab/>
          </w:r>
          <w:r>
            <w:rPr>
              <w:rFonts w:hint="eastAsia"/>
              <w:sz w:val="30"/>
              <w:szCs w:val="30"/>
              <w:highlight w:val="none"/>
              <w:lang w:val="en-US" w:eastAsia="zh-CN"/>
            </w:rPr>
            <w:t>8</w:t>
          </w:r>
          <w:r>
            <w:rPr>
              <w:sz w:val="30"/>
              <w:szCs w:val="30"/>
              <w:highlight w:val="none"/>
            </w:rPr>
            <w:fldChar w:fldCharType="end"/>
          </w:r>
          <w:r>
            <w:rPr>
              <w:rFonts w:hint="eastAsia"/>
              <w:sz w:val="30"/>
              <w:szCs w:val="30"/>
              <w:highlight w:val="none"/>
              <w:lang w:val="en-US" w:eastAsia="zh-CN"/>
            </w:rPr>
            <w:t>9</w:t>
          </w:r>
        </w:p>
        <w:p>
          <w:pPr>
            <w:pStyle w:val="712"/>
            <w:tabs>
              <w:tab w:val="right" w:leader="dot" w:pos="9718"/>
            </w:tabs>
            <w:rPr>
              <w:highlight w:val="none"/>
            </w:rPr>
          </w:pPr>
        </w:p>
        <w:p>
          <w:pPr>
            <w:rPr>
              <w:rFonts w:ascii="宋体" w:hAnsi="宋体" w:eastAsia="宋体" w:cs="Times New Roman"/>
              <w:kern w:val="2"/>
              <w:sz w:val="36"/>
              <w:szCs w:val="36"/>
              <w:highlight w:val="none"/>
              <w:lang w:val="en-US" w:eastAsia="zh-CN" w:bidi="ar-SA"/>
            </w:rPr>
          </w:pPr>
          <w:r>
            <w:rPr>
              <w:highlight w:val="none"/>
            </w:rPr>
            <w:fldChar w:fldCharType="end"/>
          </w:r>
        </w:p>
      </w:sdtContent>
    </w:sdt>
    <w:p>
      <w:pPr>
        <w:bidi w:val="0"/>
        <w:rPr>
          <w:rFonts w:ascii="Times New Roman" w:hAnsi="Times New Roman" w:eastAsia="宋体" w:cs="Times New Roman"/>
          <w:kern w:val="2"/>
          <w:sz w:val="21"/>
          <w:highlight w:val="none"/>
          <w:lang w:val="en-US" w:eastAsia="zh-CN" w:bidi="ar-SA"/>
        </w:rPr>
      </w:pPr>
    </w:p>
    <w:p>
      <w:pPr>
        <w:bidi w:val="0"/>
        <w:rPr>
          <w:highlight w:val="none"/>
          <w:lang w:val="en-US" w:eastAsia="zh-CN"/>
        </w:rPr>
      </w:pPr>
    </w:p>
    <w:p>
      <w:pPr>
        <w:bidi w:val="0"/>
        <w:rPr>
          <w:highlight w:val="none"/>
          <w:lang w:val="en-US" w:eastAsia="zh-CN"/>
        </w:rPr>
      </w:pPr>
    </w:p>
    <w:p>
      <w:pPr>
        <w:bidi w:val="0"/>
        <w:rPr>
          <w:highlight w:val="none"/>
          <w:lang w:val="en-US" w:eastAsia="zh-CN"/>
        </w:rPr>
      </w:pPr>
    </w:p>
    <w:p>
      <w:pPr>
        <w:bidi w:val="0"/>
        <w:rPr>
          <w:highlight w:val="none"/>
          <w:lang w:val="en-US" w:eastAsia="zh-CN"/>
        </w:rPr>
      </w:pPr>
    </w:p>
    <w:p>
      <w:pPr>
        <w:bidi w:val="0"/>
        <w:rPr>
          <w:highlight w:val="none"/>
          <w:lang w:val="en-US" w:eastAsia="zh-CN"/>
        </w:rPr>
      </w:pPr>
    </w:p>
    <w:p>
      <w:pPr>
        <w:bidi w:val="0"/>
        <w:rPr>
          <w:highlight w:val="none"/>
          <w:lang w:val="en-US" w:eastAsia="zh-CN"/>
        </w:rPr>
      </w:pPr>
    </w:p>
    <w:p>
      <w:pPr>
        <w:bidi w:val="0"/>
        <w:rPr>
          <w:highlight w:val="none"/>
          <w:lang w:val="en-US" w:eastAsia="zh-CN"/>
        </w:rPr>
      </w:pPr>
    </w:p>
    <w:p>
      <w:pPr>
        <w:bidi w:val="0"/>
        <w:rPr>
          <w:highlight w:val="none"/>
          <w:lang w:val="en-US" w:eastAsia="zh-CN"/>
        </w:rPr>
      </w:pPr>
    </w:p>
    <w:p>
      <w:pPr>
        <w:tabs>
          <w:tab w:val="left" w:pos="3994"/>
        </w:tabs>
        <w:bidi w:val="0"/>
        <w:jc w:val="left"/>
        <w:rPr>
          <w:highlight w:val="none"/>
          <w:lang w:val="en-US" w:eastAsia="zh-CN"/>
        </w:rPr>
        <w:sectPr>
          <w:headerReference r:id="rId6" w:type="first"/>
          <w:footerReference r:id="rId8" w:type="first"/>
          <w:footerReference r:id="rId7" w:type="default"/>
          <w:pgSz w:w="11905" w:h="16838"/>
          <w:pgMar w:top="1440" w:right="1083" w:bottom="1440" w:left="1083" w:header="1191" w:footer="1077" w:gutter="0"/>
          <w:pgNumType w:fmt="decimal" w:start="1"/>
          <w:cols w:space="0" w:num="1"/>
          <w:titlePg/>
          <w:rtlGutter w:val="0"/>
          <w:docGrid w:linePitch="312" w:charSpace="0"/>
        </w:sectPr>
      </w:pPr>
      <w:r>
        <w:rPr>
          <w:rFonts w:hint="eastAsia"/>
          <w:highlight w:val="none"/>
          <w:lang w:val="en-US" w:eastAsia="zh-CN"/>
        </w:rPr>
        <w:tab/>
      </w:r>
    </w:p>
    <w:p>
      <w:pPr>
        <w:pStyle w:val="3"/>
        <w:tabs>
          <w:tab w:val="right" w:leader="dot" w:pos="8640"/>
        </w:tabs>
        <w:spacing w:before="0" w:after="0" w:line="600" w:lineRule="exact"/>
        <w:jc w:val="center"/>
        <w:textAlignment w:val="center"/>
        <w:outlineLvl w:val="9"/>
        <w:rPr>
          <w:b/>
          <w:color w:val="000000" w:themeColor="text1"/>
          <w:sz w:val="36"/>
          <w:szCs w:val="36"/>
          <w:highlight w:val="none"/>
          <w14:textFill>
            <w14:solidFill>
              <w14:schemeClr w14:val="tx1"/>
            </w14:solidFill>
          </w14:textFill>
        </w:rPr>
      </w:pPr>
      <w:bookmarkStart w:id="2" w:name="_Toc16602"/>
      <w:r>
        <w:rPr>
          <w:b/>
          <w:color w:val="000000" w:themeColor="text1"/>
          <w:sz w:val="36"/>
          <w:szCs w:val="36"/>
          <w:highlight w:val="none"/>
          <w14:textFill>
            <w14:solidFill>
              <w14:schemeClr w14:val="tx1"/>
            </w14:solidFill>
          </w14:textFill>
        </w:rPr>
        <w:t>第一部分</w:t>
      </w:r>
      <w:bookmarkEnd w:id="0"/>
      <w:r>
        <w:rPr>
          <w:b/>
          <w:color w:val="000000" w:themeColor="text1"/>
          <w:sz w:val="36"/>
          <w:szCs w:val="36"/>
          <w:highlight w:val="none"/>
          <w14:textFill>
            <w14:solidFill>
              <w14:schemeClr w14:val="tx1"/>
            </w14:solidFill>
          </w14:textFill>
        </w:rPr>
        <w:t>招标公告</w:t>
      </w:r>
      <w:bookmarkEnd w:id="1"/>
      <w:bookmarkEnd w:id="2"/>
    </w:p>
    <w:p>
      <w:pPr>
        <w:spacing w:line="360" w:lineRule="auto"/>
        <w:jc w:val="center"/>
        <w:rPr>
          <w:rFonts w:hint="eastAsia" w:eastAsia="宋体"/>
          <w:highlight w:val="none"/>
          <w:lang w:val="en-US" w:eastAsia="zh-CN"/>
        </w:rPr>
      </w:pPr>
      <w:r>
        <w:rPr>
          <w:rFonts w:hint="eastAsia" w:ascii="宋体" w:hAnsi="宋体" w:cs="宋体"/>
          <w:i w:val="0"/>
          <w:iCs w:val="0"/>
          <w:sz w:val="24"/>
          <w:szCs w:val="24"/>
          <w:highlight w:val="none"/>
          <w:u w:val="none"/>
          <w:lang w:eastAsia="zh-CN"/>
        </w:rPr>
        <w:t>莘县城区绿化苗木采购项目</w:t>
      </w:r>
      <w:r>
        <w:rPr>
          <w:rFonts w:hint="eastAsia" w:ascii="宋体" w:hAnsi="宋体" w:cs="宋体"/>
          <w:sz w:val="24"/>
          <w:szCs w:val="24"/>
          <w:highlight w:val="none"/>
          <w:lang w:eastAsia="zh-CN"/>
        </w:rPr>
        <w:t>招标公告</w:t>
      </w:r>
    </w:p>
    <w:p>
      <w:pPr>
        <w:pageBreakBefore w:val="0"/>
        <w:pBdr>
          <w:top w:val="single" w:color="auto" w:sz="4" w:space="1"/>
          <w:left w:val="single" w:color="auto" w:sz="4" w:space="4"/>
          <w:bottom w:val="single" w:color="auto" w:sz="4" w:space="1"/>
          <w:right w:val="single" w:color="auto" w:sz="4" w:space="4"/>
        </w:pBdr>
        <w:kinsoku/>
        <w:wordWrap w:val="0"/>
        <w:overflowPunct/>
        <w:topLinePunct w:val="0"/>
        <w:bidi w:val="0"/>
        <w:snapToGrid/>
        <w:spacing w:line="360" w:lineRule="auto"/>
        <w:textAlignment w:val="auto"/>
        <w:rPr>
          <w:rFonts w:hint="eastAsia" w:ascii="宋体" w:hAnsi="宋体" w:eastAsia="宋体" w:cs="宋体"/>
          <w:sz w:val="24"/>
          <w:szCs w:val="24"/>
          <w:highlight w:val="none"/>
        </w:rPr>
      </w:pPr>
      <w:bookmarkStart w:id="3" w:name="_Toc35393621"/>
      <w:bookmarkStart w:id="4" w:name="_Toc28359079"/>
      <w:bookmarkStart w:id="5" w:name="_Toc35393790"/>
      <w:bookmarkStart w:id="6" w:name="_Toc28359002"/>
      <w:bookmarkStart w:id="7" w:name="_Hlk24379207"/>
      <w:bookmarkStart w:id="8" w:name="_Toc353257256"/>
      <w:bookmarkStart w:id="9" w:name="_Toc172020880"/>
      <w:r>
        <w:rPr>
          <w:rFonts w:hint="eastAsia" w:ascii="宋体" w:hAnsi="宋体" w:eastAsia="宋体" w:cs="宋体"/>
          <w:sz w:val="24"/>
          <w:szCs w:val="24"/>
          <w:highlight w:val="none"/>
        </w:rPr>
        <w:t>项目概况</w:t>
      </w:r>
    </w:p>
    <w:p>
      <w:pPr>
        <w:pageBreakBefore w:val="0"/>
        <w:pBdr>
          <w:top w:val="single" w:color="auto" w:sz="4" w:space="1"/>
          <w:left w:val="single" w:color="auto" w:sz="4" w:space="4"/>
          <w:bottom w:val="single" w:color="auto" w:sz="4" w:space="1"/>
          <w:right w:val="single" w:color="auto" w:sz="4" w:space="4"/>
        </w:pBdr>
        <w:kinsoku/>
        <w:wordWrap w:val="0"/>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i w:val="0"/>
          <w:iCs w:val="0"/>
          <w:sz w:val="24"/>
          <w:szCs w:val="24"/>
          <w:highlight w:val="none"/>
          <w:u w:val="single"/>
          <w:lang w:eastAsia="zh-CN"/>
        </w:rPr>
        <w:t>莘县城区绿化苗木采购项目</w:t>
      </w:r>
      <w:r>
        <w:rPr>
          <w:rFonts w:hint="eastAsia" w:ascii="宋体" w:hAnsi="宋体" w:eastAsia="宋体" w:cs="宋体"/>
          <w:sz w:val="24"/>
          <w:szCs w:val="24"/>
          <w:highlight w:val="none"/>
        </w:rPr>
        <w:t>的潜在投标人应在</w:t>
      </w:r>
      <w:r>
        <w:rPr>
          <w:rFonts w:hint="eastAsia" w:ascii="宋体" w:hAnsi="宋体" w:eastAsia="宋体" w:cs="宋体"/>
          <w:color w:val="000000" w:themeColor="text1"/>
          <w:sz w:val="24"/>
          <w:szCs w:val="24"/>
          <w:highlight w:val="none"/>
          <w:u w:val="single"/>
          <w14:textFill>
            <w14:solidFill>
              <w14:schemeClr w14:val="tx1"/>
            </w14:solidFill>
          </w14:textFill>
        </w:rPr>
        <w:t>聊城市公共资源交易中心网（</w:t>
      </w:r>
      <w:r>
        <w:rPr>
          <w:rFonts w:hint="eastAsia" w:ascii="宋体" w:hAnsi="宋体" w:cs="宋体"/>
          <w:color w:val="000000" w:themeColor="text1"/>
          <w:sz w:val="24"/>
          <w:szCs w:val="24"/>
          <w:highlight w:val="none"/>
          <w:u w:val="single"/>
          <w:lang w:eastAsia="zh-CN"/>
          <w14:textFill>
            <w14:solidFill>
              <w14:schemeClr w14:val="tx1"/>
            </w14:solidFill>
          </w14:textFill>
        </w:rPr>
        <w:t>http://ggzyjy.liaocheng.gov.cn</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sz w:val="24"/>
          <w:szCs w:val="24"/>
          <w:highlight w:val="none"/>
        </w:rPr>
        <w:t>获取招标文件，并于</w:t>
      </w:r>
      <w:r>
        <w:rPr>
          <w:rFonts w:hint="eastAsia" w:ascii="宋体" w:hAnsi="宋体" w:cs="宋体"/>
          <w:sz w:val="24"/>
          <w:szCs w:val="24"/>
          <w:highlight w:val="none"/>
          <w:u w:val="single"/>
          <w:lang w:val="en-US" w:eastAsia="zh-CN"/>
        </w:rPr>
        <w:t>2024年04月29日09点00分</w:t>
      </w:r>
      <w:r>
        <w:rPr>
          <w:rFonts w:hint="eastAsia" w:ascii="宋体" w:hAnsi="宋体" w:eastAsia="宋体" w:cs="宋体"/>
          <w:bCs/>
          <w:sz w:val="24"/>
          <w:szCs w:val="24"/>
          <w:highlight w:val="none"/>
          <w:u w:val="single"/>
        </w:rPr>
        <w:t>（</w:t>
      </w:r>
      <w:r>
        <w:rPr>
          <w:rFonts w:hint="eastAsia" w:ascii="宋体" w:hAnsi="宋体" w:eastAsia="宋体" w:cs="宋体"/>
          <w:bCs/>
          <w:sz w:val="24"/>
          <w:szCs w:val="24"/>
          <w:highlight w:val="none"/>
        </w:rPr>
        <w:t>北京时间）前递交投标文件</w:t>
      </w:r>
      <w:r>
        <w:rPr>
          <w:rFonts w:hint="eastAsia" w:ascii="宋体" w:hAnsi="宋体" w:eastAsia="宋体" w:cs="宋体"/>
          <w:sz w:val="24"/>
          <w:szCs w:val="24"/>
          <w:highlight w:val="none"/>
        </w:rPr>
        <w:t>。</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一、项目基本情况</w:t>
      </w:r>
      <w:bookmarkEnd w:id="3"/>
      <w:bookmarkEnd w:id="4"/>
      <w:bookmarkEnd w:id="5"/>
      <w:bookmarkEnd w:id="6"/>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项目编号：</w:t>
      </w:r>
      <w:r>
        <w:rPr>
          <w:rFonts w:hint="eastAsia" w:ascii="宋体" w:hAnsi="宋体" w:cs="宋体"/>
          <w:sz w:val="24"/>
          <w:szCs w:val="24"/>
          <w:highlight w:val="none"/>
          <w:lang w:eastAsia="zh-CN"/>
        </w:rPr>
        <w:t>SDGP371522000202402000030</w:t>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聊城市公共资源交易中心系统内编号：</w:t>
      </w:r>
      <w:r>
        <w:rPr>
          <w:rFonts w:hint="eastAsia" w:ascii="宋体" w:hAnsi="宋体" w:cs="宋体"/>
          <w:sz w:val="24"/>
          <w:szCs w:val="24"/>
          <w:highlight w:val="none"/>
          <w:lang w:eastAsia="zh-CN"/>
        </w:rPr>
        <w:t xml:space="preserve"> XSXZFCG-2024-029 </w:t>
      </w:r>
    </w:p>
    <w:p>
      <w:pPr>
        <w:spacing w:line="360" w:lineRule="auto"/>
        <w:rPr>
          <w:rFonts w:hint="eastAsia" w:ascii="宋体" w:hAnsi="宋体" w:cs="宋体"/>
          <w:sz w:val="24"/>
          <w:szCs w:val="24"/>
          <w:highlight w:val="none"/>
          <w:lang w:eastAsia="zh-CN"/>
        </w:rPr>
      </w:pPr>
      <w:r>
        <w:rPr>
          <w:rFonts w:hint="eastAsia" w:ascii="宋体" w:hAnsi="宋体" w:eastAsia="宋体" w:cs="宋体"/>
          <w:sz w:val="24"/>
          <w:szCs w:val="24"/>
          <w:highlight w:val="none"/>
        </w:rPr>
        <w:t>项目名称：</w:t>
      </w:r>
      <w:bookmarkEnd w:id="7"/>
      <w:r>
        <w:rPr>
          <w:rFonts w:hint="eastAsia" w:ascii="宋体" w:hAnsi="宋体" w:cs="宋体"/>
          <w:sz w:val="24"/>
          <w:szCs w:val="24"/>
          <w:highlight w:val="none"/>
          <w:lang w:eastAsia="zh-CN"/>
        </w:rPr>
        <w:t xml:space="preserve">莘县城区绿化苗木采购项目 </w:t>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sz w:val="24"/>
          <w:szCs w:val="24"/>
          <w:highlight w:val="none"/>
        </w:rPr>
        <w:t>预算金额</w:t>
      </w:r>
      <w:r>
        <w:rPr>
          <w:rFonts w:hint="eastAsia" w:ascii="宋体" w:hAnsi="宋体" w:eastAsia="宋体" w:cs="宋体"/>
          <w:b w:val="0"/>
          <w:bCs w:val="0"/>
          <w:color w:val="auto"/>
          <w:sz w:val="24"/>
          <w:szCs w:val="24"/>
          <w:highlight w:val="none"/>
        </w:rPr>
        <w:t>：</w:t>
      </w:r>
      <w:r>
        <w:rPr>
          <w:rFonts w:hint="eastAsia" w:ascii="宋体" w:hAnsi="宋体" w:cs="宋体"/>
          <w:b w:val="0"/>
          <w:bCs w:val="0"/>
          <w:i w:val="0"/>
          <w:iCs w:val="0"/>
          <w:color w:val="auto"/>
          <w:kern w:val="2"/>
          <w:sz w:val="24"/>
          <w:szCs w:val="24"/>
          <w:highlight w:val="none"/>
          <w:lang w:val="en-US" w:eastAsia="zh-CN"/>
        </w:rPr>
        <w:t>265万元</w:t>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b w:val="0"/>
          <w:bCs w:val="0"/>
          <w:color w:val="auto"/>
          <w:sz w:val="24"/>
          <w:szCs w:val="24"/>
          <w:highlight w:val="none"/>
        </w:rPr>
        <w:t>采购需求：</w:t>
      </w:r>
      <w:r>
        <w:rPr>
          <w:rFonts w:hint="eastAsia" w:ascii="宋体" w:hAnsi="宋体" w:eastAsia="宋体" w:cs="宋体"/>
          <w:b w:val="0"/>
          <w:bCs w:val="0"/>
          <w:i w:val="0"/>
          <w:iCs w:val="0"/>
          <w:color w:val="auto"/>
          <w:kern w:val="2"/>
          <w:sz w:val="24"/>
          <w:szCs w:val="24"/>
          <w:highlight w:val="none"/>
        </w:rPr>
        <w:t>本项目共</w:t>
      </w:r>
      <w:r>
        <w:rPr>
          <w:rFonts w:hint="eastAsia" w:ascii="宋体" w:hAnsi="宋体" w:cs="宋体"/>
          <w:b w:val="0"/>
          <w:bCs w:val="0"/>
          <w:i w:val="0"/>
          <w:iCs w:val="0"/>
          <w:color w:val="auto"/>
          <w:kern w:val="2"/>
          <w:sz w:val="24"/>
          <w:szCs w:val="24"/>
          <w:highlight w:val="none"/>
          <w:lang w:eastAsia="zh-CN"/>
        </w:rPr>
        <w:t>一</w:t>
      </w:r>
      <w:r>
        <w:rPr>
          <w:rFonts w:hint="eastAsia" w:ascii="宋体" w:hAnsi="宋体" w:eastAsia="宋体" w:cs="宋体"/>
          <w:b w:val="0"/>
          <w:bCs w:val="0"/>
          <w:i w:val="0"/>
          <w:iCs w:val="0"/>
          <w:color w:val="auto"/>
          <w:kern w:val="2"/>
          <w:sz w:val="24"/>
          <w:szCs w:val="24"/>
          <w:highlight w:val="none"/>
        </w:rPr>
        <w:t>个</w:t>
      </w:r>
      <w:r>
        <w:rPr>
          <w:rFonts w:hint="eastAsia" w:ascii="宋体" w:hAnsi="宋体" w:eastAsia="宋体" w:cs="宋体"/>
          <w:b w:val="0"/>
          <w:bCs w:val="0"/>
          <w:i w:val="0"/>
          <w:iCs w:val="0"/>
          <w:color w:val="auto"/>
          <w:kern w:val="2"/>
          <w:sz w:val="24"/>
          <w:szCs w:val="24"/>
          <w:highlight w:val="none"/>
          <w:lang w:eastAsia="zh-CN"/>
        </w:rPr>
        <w:t>标段</w:t>
      </w:r>
      <w:r>
        <w:rPr>
          <w:rFonts w:hint="eastAsia" w:ascii="宋体" w:hAnsi="宋体" w:eastAsia="宋体" w:cs="宋体"/>
          <w:b w:val="0"/>
          <w:bCs w:val="0"/>
          <w:i w:val="0"/>
          <w:iCs w:val="0"/>
          <w:color w:val="auto"/>
          <w:kern w:val="2"/>
          <w:sz w:val="24"/>
          <w:szCs w:val="24"/>
          <w:highlight w:val="none"/>
        </w:rPr>
        <w:t>，</w:t>
      </w:r>
      <w:r>
        <w:rPr>
          <w:rFonts w:hint="eastAsia" w:ascii="宋体" w:hAnsi="宋体" w:eastAsia="宋体" w:cs="宋体"/>
          <w:b w:val="0"/>
          <w:bCs w:val="0"/>
          <w:i w:val="0"/>
          <w:iCs w:val="0"/>
          <w:color w:val="auto"/>
          <w:kern w:val="2"/>
          <w:sz w:val="24"/>
          <w:szCs w:val="24"/>
          <w:highlight w:val="none"/>
          <w:lang w:eastAsia="zh-CN"/>
        </w:rPr>
        <w:t>莘县城区绿化苗木采购</w:t>
      </w:r>
      <w:r>
        <w:rPr>
          <w:rFonts w:hint="eastAsia" w:ascii="宋体" w:hAnsi="宋体" w:eastAsia="宋体" w:cs="宋体"/>
          <w:b w:val="0"/>
          <w:bCs w:val="0"/>
          <w:i w:val="0"/>
          <w:iCs w:val="0"/>
          <w:color w:val="auto"/>
          <w:kern w:val="2"/>
          <w:sz w:val="24"/>
          <w:szCs w:val="24"/>
          <w:highlight w:val="none"/>
        </w:rPr>
        <w:t>，</w:t>
      </w:r>
      <w:r>
        <w:rPr>
          <w:rFonts w:hint="eastAsia" w:ascii="宋体" w:hAnsi="宋体" w:eastAsia="宋体" w:cs="宋体"/>
          <w:b w:val="0"/>
          <w:bCs w:val="0"/>
          <w:i w:val="0"/>
          <w:iCs w:val="0"/>
          <w:color w:val="auto"/>
          <w:kern w:val="2"/>
          <w:sz w:val="24"/>
          <w:szCs w:val="24"/>
          <w:highlight w:val="none"/>
          <w:lang w:eastAsia="zh-CN"/>
        </w:rPr>
        <w:t>预算金额</w:t>
      </w:r>
      <w:r>
        <w:rPr>
          <w:rFonts w:hint="eastAsia" w:ascii="宋体" w:hAnsi="宋体" w:cs="宋体"/>
          <w:b w:val="0"/>
          <w:bCs w:val="0"/>
          <w:i w:val="0"/>
          <w:iCs w:val="0"/>
          <w:color w:val="auto"/>
          <w:kern w:val="2"/>
          <w:sz w:val="24"/>
          <w:szCs w:val="24"/>
          <w:highlight w:val="none"/>
          <w:lang w:val="en-US" w:eastAsia="zh-CN"/>
        </w:rPr>
        <w:t>265万元</w:t>
      </w:r>
      <w:r>
        <w:rPr>
          <w:rFonts w:hint="eastAsia" w:ascii="宋体" w:hAnsi="宋体" w:eastAsia="宋体" w:cs="宋体"/>
          <w:i w:val="0"/>
          <w:iCs w:val="0"/>
          <w:kern w:val="2"/>
          <w:sz w:val="24"/>
          <w:szCs w:val="24"/>
          <w:highlight w:val="none"/>
          <w:lang w:val="en-US" w:eastAsia="zh-CN"/>
        </w:rPr>
        <w:t>；</w:t>
      </w:r>
      <w:r>
        <w:rPr>
          <w:rFonts w:hint="eastAsia" w:ascii="宋体" w:hAnsi="宋体" w:eastAsia="宋体" w:cs="宋体"/>
          <w:i w:val="0"/>
          <w:iCs w:val="0"/>
          <w:kern w:val="2"/>
          <w:sz w:val="24"/>
          <w:szCs w:val="24"/>
          <w:highlight w:val="none"/>
        </w:rPr>
        <w:t>具体内容见项目说明。</w:t>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合同履行期限：</w:t>
      </w:r>
      <w:r>
        <w:rPr>
          <w:rFonts w:hint="eastAsia" w:ascii="宋体" w:hAnsi="宋体" w:eastAsia="宋体" w:cs="宋体"/>
          <w:sz w:val="24"/>
          <w:szCs w:val="24"/>
          <w:highlight w:val="none"/>
          <w:lang w:eastAsia="zh-CN"/>
        </w:rPr>
        <w:t>详见招标文件；</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w:t>
      </w:r>
      <w:r>
        <w:rPr>
          <w:rFonts w:hint="eastAsia" w:ascii="宋体" w:hAnsi="宋体" w:eastAsia="宋体" w:cs="宋体"/>
          <w:sz w:val="24"/>
          <w:szCs w:val="24"/>
          <w:highlight w:val="none"/>
          <w:lang w:eastAsia="zh-CN"/>
        </w:rPr>
        <w:t>不</w:t>
      </w:r>
      <w:r>
        <w:rPr>
          <w:rFonts w:hint="eastAsia" w:ascii="宋体" w:hAnsi="宋体" w:eastAsia="宋体" w:cs="宋体"/>
          <w:sz w:val="24"/>
          <w:szCs w:val="24"/>
          <w:highlight w:val="none"/>
        </w:rPr>
        <w:t>接受联合体投标。</w:t>
      </w:r>
      <w:bookmarkStart w:id="10" w:name="_Toc35393791"/>
      <w:bookmarkStart w:id="11" w:name="_Toc28359003"/>
      <w:bookmarkStart w:id="12" w:name="_Toc28359080"/>
      <w:bookmarkStart w:id="13" w:name="_Toc35393622"/>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本项目监督单位：山东省莘县政府采购中心</w:t>
      </w:r>
      <w:r>
        <w:rPr>
          <w:rFonts w:hint="eastAsia" w:ascii="宋体" w:hAnsi="宋体" w:cs="宋体"/>
          <w:sz w:val="24"/>
          <w:szCs w:val="24"/>
          <w:highlight w:val="none"/>
          <w:lang w:val="en-US" w:eastAsia="zh-CN"/>
        </w:rPr>
        <w:t>。</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二、申请人的资格要求：</w:t>
      </w:r>
      <w:bookmarkEnd w:id="10"/>
      <w:bookmarkEnd w:id="11"/>
      <w:bookmarkEnd w:id="12"/>
      <w:bookmarkEnd w:id="13"/>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pPr>
        <w:spacing w:line="360" w:lineRule="auto"/>
        <w:rPr>
          <w:rFonts w:hint="default" w:ascii="宋体" w:hAnsi="宋体" w:eastAsia="宋体" w:cs="宋体"/>
          <w:color w:val="auto"/>
          <w:sz w:val="24"/>
          <w:szCs w:val="24"/>
          <w:highlight w:val="none"/>
          <w:lang w:val="en-US"/>
        </w:rPr>
      </w:pPr>
      <w:bookmarkStart w:id="14" w:name="_Toc28359004"/>
      <w:bookmarkStart w:id="15" w:name="_Toc28359081"/>
      <w:r>
        <w:rPr>
          <w:rFonts w:hint="eastAsia" w:ascii="宋体" w:hAnsi="宋体" w:eastAsia="宋体" w:cs="宋体"/>
          <w:sz w:val="24"/>
          <w:szCs w:val="24"/>
          <w:highlight w:val="none"/>
        </w:rPr>
        <w:t>2.落实政府采购政策需满足的资格要求：</w:t>
      </w:r>
      <w:r>
        <w:rPr>
          <w:rFonts w:hint="eastAsia" w:ascii="宋体" w:hAnsi="宋体" w:cs="宋体"/>
          <w:sz w:val="24"/>
          <w:szCs w:val="24"/>
          <w:highlight w:val="none"/>
        </w:rPr>
        <w:t>本项目为政府采购项目，</w:t>
      </w:r>
      <w:r>
        <w:rPr>
          <w:rFonts w:hint="eastAsia" w:ascii="宋体" w:hAnsi="宋体" w:cs="宋体"/>
          <w:color w:val="auto"/>
          <w:sz w:val="24"/>
          <w:szCs w:val="24"/>
          <w:highlight w:val="none"/>
          <w:lang w:val="en-US" w:eastAsia="zh-CN"/>
        </w:rPr>
        <w:t>专门面向中小微企业采购，须出具《中小企业声明函》，具体详见招标文件；</w:t>
      </w:r>
    </w:p>
    <w:p>
      <w:pPr>
        <w:spacing w:line="360" w:lineRule="auto"/>
        <w:rPr>
          <w:rFonts w:hint="eastAsia" w:ascii="宋体" w:hAnsi="宋体" w:cs="宋体"/>
          <w:color w:val="000000"/>
          <w:sz w:val="24"/>
          <w:szCs w:val="24"/>
          <w:highlight w:val="none"/>
          <w:lang w:eastAsia="zh-CN"/>
        </w:rPr>
      </w:pPr>
      <w:r>
        <w:rPr>
          <w:rFonts w:hint="eastAsia" w:ascii="宋体" w:hAnsi="宋体" w:eastAsia="宋体" w:cs="宋体"/>
          <w:sz w:val="24"/>
          <w:szCs w:val="24"/>
          <w:highlight w:val="none"/>
        </w:rPr>
        <w:t>3.本项目的特定资格要求：</w:t>
      </w:r>
      <w:bookmarkStart w:id="16" w:name="_Toc35393623"/>
      <w:bookmarkStart w:id="17" w:name="_Toc35393792"/>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）在中国境内注册，具有合法</w:t>
      </w:r>
      <w:r>
        <w:rPr>
          <w:rFonts w:hint="eastAsia" w:ascii="宋体" w:hAnsi="宋体" w:cs="宋体"/>
          <w:sz w:val="24"/>
          <w:szCs w:val="24"/>
          <w:highlight w:val="none"/>
          <w:lang w:val="en-US" w:eastAsia="zh-CN"/>
        </w:rPr>
        <w:t>有效的</w:t>
      </w:r>
      <w:r>
        <w:rPr>
          <w:rFonts w:hint="eastAsia" w:ascii="宋体" w:hAnsi="宋体" w:eastAsia="宋体" w:cs="宋体"/>
          <w:sz w:val="24"/>
          <w:szCs w:val="24"/>
          <w:highlight w:val="none"/>
        </w:rPr>
        <w:t>营业执照；（</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）具备承担本次采购产品及服务能力</w:t>
      </w:r>
      <w:r>
        <w:rPr>
          <w:rFonts w:hint="eastAsia" w:ascii="宋体" w:hAnsi="宋体" w:cs="宋体"/>
          <w:color w:val="000000"/>
          <w:sz w:val="24"/>
          <w:szCs w:val="24"/>
          <w:highlight w:val="none"/>
          <w:lang w:eastAsia="zh-CN"/>
        </w:rPr>
        <w:t>。</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三、获取招标文件</w:t>
      </w:r>
      <w:bookmarkEnd w:id="14"/>
      <w:bookmarkEnd w:id="15"/>
      <w:bookmarkEnd w:id="16"/>
      <w:bookmarkEnd w:id="17"/>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1.时间：</w:t>
      </w:r>
      <w:r>
        <w:rPr>
          <w:rFonts w:hint="eastAsia" w:ascii="宋体" w:hAnsi="宋体" w:cs="宋体"/>
          <w:sz w:val="24"/>
          <w:szCs w:val="24"/>
          <w:highlight w:val="none"/>
          <w:lang w:val="en-US" w:eastAsia="zh-CN"/>
        </w:rPr>
        <w:t>2024</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04</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08</w:t>
      </w:r>
      <w:r>
        <w:rPr>
          <w:rFonts w:hint="eastAsia" w:ascii="宋体" w:hAnsi="宋体" w:eastAsia="宋体" w:cs="宋体"/>
          <w:sz w:val="24"/>
          <w:szCs w:val="24"/>
          <w:highlight w:val="none"/>
        </w:rPr>
        <w:t>日</w:t>
      </w:r>
      <w:r>
        <w:rPr>
          <w:rFonts w:hint="eastAsia" w:ascii="宋体" w:hAnsi="宋体" w:cs="宋体"/>
          <w:sz w:val="24"/>
          <w:szCs w:val="24"/>
          <w:highlight w:val="none"/>
          <w:lang w:val="en-US" w:eastAsia="zh-CN"/>
        </w:rPr>
        <w:t>09</w:t>
      </w:r>
      <w:r>
        <w:rPr>
          <w:rFonts w:hint="eastAsia" w:ascii="宋体" w:hAnsi="宋体" w:eastAsia="宋体" w:cs="宋体"/>
          <w:sz w:val="24"/>
          <w:szCs w:val="24"/>
          <w:highlight w:val="none"/>
        </w:rPr>
        <w:t>时</w:t>
      </w:r>
      <w:r>
        <w:rPr>
          <w:rFonts w:hint="eastAsia" w:ascii="宋体" w:hAnsi="宋体" w:cs="宋体"/>
          <w:sz w:val="24"/>
          <w:szCs w:val="24"/>
          <w:highlight w:val="none"/>
          <w:lang w:val="en-US" w:eastAsia="zh-CN"/>
        </w:rPr>
        <w:t>00</w:t>
      </w:r>
      <w:r>
        <w:rPr>
          <w:rFonts w:hint="eastAsia" w:ascii="宋体" w:hAnsi="宋体" w:eastAsia="宋体" w:cs="宋体"/>
          <w:sz w:val="24"/>
          <w:szCs w:val="24"/>
          <w:highlight w:val="none"/>
        </w:rPr>
        <w:t>分至</w:t>
      </w:r>
      <w:r>
        <w:rPr>
          <w:rFonts w:hint="eastAsia" w:ascii="宋体" w:hAnsi="宋体" w:cs="宋体"/>
          <w:sz w:val="24"/>
          <w:szCs w:val="24"/>
          <w:highlight w:val="none"/>
          <w:lang w:val="en-US" w:eastAsia="zh-CN"/>
        </w:rPr>
        <w:t>2024</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04</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rPr>
        <w:t>日</w:t>
      </w:r>
      <w:r>
        <w:rPr>
          <w:rFonts w:hint="eastAsia" w:ascii="宋体" w:hAnsi="宋体" w:cs="宋体"/>
          <w:sz w:val="24"/>
          <w:szCs w:val="24"/>
          <w:highlight w:val="none"/>
          <w:lang w:val="en-US" w:eastAsia="zh-CN"/>
        </w:rPr>
        <w:t>17</w:t>
      </w:r>
      <w:r>
        <w:rPr>
          <w:rFonts w:hint="eastAsia" w:ascii="宋体" w:hAnsi="宋体" w:eastAsia="宋体" w:cs="宋体"/>
          <w:sz w:val="24"/>
          <w:szCs w:val="24"/>
          <w:highlight w:val="none"/>
        </w:rPr>
        <w:t>时</w:t>
      </w:r>
      <w:r>
        <w:rPr>
          <w:rFonts w:hint="eastAsia" w:ascii="宋体" w:hAnsi="宋体" w:cs="宋体"/>
          <w:sz w:val="24"/>
          <w:szCs w:val="24"/>
          <w:highlight w:val="none"/>
          <w:lang w:val="en-US" w:eastAsia="zh-CN"/>
        </w:rPr>
        <w:t>00</w:t>
      </w:r>
      <w:r>
        <w:rPr>
          <w:rFonts w:hint="eastAsia" w:ascii="宋体" w:hAnsi="宋体" w:eastAsia="宋体" w:cs="宋体"/>
          <w:sz w:val="24"/>
          <w:szCs w:val="24"/>
          <w:highlight w:val="none"/>
        </w:rPr>
        <w:t>分（北京时间）</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地点：聊城市公共资源交易中心网（</w:t>
      </w:r>
      <w:r>
        <w:rPr>
          <w:rFonts w:hint="eastAsia" w:ascii="宋体" w:hAnsi="宋体" w:cs="宋体"/>
          <w:sz w:val="24"/>
          <w:szCs w:val="24"/>
          <w:highlight w:val="none"/>
          <w:lang w:eastAsia="zh-CN"/>
        </w:rPr>
        <w:t>http://ggzyjy.liaocheng.gov.cn</w:t>
      </w:r>
      <w:r>
        <w:rPr>
          <w:rFonts w:hint="eastAsia" w:ascii="宋体" w:hAnsi="宋体" w:eastAsia="宋体" w:cs="宋体"/>
          <w:sz w:val="24"/>
          <w:szCs w:val="24"/>
          <w:highlight w:val="none"/>
        </w:rPr>
        <w:t>）</w:t>
      </w:r>
    </w:p>
    <w:p>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方式：各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在规定时间内登录新版公共资源交易平台系统（</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"http://ggzyjy.liaocheng.gov.cn:8601/tpbidder"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http://ggzyjy.liaocheng.gov.cn:8601/tpbidder</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）免费下载招标文件（文件格式为.lczf），逾期未下载招标文件视为放弃投标。</w:t>
      </w:r>
    </w:p>
    <w:p>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根据山东省政府采购有关规定，各拟参与本项目</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在交易中心系统获取</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文件后，务必于</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文件提交截止时间前在“</w:t>
      </w:r>
      <w:r>
        <w:rPr>
          <w:rFonts w:hint="eastAsia" w:ascii="宋体" w:hAnsi="宋体" w:eastAsia="宋体" w:cs="宋体"/>
          <w:sz w:val="24"/>
          <w:szCs w:val="24"/>
          <w:highlight w:val="none"/>
          <w:lang w:eastAsia="zh-CN"/>
        </w:rPr>
        <w:t>中国山东政府采购网</w:t>
      </w:r>
      <w:r>
        <w:rPr>
          <w:rFonts w:hint="eastAsia" w:ascii="宋体" w:hAnsi="宋体" w:eastAsia="宋体" w:cs="宋体"/>
          <w:sz w:val="24"/>
          <w:szCs w:val="24"/>
          <w:highlight w:val="none"/>
        </w:rPr>
        <w:t>（http://www.ccgp-shandong.gov.cn）”完成注册（已注册的无需重复注册），由于</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原因造成其在</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文件提交截止时间前未完成注册的后果自负。</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（2）投标人</w:t>
      </w:r>
      <w:r>
        <w:rPr>
          <w:rFonts w:hint="eastAsia" w:ascii="宋体" w:hAnsi="宋体" w:eastAsia="宋体" w:cs="宋体"/>
          <w:sz w:val="24"/>
          <w:szCs w:val="24"/>
          <w:highlight w:val="none"/>
        </w:rPr>
        <w:t>在聊城公共资源招投标会员网上交易系统诚信入库类型</w:t>
      </w:r>
      <w:r>
        <w:rPr>
          <w:rFonts w:hint="eastAsia" w:ascii="宋体" w:hAnsi="宋体" w:eastAsia="宋体" w:cs="宋体"/>
          <w:sz w:val="24"/>
          <w:szCs w:val="24"/>
          <w:highlight w:val="none"/>
          <w:lang w:eastAsia="zh-CN"/>
        </w:rPr>
        <w:t>：</w:t>
      </w:r>
      <w:r>
        <w:rPr>
          <w:rFonts w:hint="eastAsia" w:ascii="宋体" w:hAnsi="宋体" w:eastAsia="宋体" w:cs="宋体"/>
          <w:color w:val="auto"/>
          <w:sz w:val="24"/>
          <w:highlight w:val="none"/>
        </w:rPr>
        <w:t>交易乙方</w:t>
      </w:r>
      <w:r>
        <w:rPr>
          <w:rFonts w:hint="eastAsia" w:ascii="宋体" w:hAnsi="宋体" w:eastAsia="宋体" w:cs="宋体"/>
          <w:sz w:val="24"/>
          <w:szCs w:val="24"/>
          <w:highlight w:val="none"/>
        </w:rPr>
        <w:t>。</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售价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0元</w:t>
      </w:r>
    </w:p>
    <w:p>
      <w:pPr>
        <w:spacing w:line="360" w:lineRule="auto"/>
        <w:rPr>
          <w:rFonts w:hint="eastAsia" w:ascii="宋体" w:hAnsi="宋体" w:eastAsia="宋体" w:cs="宋体"/>
          <w:sz w:val="24"/>
          <w:szCs w:val="24"/>
          <w:highlight w:val="none"/>
        </w:rPr>
      </w:pPr>
      <w:bookmarkStart w:id="18" w:name="_Toc28359082"/>
      <w:bookmarkStart w:id="19" w:name="_Toc28359005"/>
      <w:bookmarkStart w:id="20" w:name="_Toc35393793"/>
      <w:bookmarkStart w:id="21" w:name="_Toc35393624"/>
      <w:r>
        <w:rPr>
          <w:rFonts w:hint="eastAsia" w:ascii="宋体" w:hAnsi="宋体" w:eastAsia="宋体" w:cs="宋体"/>
          <w:sz w:val="24"/>
          <w:szCs w:val="24"/>
          <w:highlight w:val="none"/>
        </w:rPr>
        <w:t>四、提交投标文件</w:t>
      </w:r>
      <w:bookmarkEnd w:id="18"/>
      <w:bookmarkEnd w:id="19"/>
      <w:r>
        <w:rPr>
          <w:rFonts w:hint="eastAsia" w:ascii="宋体" w:hAnsi="宋体" w:eastAsia="宋体" w:cs="宋体"/>
          <w:sz w:val="24"/>
          <w:szCs w:val="24"/>
          <w:highlight w:val="none"/>
        </w:rPr>
        <w:t>截止时间、开标时间和地点</w:t>
      </w:r>
      <w:bookmarkEnd w:id="20"/>
      <w:bookmarkEnd w:id="21"/>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截止时间：</w:t>
      </w:r>
      <w:r>
        <w:rPr>
          <w:rFonts w:hint="eastAsia" w:ascii="宋体" w:hAnsi="宋体" w:cs="宋体"/>
          <w:sz w:val="24"/>
          <w:szCs w:val="24"/>
          <w:highlight w:val="none"/>
          <w:lang w:eastAsia="zh-CN"/>
        </w:rPr>
        <w:t>2024年04月29日</w:t>
      </w:r>
      <w:r>
        <w:rPr>
          <w:rFonts w:hint="eastAsia" w:ascii="宋体" w:hAnsi="宋体" w:eastAsia="宋体" w:cs="宋体"/>
          <w:sz w:val="24"/>
          <w:szCs w:val="24"/>
          <w:highlight w:val="none"/>
        </w:rPr>
        <w:t>09点00分（北京时间）</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各投标人在投标文件提交截止时间前将电子投标文件上传到聊城公共资源招投标会员网上交易系统（</w:t>
      </w:r>
      <w:r>
        <w:rPr>
          <w:rFonts w:hint="eastAsia" w:ascii="宋体" w:hAnsi="宋体" w:cs="宋体"/>
          <w:sz w:val="24"/>
          <w:szCs w:val="24"/>
          <w:highlight w:val="none"/>
          <w:lang w:eastAsia="zh-CN"/>
        </w:rPr>
        <w:t>http://ggzyjy.liaocheng.gov.cn:8601/tpbidder</w:t>
      </w:r>
      <w:r>
        <w:rPr>
          <w:rFonts w:hint="eastAsia" w:ascii="宋体" w:hAnsi="宋体" w:eastAsia="宋体" w:cs="宋体"/>
          <w:sz w:val="24"/>
          <w:szCs w:val="24"/>
          <w:highlight w:val="none"/>
        </w:rPr>
        <w:t>）</w:t>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开标时间</w:t>
      </w:r>
      <w:r>
        <w:rPr>
          <w:rFonts w:hint="eastAsia" w:ascii="宋体" w:hAnsi="宋体" w:eastAsia="宋体" w:cs="宋体"/>
          <w:sz w:val="24"/>
          <w:szCs w:val="24"/>
          <w:highlight w:val="none"/>
        </w:rPr>
        <w:t>：</w:t>
      </w:r>
      <w:r>
        <w:rPr>
          <w:rFonts w:hint="eastAsia" w:ascii="宋体" w:hAnsi="宋体" w:cs="宋体"/>
          <w:sz w:val="24"/>
          <w:szCs w:val="24"/>
          <w:highlight w:val="none"/>
          <w:lang w:eastAsia="zh-CN"/>
        </w:rPr>
        <w:t>2024年04月29日09点00分</w:t>
      </w:r>
      <w:r>
        <w:rPr>
          <w:rFonts w:hint="eastAsia" w:ascii="宋体" w:hAnsi="宋体" w:eastAsia="宋体" w:cs="宋体"/>
          <w:sz w:val="24"/>
          <w:szCs w:val="24"/>
          <w:highlight w:val="none"/>
        </w:rPr>
        <w:t>（北京时间）</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地点：</w:t>
      </w:r>
      <w:r>
        <w:rPr>
          <w:rFonts w:hint="eastAsia" w:ascii="宋体" w:hAnsi="宋体" w:eastAsia="宋体" w:cs="宋体"/>
          <w:sz w:val="24"/>
          <w:szCs w:val="24"/>
          <w:highlight w:val="none"/>
        </w:rPr>
        <w:t>本项目采取不见面方式开标，开标当日</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不必抵达现场，仅需登录聊城市公共资源交易中心不见面开标大厅参与会议。各</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应严格按照</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文件的具体要求在开标前登录网上不见面开标大厅完成相应工作，并安排专人实时在线处理答疑、澄清、报价等事宜。具体详见《聊城不见面开标大厅--操作手册（投标人）》。</w:t>
      </w:r>
    </w:p>
    <w:p>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不见面开标大厅登录途径</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1.聊城市公共资源交易中心不见面开标大厅（</w:t>
      </w:r>
      <w:r>
        <w:rPr>
          <w:rFonts w:hint="eastAsia" w:ascii="宋体" w:hAnsi="宋体" w:eastAsia="宋体" w:cs="宋体"/>
          <w:sz w:val="24"/>
          <w:szCs w:val="24"/>
          <w:highlight w:val="none"/>
          <w:lang w:eastAsia="zh-CN"/>
        </w:rPr>
        <w:t>聊城市公共资源交易中心网</w:t>
      </w:r>
      <w:r>
        <w:rPr>
          <w:rFonts w:hint="eastAsia" w:ascii="宋体" w:hAnsi="宋体" w:eastAsia="宋体" w:cs="宋体"/>
          <w:sz w:val="24"/>
          <w:szCs w:val="24"/>
          <w:highlight w:val="none"/>
        </w:rPr>
        <w:t>-平台入口-不见面开标大厅登录入口）</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2.不见面开标大厅网址：</w:t>
      </w:r>
      <w:r>
        <w:rPr>
          <w:rFonts w:hint="eastAsia" w:ascii="宋体" w:hAnsi="宋体" w:cs="宋体"/>
          <w:sz w:val="24"/>
          <w:szCs w:val="24"/>
          <w:highlight w:val="none"/>
          <w:lang w:eastAsia="zh-CN"/>
        </w:rPr>
        <w:t>http://ggzyjy.liaocheng.gov.cn</w:t>
      </w:r>
      <w:r>
        <w:rPr>
          <w:rFonts w:hint="eastAsia" w:ascii="宋体" w:hAnsi="宋体" w:eastAsia="宋体" w:cs="宋体"/>
          <w:sz w:val="24"/>
          <w:szCs w:val="24"/>
          <w:highlight w:val="none"/>
        </w:rPr>
        <w:t>:8093/BidOpening/bidopeninghallaction/hall/login</w:t>
      </w:r>
    </w:p>
    <w:p>
      <w:pPr>
        <w:spacing w:line="360" w:lineRule="auto"/>
        <w:rPr>
          <w:rFonts w:hint="eastAsia" w:ascii="宋体" w:hAnsi="宋体" w:eastAsia="宋体" w:cs="宋体"/>
          <w:sz w:val="24"/>
          <w:szCs w:val="24"/>
          <w:highlight w:val="none"/>
        </w:rPr>
      </w:pPr>
      <w:bookmarkStart w:id="22" w:name="_Toc35393625"/>
      <w:bookmarkStart w:id="23" w:name="_Toc28359007"/>
      <w:bookmarkStart w:id="24" w:name="_Toc28359084"/>
      <w:bookmarkStart w:id="25" w:name="_Toc35393794"/>
      <w:r>
        <w:rPr>
          <w:rFonts w:hint="eastAsia" w:ascii="宋体" w:hAnsi="宋体" w:eastAsia="宋体" w:cs="宋体"/>
          <w:sz w:val="24"/>
          <w:szCs w:val="24"/>
          <w:highlight w:val="none"/>
        </w:rPr>
        <w:t>五、公告期限</w:t>
      </w:r>
      <w:bookmarkEnd w:id="22"/>
      <w:bookmarkEnd w:id="23"/>
      <w:bookmarkEnd w:id="24"/>
      <w:bookmarkEnd w:id="25"/>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自本公告发布之日起5个工作日。</w:t>
      </w:r>
    </w:p>
    <w:p>
      <w:pPr>
        <w:spacing w:line="360" w:lineRule="auto"/>
        <w:rPr>
          <w:rFonts w:hint="eastAsia" w:ascii="宋体" w:hAnsi="宋体" w:eastAsia="宋体" w:cs="宋体"/>
          <w:sz w:val="24"/>
          <w:szCs w:val="24"/>
          <w:highlight w:val="none"/>
        </w:rPr>
      </w:pPr>
      <w:bookmarkStart w:id="26" w:name="_Toc35393626"/>
      <w:bookmarkStart w:id="27" w:name="_Toc35393795"/>
      <w:r>
        <w:rPr>
          <w:rFonts w:hint="eastAsia" w:ascii="宋体" w:hAnsi="宋体" w:eastAsia="宋体" w:cs="宋体"/>
          <w:sz w:val="24"/>
          <w:szCs w:val="24"/>
          <w:highlight w:val="none"/>
          <w:lang w:eastAsia="zh-CN"/>
        </w:rPr>
        <w:t>六、</w:t>
      </w:r>
      <w:r>
        <w:rPr>
          <w:rFonts w:hint="eastAsia" w:ascii="宋体" w:hAnsi="宋体" w:eastAsia="宋体" w:cs="宋体"/>
          <w:sz w:val="24"/>
          <w:szCs w:val="24"/>
          <w:highlight w:val="none"/>
        </w:rPr>
        <w:t>其他补充事宜</w:t>
      </w:r>
      <w:bookmarkEnd w:id="26"/>
      <w:bookmarkEnd w:id="27"/>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1.发布公告的媒介：中国山东政府采购网、聊城市公共资源交易中心网。</w:t>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2.电子交易系统特别注意事项</w:t>
      </w:r>
    </w:p>
    <w:p>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首次在聊城市公共资源交易平台参与项目的，获取采购文件前须办理企业诚信入库，详见聊城市公共资源交易中心网，具体内容详见：http://ggzyjy.liaocheng.gov.cn/lcggzy/tzgg/20230613/d95a44cc-38cc-4176-9ac7-137d9fe765d7.html</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本项目实行电子评标，供应商需办理CA证书，办理要求详见聊城市公共资源交易中心网右侧快捷入口“CA办理”。因未及时办理CA证书而导致无法提交投标（响应）文件的，责任自负。CA办理咨询电话：0635-8902280 ；移动CA锁（标证通）办理咨询电话：400-823-8788。</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各供应商应随时关注项目信息并及时登录聊城市公共资源交易平台系统下载采购文件和各类答疑澄清，否则所造成的一切后果由供应商承担，最终文件以答疑澄清后的为准。电子评标的，制作投标（响应）文件需将答疑澄清文件导入投标（响应）文件制作工具。</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（4）电子投标（响应）文件制作工具请到聊城市公共资源交易中心网“下载中心-政府采购-政府采购电子标投标文件制作软件以及视频教程”下载。</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供应商如遇交易系统软件操作技术问题，请咨询国泰新点软件股份有限公司或聊城市公共资源交易中心交易平台维护室。国泰新点软件股份有限公司：400-998-0000；聊城市公共资源交易中心交易平台维护室：0635-8902702，联系人：黄工、张工。</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②信息技术科公共资源电子交易系统开评标应急预案(聊城市公共资源交易中心网（http://ggzyjy.liaocheng.gov.cn）—办事指南—信息技术科）。</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3.重要说明</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公告附件链接的招标文件仅供获取前查看，投标人必须登录聊城市公共资源招投标会员网上交易系统获取并下载正式的招标文件。网上获取文件的成功不代表资格审查的最终通过或合格，投标人最终资格的确认以评标委员会组织的</w:t>
      </w:r>
      <w:r>
        <w:rPr>
          <w:rFonts w:hint="eastAsia" w:ascii="宋体" w:hAnsi="宋体" w:eastAsia="宋体" w:cs="宋体"/>
          <w:sz w:val="24"/>
          <w:szCs w:val="24"/>
          <w:highlight w:val="none"/>
          <w:lang w:eastAsia="zh-CN"/>
        </w:rPr>
        <w:t>审核结果</w:t>
      </w:r>
      <w:r>
        <w:rPr>
          <w:rFonts w:hint="eastAsia" w:ascii="宋体" w:hAnsi="宋体" w:eastAsia="宋体" w:cs="宋体"/>
          <w:sz w:val="24"/>
          <w:szCs w:val="24"/>
          <w:highlight w:val="none"/>
        </w:rPr>
        <w:t>为准。</w:t>
      </w:r>
    </w:p>
    <w:p>
      <w:pPr>
        <w:spacing w:line="360" w:lineRule="auto"/>
        <w:rPr>
          <w:rFonts w:hint="eastAsia" w:ascii="宋体" w:hAnsi="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eastAsia="宋体" w:cs="宋体"/>
          <w:b/>
          <w:bCs/>
          <w:sz w:val="24"/>
          <w:szCs w:val="24"/>
          <w:highlight w:val="none"/>
        </w:rPr>
        <w:t>本项目采用电子标评审，其中技术标采用明标评审</w:t>
      </w:r>
      <w:r>
        <w:rPr>
          <w:rFonts w:hint="eastAsia" w:ascii="宋体" w:hAnsi="宋体" w:cs="宋体"/>
          <w:b/>
          <w:bCs/>
          <w:sz w:val="24"/>
          <w:szCs w:val="24"/>
          <w:highlight w:val="none"/>
          <w:lang w:eastAsia="zh-CN"/>
        </w:rPr>
        <w:t>；</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其他补充内容：无</w:t>
      </w:r>
    </w:p>
    <w:p>
      <w:pPr>
        <w:spacing w:line="360" w:lineRule="auto"/>
        <w:rPr>
          <w:rFonts w:hint="eastAsia" w:ascii="宋体" w:hAnsi="宋体" w:eastAsia="宋体" w:cs="宋体"/>
          <w:sz w:val="24"/>
          <w:szCs w:val="24"/>
          <w:highlight w:val="none"/>
        </w:rPr>
      </w:pPr>
      <w:bookmarkStart w:id="28" w:name="_Toc35393796"/>
      <w:bookmarkStart w:id="29" w:name="_Toc28359008"/>
      <w:bookmarkStart w:id="30" w:name="_Toc28359085"/>
      <w:bookmarkStart w:id="31" w:name="_Toc35393627"/>
      <w:r>
        <w:rPr>
          <w:rFonts w:hint="eastAsia" w:ascii="宋体" w:hAnsi="宋体" w:eastAsia="宋体" w:cs="宋体"/>
          <w:sz w:val="24"/>
          <w:szCs w:val="24"/>
          <w:highlight w:val="none"/>
        </w:rPr>
        <w:t>七、对本次招标提出询问，请按以下方式联系。</w:t>
      </w:r>
      <w:bookmarkEnd w:id="28"/>
      <w:bookmarkEnd w:id="29"/>
      <w:bookmarkEnd w:id="30"/>
      <w:bookmarkEnd w:id="31"/>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信息</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称：</w:t>
      </w:r>
      <w:r>
        <w:rPr>
          <w:rFonts w:hint="eastAsia" w:ascii="宋体" w:hAnsi="宋体" w:cs="宋体"/>
          <w:color w:val="auto"/>
          <w:sz w:val="24"/>
          <w:szCs w:val="24"/>
          <w:highlight w:val="none"/>
          <w:lang w:eastAsia="zh-CN"/>
        </w:rPr>
        <w:t>莘县综合行政执法局</w:t>
      </w:r>
      <w:r>
        <w:rPr>
          <w:rFonts w:hint="eastAsia" w:ascii="宋体" w:hAnsi="宋体" w:eastAsia="宋体" w:cs="宋体"/>
          <w:color w:val="auto"/>
          <w:sz w:val="24"/>
          <w:szCs w:val="24"/>
          <w:highlight w:val="none"/>
        </w:rPr>
        <w:t>　　　　　　　　　　　　</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址：</w:t>
      </w:r>
      <w:r>
        <w:rPr>
          <w:rFonts w:hint="eastAsia" w:ascii="宋体" w:hAnsi="宋体" w:cs="宋体"/>
          <w:color w:val="auto"/>
          <w:sz w:val="24"/>
          <w:szCs w:val="24"/>
          <w:highlight w:val="none"/>
          <w:lang w:eastAsia="zh-CN"/>
        </w:rPr>
        <w:t>山东省聊城市莘县甘泉路北段</w:t>
      </w:r>
      <w:r>
        <w:rPr>
          <w:rFonts w:hint="eastAsia" w:ascii="宋体" w:hAnsi="宋体" w:eastAsia="宋体" w:cs="宋体"/>
          <w:color w:val="auto"/>
          <w:sz w:val="24"/>
          <w:szCs w:val="24"/>
          <w:highlight w:val="none"/>
        </w:rPr>
        <w:t>　　　　　　　　　　　　</w:t>
      </w:r>
    </w:p>
    <w:p>
      <w:pPr>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val="en-US" w:eastAsia="zh-CN"/>
        </w:rPr>
        <w:t xml:space="preserve">0635-7197739 </w:t>
      </w:r>
      <w:r>
        <w:rPr>
          <w:rFonts w:hint="eastAsia" w:ascii="宋体" w:hAnsi="宋体" w:eastAsia="宋体" w:cs="宋体"/>
          <w:color w:val="auto"/>
          <w:sz w:val="24"/>
          <w:szCs w:val="24"/>
          <w:highlight w:val="none"/>
        </w:rPr>
        <w:t>　　</w:t>
      </w:r>
      <w:r>
        <w:rPr>
          <w:rFonts w:hint="eastAsia" w:ascii="宋体" w:hAnsi="宋体" w:eastAsia="宋体" w:cs="宋体"/>
          <w:sz w:val="24"/>
          <w:szCs w:val="24"/>
          <w:highlight w:val="none"/>
        </w:rPr>
        <w:t xml:space="preserve">　　　　　　　　 </w:t>
      </w:r>
      <w:bookmarkStart w:id="32" w:name="_Toc28359009"/>
      <w:bookmarkStart w:id="33" w:name="_Toc28359086"/>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信息</w:t>
      </w:r>
      <w:bookmarkEnd w:id="32"/>
      <w:bookmarkEnd w:id="33"/>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名</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称：</w:t>
      </w:r>
      <w:r>
        <w:rPr>
          <w:rFonts w:hint="eastAsia" w:asciiTheme="minorEastAsia" w:hAnsiTheme="minorEastAsia" w:eastAsiaTheme="minorEastAsia" w:cstheme="minorEastAsia"/>
          <w:color w:val="000000"/>
          <w:sz w:val="24"/>
          <w:szCs w:val="24"/>
          <w:highlight w:val="none"/>
          <w:lang w:eastAsia="zh-CN"/>
        </w:rPr>
        <w:t>山东昌润项目管理有限公司</w:t>
      </w:r>
      <w:r>
        <w:rPr>
          <w:rFonts w:hint="eastAsia" w:ascii="宋体" w:hAnsi="宋体" w:eastAsia="宋体" w:cs="宋体"/>
          <w:sz w:val="24"/>
          <w:szCs w:val="24"/>
          <w:highlight w:val="none"/>
        </w:rPr>
        <w:t>　　　　　　　　　　　　</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址：</w:t>
      </w:r>
      <w:r>
        <w:rPr>
          <w:rFonts w:hint="eastAsia" w:asciiTheme="minorEastAsia" w:hAnsiTheme="minorEastAsia" w:eastAsiaTheme="minorEastAsia" w:cstheme="minorEastAsia"/>
          <w:color w:val="000000"/>
          <w:sz w:val="24"/>
          <w:szCs w:val="24"/>
          <w:highlight w:val="none"/>
          <w:lang w:eastAsia="zh-CN"/>
        </w:rPr>
        <w:t>聊城市东昌路市委对过工商银行东邻6楼621室</w:t>
      </w:r>
      <w:r>
        <w:rPr>
          <w:rFonts w:hint="eastAsia" w:ascii="宋体" w:hAnsi="宋体" w:eastAsia="宋体" w:cs="宋体"/>
          <w:sz w:val="24"/>
          <w:szCs w:val="24"/>
          <w:highlight w:val="none"/>
        </w:rPr>
        <w:t>　　　　　　　　　　　　</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bookmarkStart w:id="34" w:name="_Toc28359010"/>
      <w:bookmarkStart w:id="35" w:name="_Toc28359087"/>
      <w:r>
        <w:rPr>
          <w:rFonts w:hint="eastAsia" w:asciiTheme="minorEastAsia" w:hAnsiTheme="minorEastAsia" w:eastAsiaTheme="minorEastAsia" w:cstheme="minorEastAsia"/>
          <w:color w:val="000000"/>
          <w:sz w:val="24"/>
          <w:szCs w:val="24"/>
          <w:highlight w:val="none"/>
          <w:lang w:eastAsia="zh-CN"/>
        </w:rPr>
        <w:t>18365724789</w:t>
      </w:r>
      <w:r>
        <w:rPr>
          <w:rFonts w:hint="eastAsia" w:asciiTheme="minorEastAsia" w:hAnsiTheme="minorEastAsia" w:eastAsiaTheme="minorEastAsia" w:cstheme="minorEastAsia"/>
          <w:color w:val="000000"/>
          <w:sz w:val="24"/>
          <w:szCs w:val="24"/>
          <w:highlight w:val="none"/>
        </w:rPr>
        <w:t xml:space="preserve"> </w:t>
      </w:r>
      <w:r>
        <w:rPr>
          <w:rFonts w:hint="eastAsia" w:ascii="宋体" w:hAnsi="宋体" w:eastAsia="宋体" w:cs="宋体"/>
          <w:sz w:val="24"/>
          <w:szCs w:val="24"/>
          <w:highlight w:val="none"/>
        </w:rPr>
        <w:t>　　　　　　　　　　　　</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3.项目联系方式</w:t>
      </w:r>
      <w:bookmarkEnd w:id="34"/>
      <w:bookmarkEnd w:id="35"/>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项目联系人：</w:t>
      </w:r>
      <w:r>
        <w:rPr>
          <w:rFonts w:hint="eastAsia" w:ascii="宋体" w:hAnsi="宋体" w:cs="宋体"/>
          <w:sz w:val="24"/>
          <w:szCs w:val="24"/>
          <w:highlight w:val="none"/>
          <w:lang w:eastAsia="zh-CN"/>
        </w:rPr>
        <w:t>林工</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电</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话：</w:t>
      </w:r>
      <w:r>
        <w:rPr>
          <w:rFonts w:hint="eastAsia" w:asciiTheme="minorEastAsia" w:hAnsiTheme="minorEastAsia" w:eastAsiaTheme="minorEastAsia" w:cstheme="minorEastAsia"/>
          <w:color w:val="000000"/>
          <w:sz w:val="24"/>
          <w:szCs w:val="24"/>
          <w:highlight w:val="none"/>
          <w:lang w:eastAsia="zh-CN"/>
        </w:rPr>
        <w:t>18365724789</w:t>
      </w:r>
      <w:r>
        <w:rPr>
          <w:rFonts w:hint="eastAsia" w:ascii="宋体" w:hAnsi="宋体" w:eastAsia="宋体" w:cs="宋体"/>
          <w:sz w:val="24"/>
          <w:szCs w:val="24"/>
          <w:highlight w:val="none"/>
        </w:rPr>
        <w:t>　　　</w:t>
      </w:r>
    </w:p>
    <w:p>
      <w:pPr>
        <w:spacing w:line="360" w:lineRule="auto"/>
        <w:jc w:val="right"/>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山东昌润项目管理有限公司</w:t>
      </w:r>
    </w:p>
    <w:p>
      <w:pPr>
        <w:spacing w:line="360" w:lineRule="auto"/>
        <w:jc w:val="righ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202</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eastAsia="zh-CN"/>
        </w:rPr>
        <w:t>年</w:t>
      </w:r>
      <w:r>
        <w:rPr>
          <w:rFonts w:hint="eastAsia" w:ascii="宋体" w:hAnsi="宋体" w:cs="宋体"/>
          <w:sz w:val="24"/>
          <w:szCs w:val="24"/>
          <w:highlight w:val="none"/>
          <w:lang w:val="en-US" w:eastAsia="zh-CN"/>
        </w:rPr>
        <w:t>04</w:t>
      </w:r>
      <w:r>
        <w:rPr>
          <w:rFonts w:hint="eastAsia" w:ascii="宋体" w:hAnsi="宋体" w:eastAsia="宋体" w:cs="宋体"/>
          <w:sz w:val="24"/>
          <w:szCs w:val="24"/>
          <w:highlight w:val="none"/>
          <w:lang w:eastAsia="zh-CN"/>
        </w:rPr>
        <w:t>月</w:t>
      </w:r>
      <w:r>
        <w:rPr>
          <w:rFonts w:hint="eastAsia" w:ascii="宋体" w:hAnsi="宋体" w:cs="宋体"/>
          <w:sz w:val="24"/>
          <w:szCs w:val="24"/>
          <w:highlight w:val="none"/>
          <w:lang w:val="en-US" w:eastAsia="zh-CN"/>
        </w:rPr>
        <w:t>07</w:t>
      </w:r>
      <w:r>
        <w:rPr>
          <w:rFonts w:hint="eastAsia" w:ascii="宋体" w:hAnsi="宋体" w:eastAsia="宋体" w:cs="宋体"/>
          <w:sz w:val="24"/>
          <w:szCs w:val="24"/>
          <w:highlight w:val="none"/>
          <w:lang w:eastAsia="zh-CN"/>
        </w:rPr>
        <w:t>日</w:t>
      </w:r>
    </w:p>
    <w:p>
      <w:pPr>
        <w:rPr>
          <w:b/>
          <w:color w:val="000000" w:themeColor="text1"/>
          <w:sz w:val="36"/>
          <w:szCs w:val="36"/>
          <w:highlight w:val="none"/>
          <w14:textFill>
            <w14:solidFill>
              <w14:schemeClr w14:val="tx1"/>
            </w14:solidFill>
          </w14:textFill>
        </w:rPr>
      </w:pPr>
      <w:bookmarkStart w:id="36" w:name="_Toc3399"/>
      <w:bookmarkStart w:id="37" w:name="_Toc26730"/>
      <w:r>
        <w:rPr>
          <w:b/>
          <w:color w:val="000000" w:themeColor="text1"/>
          <w:sz w:val="36"/>
          <w:szCs w:val="36"/>
          <w:highlight w:val="none"/>
          <w14:textFill>
            <w14:solidFill>
              <w14:schemeClr w14:val="tx1"/>
            </w14:solidFill>
          </w14:textFill>
        </w:rPr>
        <w:br w:type="page"/>
      </w:r>
    </w:p>
    <w:p>
      <w:pPr>
        <w:keepNext w:val="0"/>
        <w:keepLines w:val="0"/>
        <w:pageBreakBefore w:val="0"/>
        <w:kinsoku/>
        <w:wordWrap/>
        <w:overflowPunct/>
        <w:topLinePunct w:val="0"/>
        <w:autoSpaceDE/>
        <w:autoSpaceDN/>
        <w:bidi w:val="0"/>
        <w:spacing w:line="360" w:lineRule="auto"/>
        <w:jc w:val="center"/>
        <w:textAlignment w:val="auto"/>
        <w:rPr>
          <w:b/>
          <w:color w:val="000000" w:themeColor="text1"/>
          <w:sz w:val="36"/>
          <w:szCs w:val="36"/>
          <w:highlight w:val="none"/>
          <w14:textFill>
            <w14:solidFill>
              <w14:schemeClr w14:val="tx1"/>
            </w14:solidFill>
          </w14:textFill>
        </w:rPr>
      </w:pPr>
      <w:r>
        <w:rPr>
          <w:sz w:val="36"/>
        </w:rPr>
        <mc:AlternateContent>
          <mc:Choice Requires="wps">
            <w:drawing>
              <wp:anchor distT="0" distB="0" distL="114300" distR="114300" simplePos="0" relativeHeight="251659264" behindDoc="0" locked="0" layoutInCell="1" hidden="1" allowOverlap="1">
                <wp:simplePos x="0" y="0"/>
                <wp:positionH relativeFrom="column">
                  <wp:posOffset>-814705</wp:posOffset>
                </wp:positionH>
                <wp:positionV relativeFrom="paragraph">
                  <wp:posOffset>-789940</wp:posOffset>
                </wp:positionV>
                <wp:extent cx="63500" cy="63500"/>
                <wp:effectExtent l="12700" t="12700" r="19050" b="19050"/>
                <wp:wrapNone/>
                <wp:docPr id="2" name="KGD_Gobal1" descr="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style="position:absolute;left:0pt;margin-left:-64.15pt;margin-top:-62.2pt;height:5pt;width:5pt;visibility:hidden;z-index:251659264;v-text-anchor:middle;mso-width-relative:page;mso-height-relative:page;" fillcolor="#4F81BD [3204]" filled="t" stroked="t" coordsize="21600,21600" o:gfxdata="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">
                <v:fill on="t" focussize="0,0"/>
                <v:stroke weight="2pt" color="#376092 [2404]" joinstyle="round"/>
                <v:imagedata o:title=""/>
                <o:lock v:ext="edit" aspectratio="f"/>
              </v:rect>
            </w:pict>
          </mc:Fallback>
        </mc:AlternateContent>
      </w:r>
      <w:r>
        <w:rPr>
          <w:b/>
          <w:color w:val="000000" w:themeColor="text1"/>
          <w:sz w:val="36"/>
          <w:szCs w:val="36"/>
          <w:highlight w:val="none"/>
          <w14:textFill>
            <w14:solidFill>
              <w14:schemeClr w14:val="tx1"/>
            </w14:solidFill>
          </w14:textFill>
        </w:rPr>
        <w:t xml:space="preserve">第二部分  </w:t>
      </w:r>
      <w:bookmarkEnd w:id="8"/>
      <w:bookmarkEnd w:id="9"/>
      <w:bookmarkStart w:id="38" w:name="_Toc353257257"/>
      <w:r>
        <w:rPr>
          <w:b/>
          <w:color w:val="000000" w:themeColor="text1"/>
          <w:sz w:val="36"/>
          <w:szCs w:val="36"/>
          <w:highlight w:val="none"/>
          <w14:textFill>
            <w14:solidFill>
              <w14:schemeClr w14:val="tx1"/>
            </w14:solidFill>
          </w14:textFill>
        </w:rPr>
        <w:t>投标人须知</w:t>
      </w:r>
      <w:bookmarkEnd w:id="36"/>
      <w:bookmarkEnd w:id="37"/>
    </w:p>
    <w:tbl>
      <w:tblPr>
        <w:tblStyle w:val="74"/>
        <w:tblW w:w="98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2042"/>
        <w:gridCol w:w="71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项号</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内　　容</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规　　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莘县城区绿化苗木采购项目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名称</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莘县综合行政执法局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招标内容</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i w:val="0"/>
                <w:iCs w:val="0"/>
                <w:kern w:val="2"/>
                <w:sz w:val="24"/>
                <w:szCs w:val="24"/>
                <w:highlight w:val="none"/>
              </w:rPr>
              <w:t>本项目共</w:t>
            </w:r>
            <w:r>
              <w:rPr>
                <w:rFonts w:hint="eastAsia" w:ascii="宋体" w:hAnsi="宋体" w:eastAsia="宋体" w:cs="宋体"/>
                <w:i w:val="0"/>
                <w:iCs w:val="0"/>
                <w:kern w:val="2"/>
                <w:sz w:val="24"/>
                <w:szCs w:val="24"/>
                <w:highlight w:val="none"/>
                <w:lang w:eastAsia="zh-CN"/>
              </w:rPr>
              <w:t>一</w:t>
            </w:r>
            <w:r>
              <w:rPr>
                <w:rFonts w:hint="eastAsia" w:ascii="宋体" w:hAnsi="宋体" w:eastAsia="宋体" w:cs="宋体"/>
                <w:i w:val="0"/>
                <w:iCs w:val="0"/>
                <w:kern w:val="2"/>
                <w:sz w:val="24"/>
                <w:szCs w:val="24"/>
                <w:highlight w:val="none"/>
              </w:rPr>
              <w:t>个</w:t>
            </w:r>
            <w:r>
              <w:rPr>
                <w:rFonts w:hint="eastAsia" w:ascii="宋体" w:hAnsi="宋体" w:eastAsia="宋体" w:cs="宋体"/>
                <w:i w:val="0"/>
                <w:iCs w:val="0"/>
                <w:kern w:val="2"/>
                <w:sz w:val="24"/>
                <w:szCs w:val="24"/>
                <w:highlight w:val="none"/>
                <w:lang w:eastAsia="zh-CN"/>
              </w:rPr>
              <w:t>标段</w:t>
            </w:r>
            <w:r>
              <w:rPr>
                <w:rFonts w:hint="eastAsia" w:ascii="宋体" w:hAnsi="宋体" w:eastAsia="宋体" w:cs="宋体"/>
                <w:i w:val="0"/>
                <w:iCs w:val="0"/>
                <w:kern w:val="2"/>
                <w:sz w:val="24"/>
                <w:szCs w:val="24"/>
                <w:highlight w:val="none"/>
              </w:rPr>
              <w:t>，具体内容见项目说明。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招标方式</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投标人资格要求</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见公告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资格审查</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投标人需提交的资格审查文件</w:t>
            </w:r>
          </w:p>
        </w:tc>
        <w:tc>
          <w:tcPr>
            <w:tcW w:w="7139" w:type="dxa"/>
            <w:vAlign w:val="center"/>
          </w:tcPr>
          <w:p>
            <w:pPr>
              <w:pStyle w:val="718"/>
              <w:spacing w:before="79"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 xml:space="preserve">文件中提供如下资格审查文件： </w:t>
            </w:r>
          </w:p>
          <w:p>
            <w:pPr>
              <w:pStyle w:val="718"/>
              <w:numPr>
                <w:ilvl w:val="0"/>
                <w:numId w:val="0"/>
              </w:numPr>
              <w:spacing w:before="79" w:line="360" w:lineRule="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rPr>
              <w:t>营业执照；</w:t>
            </w:r>
          </w:p>
          <w:p>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zh-CN"/>
              </w:rPr>
              <w:t>财务状况证明。是指提供</w:t>
            </w:r>
            <w:r>
              <w:rPr>
                <w:rFonts w:hint="eastAsia" w:ascii="宋体" w:hAnsi="宋体" w:eastAsia="宋体" w:cs="宋体"/>
                <w:sz w:val="24"/>
                <w:szCs w:val="24"/>
                <w:highlight w:val="none"/>
                <w:lang w:val="en-US" w:eastAsia="zh-CN"/>
              </w:rPr>
              <w:t>2022年度</w:t>
            </w:r>
            <w:r>
              <w:rPr>
                <w:rFonts w:hint="eastAsia" w:ascii="宋体" w:hAnsi="宋体" w:cs="宋体"/>
                <w:sz w:val="24"/>
                <w:szCs w:val="24"/>
                <w:highlight w:val="none"/>
                <w:lang w:val="en-US" w:eastAsia="zh-CN"/>
              </w:rPr>
              <w:t>或2023年度</w:t>
            </w:r>
            <w:r>
              <w:rPr>
                <w:rFonts w:hint="eastAsia" w:ascii="宋体" w:hAnsi="宋体" w:eastAsia="宋体" w:cs="宋体"/>
                <w:sz w:val="24"/>
                <w:szCs w:val="24"/>
                <w:highlight w:val="none"/>
                <w:lang w:val="zh-CN"/>
              </w:rPr>
              <w:t>财务状况报告或银行开具的资信证明；（新成立公司提供成立日期以来的财务报表）；</w:t>
            </w:r>
          </w:p>
          <w:p>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zh-CN"/>
              </w:rPr>
              <w:t>依法缴纳税收的证明。是指提供供应商近半年（不少于一个月）的缴税证明，为税务部门出具的完税凭证或缴税证明或银行出具的“银行电子缴税付款凭证”</w:t>
            </w:r>
            <w:bookmarkStart w:id="97" w:name="_GoBack"/>
            <w:r>
              <w:rPr>
                <w:rFonts w:hint="eastAsia" w:ascii="宋体" w:hAnsi="宋体" w:eastAsia="宋体" w:cs="宋体"/>
                <w:sz w:val="24"/>
                <w:szCs w:val="24"/>
                <w:highlight w:val="none"/>
                <w:lang w:val="zh-CN"/>
              </w:rPr>
              <w:t>（依法</w:t>
            </w:r>
            <w:r>
              <w:rPr>
                <w:rFonts w:hint="eastAsia" w:ascii="宋体" w:hAnsi="宋体" w:eastAsia="宋体" w:cs="宋体"/>
                <w:sz w:val="24"/>
                <w:szCs w:val="24"/>
                <w:highlight w:val="none"/>
              </w:rPr>
              <w:t>免税企业须提供免税证明</w:t>
            </w:r>
            <w:r>
              <w:rPr>
                <w:rFonts w:hint="eastAsia" w:ascii="宋体" w:hAnsi="宋体" w:eastAsia="宋体" w:cs="宋体"/>
                <w:sz w:val="24"/>
                <w:szCs w:val="24"/>
                <w:highlight w:val="none"/>
                <w:lang w:val="zh-CN"/>
              </w:rPr>
              <w:t>，依法纳税或依法免税或无欠税证明）</w:t>
            </w:r>
            <w:bookmarkEnd w:id="97"/>
          </w:p>
          <w:p>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zh-CN"/>
              </w:rPr>
              <w:t>依法缴纳社会保障金的证明。是指提供供应商近半年（不少于一个月）的社会保障主管部门出具的社会保障缴纳证明或社会保障缴费清单或税务部门出具的完税凭证；</w:t>
            </w:r>
          </w:p>
          <w:p>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zh-CN"/>
              </w:rPr>
              <w:t>法定代表人的授权委托书及授权代表的身份证扫描件；若法定代表人参加，仅提供法定代表人身份证明书及法人的身份证原件扫描件；（格式见附件）；</w:t>
            </w:r>
          </w:p>
          <w:p>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zh-CN"/>
              </w:rPr>
              <w:t>具备履行合同所必需的设备和专业技术能力的证明材料。是指提供主要生产设备、检验设备表和主要技术、管理、服务人员数量表。格式见附件《履行合同的设备技术能力证明表》加盖公章；</w:t>
            </w:r>
          </w:p>
          <w:p>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lang w:val="zh-CN"/>
              </w:rPr>
              <w:t>参加本次采购活动前3年内在经营活动中没有重大违法记录的声明和信用记录承诺。格式按《无重大违法记录声明》和《信用记录承诺函》；</w:t>
            </w:r>
          </w:p>
          <w:p>
            <w:pPr>
              <w:pStyle w:val="93"/>
              <w:ind w:left="0" w:leftChars="0" w:firstLine="0" w:firstLineChars="0"/>
              <w:rPr>
                <w:rFonts w:hint="eastAsia" w:ascii="宋体" w:hAnsi="宋体" w:eastAsia="宋体" w:cs="宋体"/>
                <w:sz w:val="24"/>
                <w:szCs w:val="24"/>
                <w:highlight w:val="none"/>
                <w:lang w:val="en-US" w:eastAsia="zh-CN"/>
              </w:rPr>
            </w:pPr>
            <w:r>
              <w:rPr>
                <w:rFonts w:hint="eastAsia" w:cs="宋体"/>
                <w:sz w:val="24"/>
                <w:szCs w:val="24"/>
                <w:highlight w:val="none"/>
                <w:lang w:val="en-US" w:eastAsia="zh-CN"/>
              </w:rPr>
              <w:t>8）</w:t>
            </w:r>
            <w:r>
              <w:rPr>
                <w:rFonts w:hint="eastAsia" w:ascii="宋体" w:hAnsi="宋体" w:eastAsia="宋体" w:cs="宋体"/>
                <w:sz w:val="24"/>
                <w:szCs w:val="24"/>
                <w:highlight w:val="none"/>
                <w:lang w:val="en-US" w:eastAsia="zh-CN"/>
              </w:rPr>
              <w:t>《中小企业声明函》格式见附件</w:t>
            </w:r>
          </w:p>
          <w:p>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重要说明：</w:t>
            </w:r>
          </w:p>
          <w:p>
            <w:pPr>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1.资格审查采用资格后审,资格审查的第1-</w:t>
            </w:r>
            <w:r>
              <w:rPr>
                <w:rFonts w:hint="eastAsia" w:ascii="宋体" w:hAnsi="宋体" w:cs="宋体"/>
                <w:b/>
                <w:bCs/>
                <w:sz w:val="24"/>
                <w:szCs w:val="24"/>
                <w:highlight w:val="none"/>
                <w:lang w:val="en-US" w:eastAsia="zh-CN"/>
              </w:rPr>
              <w:t>8</w:t>
            </w:r>
            <w:r>
              <w:rPr>
                <w:rFonts w:hint="eastAsia" w:ascii="宋体" w:hAnsi="宋体" w:eastAsia="宋体" w:cs="宋体"/>
                <w:b/>
                <w:bCs/>
                <w:sz w:val="24"/>
                <w:szCs w:val="24"/>
                <w:highlight w:val="none"/>
              </w:rPr>
              <w:t>项应按招标文件规定格式填写，直接上传至电子标书系统中</w:t>
            </w:r>
            <w:r>
              <w:rPr>
                <w:rFonts w:hint="eastAsia" w:ascii="宋体" w:hAnsi="宋体" w:eastAsia="宋体" w:cs="宋体"/>
                <w:b/>
                <w:bCs/>
                <w:sz w:val="24"/>
                <w:szCs w:val="24"/>
                <w:highlight w:val="none"/>
                <w:lang w:eastAsia="zh-CN"/>
              </w:rPr>
              <w:t>。</w:t>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电子标书中获取的所有扫描件均为原件</w:t>
            </w:r>
            <w:r>
              <w:rPr>
                <w:rFonts w:hint="eastAsia" w:ascii="宋体" w:hAnsi="宋体" w:eastAsia="宋体" w:cs="宋体"/>
                <w:b/>
                <w:bCs/>
                <w:sz w:val="24"/>
                <w:szCs w:val="24"/>
                <w:highlight w:val="none"/>
                <w:lang w:eastAsia="zh-CN"/>
              </w:rPr>
              <w:t>彩色</w:t>
            </w:r>
            <w:r>
              <w:rPr>
                <w:rFonts w:hint="eastAsia" w:ascii="宋体" w:hAnsi="宋体" w:eastAsia="宋体" w:cs="宋体"/>
                <w:b/>
                <w:bCs/>
                <w:sz w:val="24"/>
                <w:szCs w:val="24"/>
                <w:highlight w:val="none"/>
              </w:rPr>
              <w:t>扫描件，否则不予认可。</w:t>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未按要求提供上述证明视为无效。涉及打分的，不予计算，资格</w:t>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审查的，不予通过。</w:t>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投标企业未按照上述重要说明的要求提供材料、证件或制作电子标书的，作无效标处理。</w:t>
            </w:r>
          </w:p>
          <w:p>
            <w:pPr>
              <w:pStyle w:val="73"/>
              <w:spacing w:line="360" w:lineRule="auto"/>
              <w:ind w:left="0" w:leftChars="0" w:firstLine="0" w:firstLineChars="0"/>
              <w:rPr>
                <w:rFonts w:hint="eastAsia" w:ascii="宋体" w:hAnsi="宋体" w:eastAsia="宋体" w:cs="宋体"/>
                <w:sz w:val="24"/>
                <w:szCs w:val="24"/>
                <w:highlight w:val="none"/>
              </w:rPr>
            </w:pPr>
            <w:r>
              <w:rPr>
                <w:rFonts w:hint="eastAsia" w:ascii="宋体" w:hAnsi="宋体" w:eastAsia="宋体" w:cs="宋体"/>
                <w:b/>
                <w:bCs/>
                <w:sz w:val="24"/>
                <w:szCs w:val="24"/>
                <w:highlight w:val="none"/>
              </w:rPr>
              <w:t>依法免税或不需要缴纳社会保障资金的</w:t>
            </w:r>
            <w:r>
              <w:rPr>
                <w:rFonts w:hint="eastAsia" w:ascii="宋体" w:hAnsi="宋体" w:eastAsia="宋体" w:cs="宋体"/>
                <w:b/>
                <w:bCs/>
                <w:sz w:val="24"/>
                <w:szCs w:val="24"/>
                <w:highlight w:val="none"/>
                <w:lang w:eastAsia="zh-CN"/>
              </w:rPr>
              <w:t>投标人</w:t>
            </w:r>
            <w:r>
              <w:rPr>
                <w:rFonts w:hint="eastAsia" w:ascii="宋体" w:hAnsi="宋体" w:eastAsia="宋体" w:cs="宋体"/>
                <w:b/>
                <w:bCs/>
                <w:sz w:val="24"/>
                <w:szCs w:val="24"/>
                <w:highlight w:val="none"/>
              </w:rPr>
              <w:t>，应提供相应文件证明其依法免税或不需要缴纳社会保障资金；其中依法在山东省缴纳税收和社会保障资金的供应商，参与聊城市各级政府采购活动，可不提供</w:t>
            </w:r>
            <w:r>
              <w:rPr>
                <w:rFonts w:hint="eastAsia" w:ascii="宋体" w:hAnsi="宋体" w:cs="宋体"/>
                <w:b/>
                <w:bCs/>
                <w:sz w:val="24"/>
                <w:szCs w:val="24"/>
                <w:highlight w:val="none"/>
                <w:lang w:val="en-US" w:eastAsia="zh-CN"/>
              </w:rPr>
              <w:t>3、4</w:t>
            </w:r>
            <w:r>
              <w:rPr>
                <w:rFonts w:hint="eastAsia" w:ascii="宋体" w:hAnsi="宋体" w:eastAsia="宋体" w:cs="宋体"/>
                <w:b/>
                <w:bCs/>
                <w:sz w:val="24"/>
                <w:szCs w:val="24"/>
                <w:highlight w:val="none"/>
              </w:rPr>
              <w:t>两项，改为在投标（响应)文件中提供《依法缴纳税收和社会保障资金承诺函》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714"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8</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交货期</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签订合同后</w:t>
            </w:r>
            <w:r>
              <w:rPr>
                <w:rFonts w:hint="eastAsia" w:ascii="宋体" w:hAnsi="宋体" w:cs="宋体"/>
                <w:b w:val="0"/>
                <w:bCs w:val="0"/>
                <w:color w:val="auto"/>
                <w:sz w:val="24"/>
                <w:szCs w:val="24"/>
                <w:highlight w:val="none"/>
                <w:lang w:val="en-US" w:eastAsia="zh-CN"/>
              </w:rPr>
              <w:t>15</w:t>
            </w:r>
            <w:r>
              <w:rPr>
                <w:rFonts w:hint="eastAsia" w:ascii="宋体" w:hAnsi="宋体" w:eastAsia="宋体" w:cs="宋体"/>
                <w:b w:val="0"/>
                <w:bCs w:val="0"/>
                <w:color w:val="auto"/>
                <w:sz w:val="24"/>
                <w:szCs w:val="24"/>
                <w:highlight w:val="none"/>
              </w:rPr>
              <w:t>天内交货完毕。(负偏离无效)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714"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highlight w:val="none"/>
              </w:rPr>
            </w:pP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逾期违约金</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rPr>
            </w:pPr>
            <w:r>
              <w:rPr>
                <w:rFonts w:hint="eastAsia" w:ascii="宋体" w:hAnsi="宋体" w:cs="宋体"/>
                <w:sz w:val="24"/>
                <w:highlight w:val="none"/>
              </w:rPr>
              <w:t>非招标人原因造成的交货期延误，每超一天扣罚中标总价的千分之三以上。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9</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质保期</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苗木保活期：1年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0</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交货地点</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招标人</w:t>
            </w:r>
            <w:r>
              <w:rPr>
                <w:rFonts w:hint="eastAsia" w:ascii="宋体" w:hAnsi="宋体" w:eastAsia="宋体" w:cs="宋体"/>
                <w:b w:val="0"/>
                <w:bCs w:val="0"/>
                <w:color w:val="auto"/>
                <w:sz w:val="24"/>
                <w:szCs w:val="24"/>
                <w:highlight w:val="none"/>
              </w:rPr>
              <w:t>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1</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w:t>
            </w:r>
          </w:p>
        </w:tc>
        <w:tc>
          <w:tcPr>
            <w:tcW w:w="7139" w:type="dxa"/>
            <w:vAlign w:val="center"/>
          </w:tcPr>
          <w:p>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本次报价为一次性报价，总报价应包含货物的生产、包装、运输、 </w:t>
            </w:r>
          </w:p>
          <w:p>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装卸、安装、调试、培训、验收、保险、税金、运杂、安装所需的</w:t>
            </w:r>
          </w:p>
          <w:p>
            <w:pPr>
              <w:keepNext w:val="0"/>
              <w:keepLines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kern w:val="0"/>
                <w:sz w:val="24"/>
                <w:szCs w:val="24"/>
                <w:highlight w:val="none"/>
                <w:lang w:val="en-US" w:eastAsia="zh-CN" w:bidi="ar"/>
              </w:rPr>
              <w:t>投标报价零部件、附材及质保服务等全部费用（即交钥匙项目）。投标人应列入而未列入的费用，均视为已包含在投标总价中。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付款方式</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合同签订后预付合同价款的30%，供货完毕，经验收合格后，付至合同价款的9</w:t>
            </w:r>
            <w:r>
              <w:rPr>
                <w:rFonts w:hint="eastAsia" w:ascii="宋体" w:hAnsi="宋体" w:cs="宋体"/>
                <w:color w:val="000000"/>
                <w:kern w:val="0"/>
                <w:sz w:val="24"/>
                <w:szCs w:val="24"/>
                <w:highlight w:val="none"/>
                <w:lang w:val="en-US" w:eastAsia="zh-CN" w:bidi="ar"/>
              </w:rPr>
              <w:t>7</w:t>
            </w:r>
            <w:r>
              <w:rPr>
                <w:rFonts w:hint="eastAsia" w:ascii="宋体" w:hAnsi="宋体" w:eastAsia="宋体" w:cs="宋体"/>
                <w:color w:val="000000"/>
                <w:kern w:val="0"/>
                <w:sz w:val="24"/>
                <w:szCs w:val="24"/>
                <w:highlight w:val="none"/>
                <w:lang w:val="en-US" w:eastAsia="zh-CN" w:bidi="ar"/>
              </w:rPr>
              <w:t>%,余款一年后无任何质量问题一次性无息付清。（负偏离视为无效报价）</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
                <w:bCs/>
                <w:sz w:val="24"/>
                <w:szCs w:val="24"/>
                <w:highlight w:val="none"/>
                <w:lang w:eastAsia="zh-CN"/>
              </w:rPr>
              <w:t>备注：</w:t>
            </w:r>
            <w:r>
              <w:rPr>
                <w:rFonts w:hint="eastAsia" w:ascii="宋体" w:hAnsi="宋体" w:eastAsia="宋体" w:cs="宋体"/>
                <w:b/>
                <w:bCs/>
                <w:sz w:val="24"/>
                <w:szCs w:val="24"/>
                <w:highlight w:val="none"/>
                <w:lang w:val="en-US" w:eastAsia="zh-CN"/>
              </w:rPr>
              <w:t>因本项目为预采购，待指标到位后，方可开始付款。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预算金额</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i w:val="0"/>
                <w:iCs w:val="0"/>
                <w:color w:val="auto"/>
                <w:kern w:val="2"/>
                <w:sz w:val="24"/>
                <w:szCs w:val="24"/>
                <w:highlight w:val="none"/>
                <w:lang w:val="en-US" w:eastAsia="zh-CN"/>
              </w:rPr>
              <w:t>265万元</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（投标报价超过此预算金额，按无效投标处理）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资金来源</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投标有效期</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90天（日历</w:t>
            </w:r>
            <w:r>
              <w:rPr>
                <w:rFonts w:hint="eastAsia" w:ascii="宋体" w:hAnsi="宋体" w:eastAsia="宋体" w:cs="宋体"/>
                <w:sz w:val="24"/>
                <w:szCs w:val="24"/>
                <w:highlight w:val="none"/>
                <w:lang w:val="en-US" w:eastAsia="zh-CN"/>
              </w:rPr>
              <w:t>天</w:t>
            </w:r>
            <w:r>
              <w:rPr>
                <w:rFonts w:hint="eastAsia" w:ascii="宋体" w:hAnsi="宋体" w:eastAsia="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16</w:t>
            </w:r>
          </w:p>
        </w:tc>
        <w:tc>
          <w:tcPr>
            <w:tcW w:w="2042" w:type="dxa"/>
            <w:vAlign w:val="center"/>
          </w:tcPr>
          <w:p>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cs="宋体"/>
                <w:kern w:val="0"/>
                <w:sz w:val="24"/>
                <w:highlight w:val="none"/>
              </w:rPr>
              <w:t>踏勘现场</w:t>
            </w:r>
          </w:p>
        </w:tc>
        <w:tc>
          <w:tcPr>
            <w:tcW w:w="7139" w:type="dxa"/>
            <w:vAlign w:val="center"/>
          </w:tcPr>
          <w:p>
            <w:pPr>
              <w:spacing w:line="360" w:lineRule="auto"/>
              <w:rPr>
                <w:rFonts w:hint="eastAsia" w:ascii="宋体" w:hAnsi="宋体" w:cs="宋体"/>
                <w:sz w:val="24"/>
                <w:highlight w:val="none"/>
              </w:rPr>
            </w:pPr>
            <w:r>
              <w:rPr>
                <w:rFonts w:hint="eastAsia" w:ascii="宋体" w:hAnsi="宋体" w:cs="宋体"/>
                <w:sz w:val="24"/>
                <w:highlight w:val="none"/>
              </w:rPr>
              <w:t>不统一组织投标人踏勘现场。</w:t>
            </w:r>
          </w:p>
          <w:p>
            <w:pPr>
              <w:spacing w:line="360" w:lineRule="auto"/>
              <w:rPr>
                <w:rFonts w:hint="eastAsia" w:ascii="宋体" w:hAnsi="宋体" w:eastAsia="宋体" w:cs="宋体"/>
                <w:sz w:val="24"/>
                <w:szCs w:val="24"/>
                <w:highlight w:val="none"/>
              </w:rPr>
            </w:pPr>
            <w:r>
              <w:rPr>
                <w:rFonts w:hint="eastAsia" w:ascii="宋体" w:hAnsi="宋体" w:cs="宋体"/>
                <w:sz w:val="24"/>
                <w:highlight w:val="none"/>
              </w:rPr>
              <w:t>投标人可自行</w:t>
            </w:r>
            <w:r>
              <w:rPr>
                <w:rFonts w:hint="eastAsia" w:ascii="宋体" w:hAnsi="宋体" w:cs="宋体"/>
                <w:sz w:val="24"/>
                <w:highlight w:val="none"/>
                <w:lang w:eastAsia="zh-CN"/>
              </w:rPr>
              <w:t>联系招标人</w:t>
            </w:r>
            <w:r>
              <w:rPr>
                <w:rFonts w:hint="eastAsia" w:ascii="宋体" w:hAnsi="宋体" w:cs="宋体"/>
                <w:sz w:val="24"/>
                <w:highlight w:val="none"/>
              </w:rPr>
              <w:t>对项目现场进行踏勘并承担踏勘现场所发生的费用，因此做出的任何推论由投标人自行负责。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7</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投标文件份数</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电子投标文件：加密文件1份，为.lctf 文件，在会员系统中上传；</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若</w:t>
            </w:r>
            <w:r>
              <w:rPr>
                <w:rFonts w:hint="eastAsia" w:ascii="宋体" w:hAnsi="宋体" w:eastAsia="宋体" w:cs="宋体"/>
                <w:sz w:val="24"/>
                <w:szCs w:val="24"/>
                <w:highlight w:val="none"/>
                <w:lang w:val="en-US" w:eastAsia="zh-CN"/>
              </w:rPr>
              <w:t>中标</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还需提交</w:t>
            </w:r>
            <w:r>
              <w:rPr>
                <w:rFonts w:hint="eastAsia" w:ascii="宋体" w:hAnsi="宋体" w:eastAsia="宋体" w:cs="宋体"/>
                <w:sz w:val="24"/>
                <w:szCs w:val="24"/>
                <w:highlight w:val="none"/>
                <w:lang w:val="en-US" w:eastAsia="zh-CN"/>
              </w:rPr>
              <w:t>四份</w:t>
            </w:r>
            <w:r>
              <w:rPr>
                <w:rFonts w:hint="eastAsia" w:ascii="宋体" w:hAnsi="宋体" w:eastAsia="宋体" w:cs="宋体"/>
                <w:sz w:val="24"/>
                <w:szCs w:val="24"/>
                <w:highlight w:val="none"/>
              </w:rPr>
              <w:t>胶装的系统内生成的 PDF 版纸质投标文件，并按要求加盖公章。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8</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答疑安排</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一、本次招标文件以聊城市公共资源交易平台系统内发售下载的为准，各投标企业需及时查看系统内澄清答疑情况，澄清答疑后的文件为最终文件。</w:t>
            </w:r>
          </w:p>
          <w:p>
            <w:pPr>
              <w:pStyle w:val="718"/>
              <w:spacing w:before="79" w:line="360" w:lineRule="auto"/>
              <w:ind w:left="10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二、投标人提交疑问时间：</w:t>
            </w:r>
            <w:r>
              <w:rPr>
                <w:rFonts w:hint="eastAsia" w:ascii="宋体" w:hAnsi="宋体" w:eastAsia="宋体" w:cs="宋体"/>
                <w:color w:val="auto"/>
                <w:sz w:val="24"/>
                <w:szCs w:val="24"/>
                <w:highlight w:val="none"/>
              </w:rPr>
              <w:t>获取文件1日内</w:t>
            </w:r>
          </w:p>
          <w:p>
            <w:pPr>
              <w:pStyle w:val="718"/>
              <w:spacing w:before="79" w:line="360" w:lineRule="auto"/>
              <w:ind w:left="109"/>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投标人对招标文件、踏勘现场有询问或者疑问，需招标人解答或者答疑时，应于</w:t>
            </w:r>
            <w:r>
              <w:rPr>
                <w:rFonts w:hint="eastAsia" w:ascii="宋体" w:hAnsi="宋体" w:eastAsia="宋体" w:cs="宋体"/>
                <w:color w:val="auto"/>
                <w:sz w:val="24"/>
                <w:szCs w:val="24"/>
                <w:highlight w:val="none"/>
              </w:rPr>
              <w:t>获取文件1日内</w:t>
            </w:r>
            <w:r>
              <w:rPr>
                <w:rFonts w:hint="eastAsia" w:ascii="宋体" w:hAnsi="宋体" w:eastAsia="宋体" w:cs="宋体"/>
                <w:color w:val="000000" w:themeColor="text1"/>
                <w:sz w:val="24"/>
                <w:szCs w:val="24"/>
                <w:highlight w:val="none"/>
                <w14:textFill>
                  <w14:solidFill>
                    <w14:schemeClr w14:val="tx1"/>
                  </w14:solidFill>
                </w14:textFill>
              </w:rPr>
              <w:t>，选择直接联系</w:t>
            </w:r>
            <w:r>
              <w:rPr>
                <w:rFonts w:hint="eastAsia" w:ascii="宋体" w:hAnsi="宋体" w:eastAsia="宋体" w:cs="宋体"/>
                <w:sz w:val="24"/>
                <w:szCs w:val="24"/>
                <w:highlight w:val="none"/>
              </w:rPr>
              <w:t>代理公司或者在平台系统内提问等形式提出疑问，其中系统发起的提问不得</w:t>
            </w:r>
            <w:r>
              <w:rPr>
                <w:rFonts w:hint="eastAsia" w:ascii="宋体" w:hAnsi="宋体" w:eastAsia="宋体" w:cs="宋体"/>
                <w:sz w:val="24"/>
                <w:szCs w:val="24"/>
                <w:highlight w:val="none"/>
                <w:lang w:eastAsia="zh-CN"/>
              </w:rPr>
              <w:t>透露</w:t>
            </w:r>
            <w:r>
              <w:rPr>
                <w:rFonts w:hint="eastAsia" w:ascii="宋体" w:hAnsi="宋体" w:eastAsia="宋体" w:cs="宋体"/>
                <w:sz w:val="24"/>
                <w:szCs w:val="24"/>
                <w:highlight w:val="none"/>
              </w:rPr>
              <w:t>投标人的名称和联系方式并同时通知代理机构；直接联系代理公司的，应以加盖投标人单位公章的书面文件提出，同时将电子版文件以电子邮件的形式发送至</w:t>
            </w:r>
            <w:r>
              <w:rPr>
                <w:rFonts w:hint="eastAsia" w:cs="宋体"/>
                <w:sz w:val="24"/>
                <w:szCs w:val="24"/>
                <w:highlight w:val="none"/>
                <w:lang w:eastAsia="zh-CN"/>
              </w:rPr>
              <w:t>sdcrxm@163.com</w:t>
            </w:r>
            <w:r>
              <w:rPr>
                <w:rFonts w:hint="eastAsia" w:ascii="宋体" w:hAnsi="宋体" w:eastAsia="宋体" w:cs="宋体"/>
                <w:sz w:val="24"/>
                <w:szCs w:val="24"/>
                <w:highlight w:val="none"/>
              </w:rPr>
              <w:t>并电话通知招标代理</w:t>
            </w:r>
            <w:r>
              <w:rPr>
                <w:rFonts w:hint="eastAsia" w:cs="宋体"/>
                <w:sz w:val="24"/>
                <w:szCs w:val="24"/>
                <w:highlight w:val="none"/>
                <w:lang w:val="en-US" w:eastAsia="zh-CN"/>
              </w:rPr>
              <w:t>18365724789</w:t>
            </w:r>
            <w:r>
              <w:rPr>
                <w:rFonts w:hint="eastAsia" w:ascii="宋体" w:hAnsi="宋体" w:eastAsia="宋体" w:cs="宋体"/>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代理机构根据项目的实际情况或投标人提出的问题，决定是否对招标文件进行澄清说明或补充修改，澄清说明或者补充修改在聊城市公共资源交易网上报名系统中发布，发布之日即视为已通知所有获取招标文件的投标人，各投标人应随时关注报名项目信息并及时登录聊城市公共资源交易系统下载电子版各类澄清答疑，否则所造成的一切后果由投标人自负。补充文件作为招标文件的组成部分，对所有投标人具有最终约束力。另投标人务必把最新的澄清文件导入到投标文件制作工具中，否则无法生成最新投标文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投标人未在规定时间内提出询问或者疑问，视为认同招标文件以及答疑文件内的所有要求，投标人未按照招标文件、解答或者答疑要求报价的，后果自负。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9</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开标地点</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1、将电子投标文件（加密版，后缀名格式为LC</w:t>
            </w:r>
            <w:r>
              <w:rPr>
                <w:rFonts w:hint="eastAsia" w:ascii="宋体" w:hAnsi="宋体" w:eastAsia="宋体" w:cs="宋体"/>
                <w:sz w:val="24"/>
                <w:szCs w:val="24"/>
                <w:highlight w:val="none"/>
                <w:lang w:val="en-US" w:eastAsia="zh-CN"/>
              </w:rPr>
              <w:t>T</w:t>
            </w:r>
            <w:r>
              <w:rPr>
                <w:rFonts w:hint="eastAsia" w:ascii="宋体" w:hAnsi="宋体" w:eastAsia="宋体" w:cs="宋体"/>
                <w:sz w:val="24"/>
                <w:szCs w:val="24"/>
                <w:highlight w:val="none"/>
                <w:lang w:val="zh-CN" w:eastAsia="zh-CN"/>
              </w:rPr>
              <w:t>F）传送到聊城市公共资源交易网会员系统投标文件上传栏目；</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2、开标当日投标人不必抵达开标现场，仅需登录聊城市公共资源交易中心不见面开标大厅参与开标会议；</w:t>
            </w:r>
            <w:r>
              <w:rPr>
                <w:rFonts w:hint="eastAsia" w:ascii="宋体" w:hAnsi="宋体" w:eastAsia="宋体" w:cs="宋体"/>
                <w:sz w:val="24"/>
                <w:szCs w:val="24"/>
                <w:highlight w:val="none"/>
                <w:lang w:val="en-US" w:eastAsia="zh-CN"/>
              </w:rPr>
              <w:t>开标前登录网上不见面开标大厅，完成签到工作。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聊城市公共资源交易中心网上不见面开标大厅（网址：</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"http://120.224.28.53:8093/BidOpening/bidopeninghallaction/hall/login" </w:instrText>
            </w:r>
            <w:r>
              <w:rPr>
                <w:rFonts w:hint="eastAsia" w:ascii="宋体" w:hAnsi="宋体" w:eastAsia="宋体" w:cs="宋体"/>
                <w:sz w:val="24"/>
                <w:szCs w:val="24"/>
                <w:highlight w:val="none"/>
                <w:lang w:eastAsia="zh-CN"/>
              </w:rPr>
              <w:fldChar w:fldCharType="separate"/>
            </w:r>
            <w:r>
              <w:rPr>
                <w:rFonts w:hint="eastAsia" w:ascii="宋体" w:hAnsi="宋体" w:eastAsia="宋体" w:cs="宋体"/>
                <w:sz w:val="24"/>
                <w:szCs w:val="24"/>
                <w:highlight w:val="none"/>
                <w:lang w:eastAsia="zh-CN"/>
              </w:rPr>
              <w:t>http://120.224.28.53:8093/BidOpening//bidopeninghallaction/hall/login</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20</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保证金</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1</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见公告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2</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评标方法</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3</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代理费</w:t>
            </w:r>
          </w:p>
        </w:tc>
        <w:tc>
          <w:tcPr>
            <w:tcW w:w="7139" w:type="dxa"/>
            <w:vAlign w:val="center"/>
          </w:tcPr>
          <w:p>
            <w:pPr>
              <w:keepNext w:val="0"/>
              <w:keepLines w:val="0"/>
              <w:pageBreakBefore w:val="0"/>
              <w:kinsoku/>
              <w:wordWrap/>
              <w:overflowPunct/>
              <w:topLinePunct w:val="0"/>
              <w:autoSpaceDE w:val="0"/>
              <w:autoSpaceDN w:val="0"/>
              <w:bidi w:val="0"/>
              <w:adjustRightInd w:val="0"/>
              <w:snapToGrid w:val="0"/>
              <w:spacing w:line="440" w:lineRule="atLeas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结果公告之日起5个工作日内由</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按</w:t>
            </w:r>
            <w:r>
              <w:rPr>
                <w:rFonts w:hint="eastAsia" w:ascii="宋体" w:hAnsi="宋体" w:eastAsia="宋体" w:cs="宋体"/>
                <w:b/>
                <w:bCs/>
                <w:color w:val="auto"/>
                <w:sz w:val="24"/>
                <w:szCs w:val="24"/>
                <w:highlight w:val="none"/>
              </w:rPr>
              <w:t>发改价格[2011]534号文件规定的（</w:t>
            </w:r>
            <w:r>
              <w:rPr>
                <w:rFonts w:hint="eastAsia" w:ascii="宋体" w:hAnsi="宋体" w:eastAsia="宋体" w:cs="宋体"/>
                <w:b/>
                <w:bCs/>
                <w:color w:val="auto"/>
                <w:sz w:val="24"/>
                <w:szCs w:val="24"/>
                <w:highlight w:val="none"/>
                <w:lang w:val="en-US" w:eastAsia="zh-CN"/>
              </w:rPr>
              <w:t>货物</w:t>
            </w:r>
            <w:r>
              <w:rPr>
                <w:rFonts w:hint="eastAsia" w:ascii="宋体" w:hAnsi="宋体" w:eastAsia="宋体" w:cs="宋体"/>
                <w:b/>
                <w:bCs/>
                <w:color w:val="auto"/>
                <w:sz w:val="24"/>
                <w:szCs w:val="24"/>
                <w:highlight w:val="none"/>
              </w:rPr>
              <w:t>类）标准</w:t>
            </w:r>
            <w:r>
              <w:rPr>
                <w:rFonts w:hint="eastAsia" w:ascii="宋体" w:hAnsi="宋体" w:eastAsia="宋体" w:cs="宋体"/>
                <w:color w:val="auto"/>
                <w:sz w:val="24"/>
                <w:szCs w:val="24"/>
                <w:highlight w:val="none"/>
              </w:rPr>
              <w:t>向采购代理机构交纳代理费。</w:t>
            </w:r>
          </w:p>
          <w:p>
            <w:pPr>
              <w:keepNext w:val="0"/>
              <w:keepLines w:val="0"/>
              <w:pageBreakBefore w:val="0"/>
              <w:kinsoku/>
              <w:wordWrap/>
              <w:overflowPunct/>
              <w:topLinePunct w:val="0"/>
              <w:autoSpaceDE w:val="0"/>
              <w:autoSpaceDN w:val="0"/>
              <w:bidi w:val="0"/>
              <w:adjustRightInd w:val="0"/>
              <w:snapToGrid w:val="0"/>
              <w:spacing w:line="440" w:lineRule="atLeas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代理费交纳后由招标代理机构协助</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签订合同。</w:t>
            </w:r>
          </w:p>
          <w:p>
            <w:pPr>
              <w:keepNext w:val="0"/>
              <w:keepLines w:val="0"/>
              <w:pageBreakBefore w:val="0"/>
              <w:kinsoku/>
              <w:wordWrap/>
              <w:overflowPunct/>
              <w:topLinePunct w:val="0"/>
              <w:autoSpaceDE w:val="0"/>
              <w:autoSpaceDN w:val="0"/>
              <w:bidi w:val="0"/>
              <w:adjustRightInd w:val="0"/>
              <w:snapToGrid w:val="0"/>
              <w:spacing w:line="440" w:lineRule="atLeast"/>
              <w:textAlignment w:val="auto"/>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因未交纳代理费而导致的一切后果由</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自行承担。</w:t>
            </w:r>
          </w:p>
          <w:p>
            <w:pPr>
              <w:spacing w:line="360" w:lineRule="auto"/>
              <w:rPr>
                <w:rFonts w:hint="eastAsia" w:hAnsi="宋体"/>
                <w:color w:val="000000"/>
                <w:sz w:val="24"/>
                <w:szCs w:val="24"/>
                <w:lang w:eastAsia="zh-CN"/>
              </w:rPr>
            </w:pPr>
            <w:r>
              <w:rPr>
                <w:rFonts w:hint="eastAsia" w:hAnsi="宋体"/>
                <w:color w:val="000000"/>
                <w:sz w:val="24"/>
                <w:szCs w:val="24"/>
              </w:rPr>
              <w:t>账</w:t>
            </w:r>
            <w:r>
              <w:rPr>
                <w:rFonts w:hint="eastAsia" w:hAnsi="宋体"/>
                <w:color w:val="000000"/>
                <w:sz w:val="24"/>
                <w:szCs w:val="24"/>
                <w:lang w:val="en-US" w:eastAsia="zh-CN"/>
              </w:rPr>
              <w:t xml:space="preserve">  </w:t>
            </w:r>
            <w:r>
              <w:rPr>
                <w:rFonts w:hint="eastAsia" w:hAnsi="宋体"/>
                <w:color w:val="000000"/>
                <w:sz w:val="24"/>
                <w:szCs w:val="24"/>
              </w:rPr>
              <w:t>号：</w:t>
            </w:r>
            <w:r>
              <w:rPr>
                <w:rFonts w:hint="eastAsia" w:hAnsi="宋体"/>
                <w:color w:val="000000"/>
                <w:sz w:val="24"/>
                <w:szCs w:val="24"/>
                <w:lang w:eastAsia="zh-CN"/>
              </w:rPr>
              <w:t>28400  51684   2050  000  12587</w:t>
            </w:r>
          </w:p>
          <w:p>
            <w:pPr>
              <w:spacing w:line="360" w:lineRule="auto"/>
              <w:rPr>
                <w:rFonts w:hint="eastAsia" w:hAnsi="宋体"/>
                <w:color w:val="000000"/>
                <w:sz w:val="24"/>
                <w:szCs w:val="24"/>
              </w:rPr>
            </w:pPr>
            <w:r>
              <w:rPr>
                <w:rFonts w:hint="eastAsia" w:hAnsi="宋体"/>
                <w:color w:val="000000"/>
                <w:sz w:val="24"/>
                <w:szCs w:val="24"/>
              </w:rPr>
              <w:t>户</w:t>
            </w:r>
            <w:r>
              <w:rPr>
                <w:rFonts w:hint="eastAsia" w:hAnsi="宋体"/>
                <w:color w:val="000000"/>
                <w:sz w:val="24"/>
                <w:szCs w:val="24"/>
                <w:lang w:val="en-US" w:eastAsia="zh-CN"/>
              </w:rPr>
              <w:t xml:space="preserve">  </w:t>
            </w:r>
            <w:r>
              <w:rPr>
                <w:rFonts w:hint="eastAsia" w:hAnsi="宋体"/>
                <w:color w:val="000000"/>
                <w:sz w:val="24"/>
                <w:szCs w:val="24"/>
              </w:rPr>
              <w:t>名：</w:t>
            </w:r>
            <w:r>
              <w:rPr>
                <w:rFonts w:hint="eastAsia" w:hAnsi="宋体"/>
                <w:color w:val="000000"/>
                <w:sz w:val="24"/>
                <w:szCs w:val="24"/>
                <w:lang w:eastAsia="zh-CN"/>
              </w:rPr>
              <w:t>山东昌润项目管理有限公司</w:t>
            </w:r>
          </w:p>
          <w:p>
            <w:pPr>
              <w:spacing w:line="360" w:lineRule="auto"/>
              <w:rPr>
                <w:rFonts w:hint="eastAsia" w:hAnsi="宋体"/>
                <w:color w:val="000000"/>
                <w:sz w:val="24"/>
                <w:szCs w:val="24"/>
              </w:rPr>
            </w:pPr>
            <w:r>
              <w:rPr>
                <w:rFonts w:hint="eastAsia" w:hAnsi="宋体"/>
                <w:color w:val="000000"/>
                <w:sz w:val="24"/>
                <w:szCs w:val="24"/>
              </w:rPr>
              <w:t>开户银行：</w:t>
            </w:r>
            <w:r>
              <w:rPr>
                <w:rFonts w:hint="eastAsia" w:hAnsi="宋体"/>
                <w:color w:val="000000"/>
                <w:sz w:val="24"/>
                <w:szCs w:val="24"/>
                <w:lang w:eastAsia="zh-CN"/>
              </w:rPr>
              <w:t>聊城农村商业银行股份有限公司古楼支行</w:t>
            </w:r>
            <w:r>
              <w:rPr>
                <w:rFonts w:hint="eastAsia" w:hAnsi="宋体"/>
                <w:color w:val="000000"/>
                <w:sz w:val="24"/>
                <w:szCs w:val="24"/>
              </w:rPr>
              <w:t xml:space="preserve"> </w:t>
            </w:r>
          </w:p>
          <w:p>
            <w:pPr>
              <w:spacing w:line="360" w:lineRule="auto"/>
              <w:rPr>
                <w:rFonts w:hint="eastAsia" w:ascii="宋体" w:hAnsi="宋体" w:eastAsia="宋体" w:cs="宋体"/>
                <w:sz w:val="24"/>
                <w:szCs w:val="24"/>
                <w:highlight w:val="none"/>
              </w:rPr>
            </w:pPr>
            <w:r>
              <w:rPr>
                <w:rFonts w:hint="eastAsia" w:hAnsi="宋体"/>
                <w:color w:val="000000"/>
                <w:sz w:val="24"/>
                <w:szCs w:val="24"/>
              </w:rPr>
              <w:t>公证费：500元/包，由成交</w:t>
            </w:r>
            <w:r>
              <w:rPr>
                <w:rFonts w:hint="eastAsia" w:hAnsi="宋体"/>
                <w:color w:val="000000"/>
                <w:sz w:val="24"/>
                <w:szCs w:val="24"/>
                <w:lang w:eastAsia="zh-CN"/>
              </w:rPr>
              <w:t>投标人</w:t>
            </w:r>
            <w:r>
              <w:rPr>
                <w:rFonts w:hint="eastAsia" w:hAnsi="宋体"/>
                <w:color w:val="000000"/>
                <w:sz w:val="24"/>
                <w:szCs w:val="24"/>
              </w:rPr>
              <w:t>支付。（如有时）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4</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5</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开标形式</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开标时间：同投标</w:t>
            </w:r>
            <w:r>
              <w:rPr>
                <w:rFonts w:hint="eastAsia" w:ascii="宋体" w:hAnsi="宋体" w:eastAsia="宋体" w:cs="宋体"/>
                <w:b/>
                <w:bCs/>
                <w:sz w:val="24"/>
                <w:szCs w:val="24"/>
                <w:highlight w:val="none"/>
              </w:rPr>
              <w:t>文件递交</w:t>
            </w:r>
            <w:r>
              <w:rPr>
                <w:rFonts w:hint="eastAsia" w:ascii="宋体" w:hAnsi="宋体" w:eastAsia="宋体" w:cs="宋体"/>
                <w:b/>
                <w:bCs/>
                <w:sz w:val="24"/>
                <w:szCs w:val="24"/>
                <w:highlight w:val="none"/>
                <w:lang w:val="en-US"/>
              </w:rPr>
              <w:t>截止时间</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开标地点：聊城市公共资源交易中心</w:t>
            </w:r>
            <w:r>
              <w:rPr>
                <w:rFonts w:hint="eastAsia" w:ascii="宋体" w:hAnsi="宋体" w:eastAsia="宋体" w:cs="宋体"/>
                <w:b/>
                <w:bCs/>
                <w:sz w:val="24"/>
                <w:szCs w:val="24"/>
                <w:highlight w:val="none"/>
                <w:lang w:val="en-US" w:eastAsia="zh-CN"/>
              </w:rPr>
              <w:t>不见面网上开标大厅</w:t>
            </w:r>
            <w:r>
              <w:rPr>
                <w:rFonts w:hint="eastAsia" w:ascii="宋体" w:hAnsi="宋体" w:eastAsia="宋体" w:cs="宋体"/>
                <w:b/>
                <w:bCs/>
                <w:sz w:val="24"/>
                <w:szCs w:val="24"/>
                <w:highlight w:val="none"/>
                <w:lang w:val="en-US"/>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签到时间：投标企业需在开标前登录不见面开标大厅，并完成签到工作，未在开标前完成签到的投标被拒绝且投标文件被退回。</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修改及撤回：</w:t>
            </w:r>
            <w:r>
              <w:rPr>
                <w:rFonts w:hint="eastAsia" w:ascii="宋体" w:hAnsi="宋体" w:eastAsia="宋体" w:cs="宋体"/>
                <w:sz w:val="24"/>
                <w:szCs w:val="24"/>
                <w:highlight w:val="none"/>
                <w:lang w:val="en-US"/>
              </w:rPr>
              <w:t>投标人可在开标前</w:t>
            </w:r>
            <w:r>
              <w:rPr>
                <w:rFonts w:hint="eastAsia" w:ascii="宋体" w:hAnsi="宋体" w:eastAsia="宋体" w:cs="宋体"/>
                <w:sz w:val="24"/>
                <w:szCs w:val="24"/>
                <w:highlight w:val="none"/>
                <w:lang w:val="en-US" w:eastAsia="zh-CN"/>
              </w:rPr>
              <w:t>任</w:t>
            </w:r>
            <w:r>
              <w:rPr>
                <w:rFonts w:hint="eastAsia" w:ascii="宋体" w:hAnsi="宋体" w:eastAsia="宋体" w:cs="宋体"/>
                <w:sz w:val="24"/>
                <w:szCs w:val="24"/>
                <w:highlight w:val="none"/>
                <w:lang w:val="en-US"/>
              </w:rPr>
              <w:t>意时间制作</w:t>
            </w:r>
            <w:r>
              <w:rPr>
                <w:rFonts w:hint="eastAsia" w:ascii="宋体" w:hAnsi="宋体" w:eastAsia="宋体" w:cs="宋体"/>
                <w:sz w:val="24"/>
                <w:szCs w:val="24"/>
                <w:highlight w:val="none"/>
                <w:lang w:val="en-US" w:eastAsia="zh-CN"/>
              </w:rPr>
              <w:t>并</w:t>
            </w:r>
            <w:r>
              <w:rPr>
                <w:rFonts w:hint="eastAsia" w:ascii="宋体" w:hAnsi="宋体" w:eastAsia="宋体" w:cs="宋体"/>
                <w:sz w:val="24"/>
                <w:szCs w:val="24"/>
                <w:highlight w:val="none"/>
                <w:lang w:val="en-US"/>
              </w:rPr>
              <w:t>上传投标文件，若投标文件已上传</w:t>
            </w:r>
            <w:r>
              <w:rPr>
                <w:rFonts w:hint="eastAsia" w:ascii="宋体" w:hAnsi="宋体" w:eastAsia="宋体" w:cs="宋体"/>
                <w:sz w:val="24"/>
                <w:szCs w:val="24"/>
                <w:highlight w:val="none"/>
                <w:lang w:val="en-US" w:eastAsia="zh-CN"/>
              </w:rPr>
              <w:t>且</w:t>
            </w:r>
            <w:r>
              <w:rPr>
                <w:rFonts w:hint="eastAsia" w:ascii="宋体" w:hAnsi="宋体" w:eastAsia="宋体" w:cs="宋体"/>
                <w:sz w:val="24"/>
                <w:szCs w:val="24"/>
                <w:highlight w:val="none"/>
                <w:lang w:val="en-US"/>
              </w:rPr>
              <w:t>距离开标时间</w:t>
            </w:r>
            <w:r>
              <w:rPr>
                <w:rFonts w:hint="eastAsia" w:ascii="宋体" w:hAnsi="宋体" w:eastAsia="宋体" w:cs="宋体"/>
                <w:sz w:val="24"/>
                <w:szCs w:val="24"/>
                <w:highlight w:val="none"/>
                <w:lang w:val="en-US" w:eastAsia="zh-CN"/>
              </w:rPr>
              <w:t>不</w:t>
            </w:r>
            <w:r>
              <w:rPr>
                <w:rFonts w:hint="eastAsia" w:ascii="宋体" w:hAnsi="宋体" w:eastAsia="宋体" w:cs="宋体"/>
                <w:sz w:val="24"/>
                <w:szCs w:val="24"/>
                <w:highlight w:val="none"/>
                <w:lang w:val="en-US"/>
              </w:rPr>
              <w:t>足30分钟，投标文件将无法更改，也</w:t>
            </w:r>
            <w:r>
              <w:rPr>
                <w:rFonts w:hint="eastAsia" w:ascii="宋体" w:hAnsi="宋体" w:eastAsia="宋体" w:cs="宋体"/>
                <w:sz w:val="24"/>
                <w:szCs w:val="24"/>
                <w:highlight w:val="none"/>
                <w:lang w:val="en-US" w:eastAsia="zh-CN"/>
              </w:rPr>
              <w:t>不</w:t>
            </w:r>
            <w:r>
              <w:rPr>
                <w:rFonts w:hint="eastAsia" w:ascii="宋体" w:hAnsi="宋体" w:eastAsia="宋体" w:cs="宋体"/>
                <w:sz w:val="24"/>
                <w:szCs w:val="24"/>
                <w:highlight w:val="none"/>
                <w:lang w:val="en-US"/>
              </w:rPr>
              <w:t>可自行撤回。若投标文件已处</w:t>
            </w:r>
            <w:r>
              <w:rPr>
                <w:rFonts w:hint="eastAsia" w:ascii="宋体" w:hAnsi="宋体" w:eastAsia="宋体" w:cs="宋体"/>
                <w:sz w:val="24"/>
                <w:szCs w:val="24"/>
                <w:highlight w:val="none"/>
                <w:lang w:val="en-US" w:eastAsia="zh-CN"/>
              </w:rPr>
              <w:t>于</w:t>
            </w:r>
            <w:r>
              <w:rPr>
                <w:rFonts w:hint="eastAsia" w:ascii="宋体" w:hAnsi="宋体" w:eastAsia="宋体" w:cs="宋体"/>
                <w:sz w:val="24"/>
                <w:szCs w:val="24"/>
                <w:highlight w:val="none"/>
                <w:lang w:val="en-US"/>
              </w:rPr>
              <w:t>待解密状态，开标前放弃投标的，请联系代理公司工作人员撤回投标文件（可在</w:t>
            </w:r>
            <w:r>
              <w:rPr>
                <w:rFonts w:hint="eastAsia" w:ascii="宋体" w:hAnsi="宋体" w:eastAsia="宋体" w:cs="宋体"/>
                <w:sz w:val="24"/>
                <w:szCs w:val="24"/>
                <w:highlight w:val="none"/>
                <w:lang w:val="en-US" w:eastAsia="zh-CN"/>
              </w:rPr>
              <w:t>不</w:t>
            </w:r>
            <w:r>
              <w:rPr>
                <w:rFonts w:hint="eastAsia" w:ascii="宋体" w:hAnsi="宋体" w:eastAsia="宋体" w:cs="宋体"/>
                <w:sz w:val="24"/>
                <w:szCs w:val="24"/>
                <w:highlight w:val="none"/>
                <w:lang w:val="en-US"/>
              </w:rPr>
              <w:t>见面开标大厅互</w:t>
            </w:r>
            <w:r>
              <w:rPr>
                <w:rFonts w:hint="eastAsia" w:ascii="宋体" w:hAnsi="宋体" w:eastAsia="宋体" w:cs="宋体"/>
                <w:sz w:val="24"/>
                <w:szCs w:val="24"/>
                <w:highlight w:val="none"/>
                <w:lang w:val="en-US" w:eastAsia="zh-CN"/>
              </w:rPr>
              <w:t>动</w:t>
            </w:r>
            <w:r>
              <w:rPr>
                <w:rFonts w:hint="eastAsia" w:ascii="宋体" w:hAnsi="宋体" w:eastAsia="宋体" w:cs="宋体"/>
                <w:sz w:val="24"/>
                <w:szCs w:val="24"/>
                <w:highlight w:val="none"/>
                <w:lang w:val="en-US"/>
              </w:rPr>
              <w:t>交流板块提出）。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rPr>
            </w:pPr>
            <w:r>
              <w:rPr>
                <w:rFonts w:hint="eastAsia" w:ascii="宋体" w:hAnsi="宋体" w:eastAsia="宋体" w:cs="宋体"/>
                <w:b/>
                <w:bCs/>
                <w:sz w:val="24"/>
                <w:szCs w:val="24"/>
                <w:highlight w:val="none"/>
                <w:lang w:val="en-US"/>
              </w:rPr>
              <w:t>解密时间：投标企业需提前60分钟登录不见面开标大厅，因投标人自身原因导致在规定的解密时间（</w:t>
            </w:r>
            <w:r>
              <w:rPr>
                <w:rFonts w:hint="eastAsia" w:ascii="宋体" w:hAnsi="宋体" w:eastAsia="宋体" w:cs="宋体"/>
                <w:b/>
                <w:bCs/>
                <w:sz w:val="24"/>
                <w:szCs w:val="24"/>
                <w:highlight w:val="none"/>
                <w:lang w:val="en-US" w:eastAsia="zh-CN"/>
              </w:rPr>
              <w:t>从投标人解密环节开始计时，</w:t>
            </w:r>
            <w:r>
              <w:rPr>
                <w:rFonts w:hint="eastAsia" w:ascii="宋体" w:hAnsi="宋体" w:eastAsia="宋体" w:cs="宋体"/>
                <w:b/>
                <w:bCs/>
                <w:sz w:val="24"/>
                <w:szCs w:val="24"/>
                <w:highlight w:val="none"/>
                <w:lang w:val="en-US"/>
              </w:rPr>
              <w:t>每个投标人限30分钟）内解密失败的，其投标被拒绝且投标文件被退回。</w:t>
            </w:r>
            <w:r>
              <w:rPr>
                <w:rFonts w:hint="eastAsia" w:ascii="宋体" w:hAnsi="宋体" w:eastAsia="宋体" w:cs="宋体"/>
                <w:sz w:val="24"/>
                <w:szCs w:val="24"/>
                <w:highlight w:val="none"/>
                <w:lang w:val="en-US"/>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投标企业对线上投标文件开启过程和开标记录有异议的， 可在不见面开标大厅互动交流板块提出并询问，如未提出异议视为认同开标结果。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其他要求：评标过程中产生的所有数值均保留2位小数，不四舍五入。无效投标人的投标报价不计入评标基准价的计算。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6</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电子招投标的</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应急措施</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电子开标、评标如出现下列原因，导致系统无法正常运行或无法正常评标时，应采取应急措施。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（1）系统服务器发生故障，无法访问或无法使用系统；</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（2）系统的软件或数据库出现错误，不能进行正常操作；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（3）系统发现有安全漏洞，有潜在的泄密危险；</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（4）病毒发作或受到外来病毒的攻击；</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的CA锁失效等原因导致无法解密的；</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）出现其他不可抗拒的客观原因造成开评标系统无法正常使用。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出现上述情况时，对于未开标的项目应暂停开标，对已在系统内评审的，也应立即停止。交易中心信息科确认问题原因后，交易中心政府采购科视情况提议，并经</w:t>
            </w:r>
            <w:r>
              <w:rPr>
                <w:rFonts w:hint="eastAsia" w:ascii="宋体" w:hAnsi="宋体" w:eastAsia="宋体" w:cs="宋体"/>
                <w:sz w:val="24"/>
                <w:szCs w:val="24"/>
                <w:highlight w:val="none"/>
                <w:lang w:val="en-US" w:eastAsia="zh-CN"/>
              </w:rPr>
              <w:t>评标委员会</w:t>
            </w:r>
            <w:r>
              <w:rPr>
                <w:rFonts w:hint="eastAsia" w:ascii="宋体" w:hAnsi="宋体" w:eastAsia="宋体" w:cs="宋体"/>
                <w:sz w:val="24"/>
                <w:szCs w:val="24"/>
                <w:highlight w:val="none"/>
              </w:rPr>
              <w:t>同意后，对于非系统原因的可将系统内加密版电子文件评审改为系统内导入非加密版电子文件评审；对于系统原因造成项目无法评审，可将系统内评审改为PDF版文件评审。采取应急措施时，必须对原有资料及信息作妥善保密处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开标前投标人需在不见面开标大厅完成签到工作，开标时投标人需对电子投标文件进行线上解密，因投标人开标前未在不见面大厅签到或因投标人自身原因导致其电子投标文件无法解密，其投标文件将被拒绝。具体步骤详见《聊城不见面开标大厅-操作手册（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4"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7</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次招标文件以聊城市公共资源交易平台系统内发售下载的为准，各投标企业需及时查看系统内澄清答疑情况，澄清答疑后的文件为最终文件。电子评标答疑文件的格式为.lccf，请投标人务必把最新的澄清文件导入到投标文件制作工具中，否则无法生成最新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8</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同一品牌产品相关问题</w:t>
            </w:r>
          </w:p>
        </w:tc>
        <w:tc>
          <w:tcPr>
            <w:tcW w:w="713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采用最低评标价法的采购项目，提供相同品牌产品的不同投标人参加同一合同项下投标的，以其中通过资格审查、符合性审查且报价最低的参加评标；报价相同的，由招标人或者招标人委托评标委员会按照招标文件规定的方式确定一个参加评标的投标人，招标文件未规定的采取随机抽取方式确定，其他投标无效。</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非单一产品采购项目，招标人应当根据采购项目技术构成、产品价格比重等合理确定核心产品，并在招标文件中载明。多家投标人提供的核心产品品牌相同的，按前两款规定处理。</w:t>
            </w:r>
          </w:p>
          <w:p>
            <w:pPr>
              <w:pStyle w:val="31"/>
              <w:rPr>
                <w:rFonts w:hint="eastAsia" w:ascii="宋体" w:hAnsi="宋体" w:eastAsia="宋体" w:cs="宋体"/>
                <w:sz w:val="24"/>
                <w:szCs w:val="24"/>
                <w:highlight w:val="none"/>
                <w:lang w:val="en-US" w:eastAsia="zh-CN"/>
              </w:rPr>
            </w:pPr>
            <w:r>
              <w:rPr>
                <w:rFonts w:hint="eastAsia" w:ascii="宋体" w:hAnsi="宋体" w:eastAsia="宋体" w:cs="宋体"/>
                <w:color w:val="000000" w:themeColor="text1"/>
                <w:sz w:val="24"/>
                <w:szCs w:val="24"/>
                <w:highlight w:val="none"/>
                <w:lang w:eastAsia="zh-CN"/>
                <w14:textFill>
                  <w14:solidFill>
                    <w14:schemeClr w14:val="tx1"/>
                  </w14:solidFill>
                </w14:textFill>
              </w:rPr>
              <w:t>核心产品：</w:t>
            </w:r>
            <w:r>
              <w:rPr>
                <w:rFonts w:hint="eastAsia" w:ascii="宋体" w:hAnsi="宋体" w:eastAsia="宋体" w:cs="宋体"/>
                <w:color w:val="000000" w:themeColor="text1"/>
                <w:sz w:val="24"/>
                <w:szCs w:val="24"/>
                <w:highlight w:val="none"/>
                <w:lang w:val="en-US" w:eastAsia="zh-CN"/>
                <w14:textFill>
                  <w14:solidFill>
                    <w14:schemeClr w14:val="tx1"/>
                  </w14:solidFill>
                </w14:textFill>
              </w:rPr>
              <w:t>北栾；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9</w:t>
            </w:r>
          </w:p>
        </w:tc>
        <w:tc>
          <w:tcPr>
            <w:tcW w:w="2042" w:type="dxa"/>
            <w:vAlign w:val="center"/>
          </w:tcPr>
          <w:p>
            <w:pPr>
              <w:pStyle w:val="718"/>
              <w:spacing w:before="79" w:line="360" w:lineRule="auto"/>
              <w:ind w:left="107" w:leftChars="0" w:right="193" w:rightChars="0"/>
              <w:jc w:val="center"/>
              <w:rPr>
                <w:rFonts w:hint="eastAsia" w:ascii="宋体" w:hAnsi="宋体" w:eastAsia="宋体" w:cs="宋体"/>
                <w:sz w:val="24"/>
                <w:szCs w:val="24"/>
                <w:highlight w:val="none"/>
                <w:lang w:eastAsia="zh-CN"/>
              </w:rPr>
            </w:pPr>
            <w:r>
              <w:rPr>
                <w:rFonts w:hint="eastAsia" w:ascii="宋体" w:hAnsi="宋体" w:eastAsia="宋体" w:cs="宋体"/>
                <w:b/>
                <w:bCs/>
                <w:color w:val="auto"/>
                <w:sz w:val="24"/>
                <w:szCs w:val="24"/>
                <w:highlight w:val="none"/>
                <w:lang w:eastAsia="zh-CN"/>
              </w:rPr>
              <w:t>电子文件签章要求</w:t>
            </w:r>
          </w:p>
        </w:tc>
        <w:tc>
          <w:tcPr>
            <w:tcW w:w="7139" w:type="dxa"/>
            <w:vAlign w:val="top"/>
          </w:tcPr>
          <w:p>
            <w:pPr>
              <w:pStyle w:val="718"/>
              <w:tabs>
                <w:tab w:val="left" w:pos="471"/>
              </w:tabs>
              <w:spacing w:before="3" w:line="360" w:lineRule="auto"/>
              <w:ind w:left="108"/>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1、电子</w:t>
            </w: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rPr>
              <w:t>文件签章要求:</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应在电子</w:t>
            </w:r>
            <w:r>
              <w:rPr>
                <w:rFonts w:hint="eastAsia" w:ascii="宋体" w:hAnsi="宋体" w:eastAsia="宋体" w:cs="宋体"/>
                <w:b/>
                <w:bCs/>
                <w:color w:val="auto"/>
                <w:sz w:val="24"/>
                <w:szCs w:val="24"/>
                <w:highlight w:val="none"/>
                <w:lang w:eastAsia="zh-CN"/>
              </w:rPr>
              <w:t>招标</w:t>
            </w:r>
            <w:r>
              <w:rPr>
                <w:rFonts w:hint="eastAsia" w:ascii="宋体" w:hAnsi="宋体" w:eastAsia="宋体" w:cs="宋体"/>
                <w:b/>
                <w:bCs/>
                <w:color w:val="auto"/>
                <w:sz w:val="24"/>
                <w:szCs w:val="24"/>
                <w:highlight w:val="none"/>
              </w:rPr>
              <w:t>文件规定的应签章处均须使用CA印章进行签章，未按要求进行签章的响应文件，作无效标处理。</w:t>
            </w:r>
          </w:p>
          <w:p>
            <w:pPr>
              <w:pStyle w:val="718"/>
              <w:tabs>
                <w:tab w:val="left" w:pos="471"/>
              </w:tabs>
              <w:spacing w:before="3" w:line="360" w:lineRule="auto"/>
              <w:ind w:left="108"/>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2、“法定代表人(签章)”要求键盘输入法定代表人姓名后再盖法</w:t>
            </w:r>
          </w:p>
          <w:p>
            <w:pPr>
              <w:pStyle w:val="718"/>
              <w:tabs>
                <w:tab w:val="left" w:pos="471"/>
              </w:tabs>
              <w:spacing w:before="3" w:line="360" w:lineRule="auto"/>
              <w:ind w:left="108" w:leftChars="0"/>
              <w:jc w:val="both"/>
              <w:rPr>
                <w:rFonts w:hint="eastAsia" w:ascii="宋体" w:hAnsi="宋体" w:eastAsia="宋体" w:cs="宋体"/>
                <w:sz w:val="24"/>
                <w:szCs w:val="24"/>
                <w:highlight w:val="none"/>
                <w:lang w:eastAsia="zh-CN"/>
              </w:rPr>
            </w:pPr>
            <w:r>
              <w:rPr>
                <w:rFonts w:hint="eastAsia" w:ascii="宋体" w:hAnsi="宋体" w:eastAsia="宋体" w:cs="宋体"/>
                <w:b/>
                <w:bCs/>
                <w:color w:val="auto"/>
                <w:sz w:val="24"/>
                <w:szCs w:val="24"/>
                <w:highlight w:val="none"/>
              </w:rPr>
              <w:t>人章:“法定代表人、委托代理人(签字)”要求键盘输入姓名后并亲笔签字。签章和盖章具有同等法律效力。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30</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政府采购政策</w:t>
            </w:r>
          </w:p>
        </w:tc>
        <w:tc>
          <w:tcPr>
            <w:tcW w:w="7139" w:type="dxa"/>
            <w:vAlign w:val="center"/>
          </w:tcPr>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1、除本</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中明确规定使用进口产品外，</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中不允许含有产自境外的进口产品，否则其</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按无效处理。</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政府采购节能产品、环境标志产品实施品目清单管理，强制采购《节能产品政府采购品目清单》内规定的强制节能产品，具体见品目清单中“★”标注的产品；优先采购列入《节能产品政府采购品目清单》（财库[2019]19号）内的不加“★”标注的节能产品和列入《环境标志产品政府采购品目清单》（财库[2019]19号）内的环境标志产品。</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2.1.本次采购若涉及《节能产品政府采购品目清单》内强制采购的节能产品，无论项目说明中是否明确为强制节能产品，</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都必须投报强制节能产品并提供有效的认证证书，</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必须填写《强制节能产品清单报价表》，格式见附件，填表要求按附件表下附注，否则按无效</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处理。</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本次采购的产品如是列入《节能产品政府采购品目清单》中优先采购的节能产品，需要享受价格扣除或加分的政策的，须填写《优先节能产品清单报价表》，格式见附件，填写要求按附件中表下附注。要求提供的节能产品认证证书，是指由市场监管总局《关于发布参与实施政府采购节能产品、环境标志产品认证机构名录的公告》 2019 年第 16 号文件公布的机构出具的有效期内的节能认证证书原件扫描件。</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的产品如是列入《环境标志产品政府采购品目清单》内的环境标志产品，需要享受价格扣除或加分的政策的，须填写《环境标志产品报价说明表》，格式见附件，填写要求按附件中表下附注。要求提供的环境标志产品认证证书，是指由市场监管总局《关于发布参与实施政府采购节能产品、环境标志产品认证机构名录的公告》 2019 年第 16 号文件公布的机构出具的有效期内的环境标志产品认证证书原件扫描件。</w:t>
            </w:r>
          </w:p>
          <w:p>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加分标准：</w:t>
            </w:r>
            <w:r>
              <w:rPr>
                <w:rFonts w:hint="eastAsia" w:ascii="宋体" w:hAnsi="宋体" w:eastAsia="宋体" w:cs="宋体"/>
                <w:color w:val="000000"/>
                <w:kern w:val="0"/>
                <w:sz w:val="24"/>
                <w:szCs w:val="24"/>
                <w:highlight w:val="none"/>
                <w:lang w:val="en-US" w:eastAsia="zh-CN" w:bidi="ar"/>
              </w:rPr>
              <w:t xml:space="preserve">（1）报价加分：环保产品报价/总报价*4%*价格分 </w:t>
            </w:r>
          </w:p>
          <w:p>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（2）技术加分：环保产品报价/总报价*4%*技术分 </w:t>
            </w:r>
          </w:p>
          <w:p>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产品既是环境标志产品，又是节能产品的均予加分，其中节能产品 </w:t>
            </w:r>
          </w:p>
          <w:p>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加分时不含强制节能产品。</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3、对农副产品的采购项目，政府优先采购贫困地区的农副产品，</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中声明原产地，招标代理机构在评标时通过国务院相关网站提供相关证据。对注册地在 832 个国家级贫困县域内，且聘用建档立卡贫困人员达到公司员工（含服务外包用工）30%以上的物业公司在物业政府采购时优先采购，物业公司出具贫困县物业公司声明，格式自拟，并附贫困人员卡。</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4、政府采购项目支持监狱企业、中小企业发展，支持残疾人就业。</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监狱企业或所报产品为监狱企业产品并需要价格扣除的，应当提供省级以上监狱管理局、戒毒管理局（含新疆生产建设兵团）出具的属于监狱企业的证明文件原件的彩色扫描件加盖公章，并且填写《监狱企业、小型和微型企业、残疾人福利性单位产品报价说明表》（格式见</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附件，填写要求按附件中表下附注）。</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政府采购活动中，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提供的货物、工程或者服务符合下列情形的，享受中小企业扶持政策：</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 货物采购项目中，货物由中小企业制造，即货物由中小企业生产且使用该中小企业商号或者注册商标。</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 在工程采购项目中，工程由中小企业承建，即工程施工单位为中小企业。</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 在服务采购项目中，服务由中小企业承接，即提供服务的人员为中小企业依照《中华人民共和国劳动合同法》订立劳动合同的从业人员。</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4.2.4 在货物采购项目中，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提供的货物既有中小企业制造货物，也有大型企业制造货物的，不享受《政府采购促进中小企业发展管理办法》（财库﹝2020﹞46 号）规定的中小企业扶持政策。</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4.2.5 以联合体形式参加政府采购活动，联合体各方均为中小企业的，联合体视同中小企业。其中，联合体各方均为小微企业的，联合体视同小微企业。</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4.2.6 组成联合体或者接受分包的小微企业与联合体内其他企业、分包企业之间存在直接控股、管理关系的，不享受价格扣除优惠政策。</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4.2.7 对于经主管预算单位统筹后未预留份额专门面向中小企业采购的采购项目，以及预留份额项目中的非预留部分采购包，</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招标代理机构</w:t>
            </w:r>
            <w:r>
              <w:rPr>
                <w:rFonts w:hint="eastAsia" w:ascii="宋体" w:hAnsi="宋体" w:eastAsia="宋体" w:cs="宋体"/>
                <w:color w:val="auto"/>
                <w:sz w:val="24"/>
                <w:szCs w:val="24"/>
                <w:highlight w:val="none"/>
              </w:rPr>
              <w:t>应当对符合《政府采购促进中小企业发展管理办法》（财库﹝2020﹞46 号）规定的小微企业报价给予10%（工程项目为5%）的扣除，用扣除后的价格参加评审。适用招标投标法的政府采购工程建设项目，采用综合评估法但未采用低价优先法计算价格分的，评标时应当在采用原报价进行评分的基础上增加其价格得分的 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-5%作为其价格分。中小企业参加政府采购活动，应当出具《中小企业声明函》，并且填写《监狱企业、小型和微型企业、残疾人福利性单位产品报价说明表》（格式见</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附件，填写要求按附件中表下附注），否则不得享受相关中小企业扶持政策。</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b/>
                <w:bCs/>
                <w:sz w:val="24"/>
                <w:szCs w:val="24"/>
                <w:highlight w:val="none"/>
              </w:rPr>
              <w:t>专门面向中小企业采购的项目或是采购包，</w:t>
            </w:r>
            <w:r>
              <w:rPr>
                <w:rFonts w:hint="eastAsia" w:ascii="宋体" w:hAnsi="宋体" w:eastAsia="宋体" w:cs="宋体"/>
                <w:b/>
                <w:bCs/>
                <w:sz w:val="24"/>
                <w:szCs w:val="24"/>
                <w:highlight w:val="none"/>
                <w:lang w:eastAsia="zh-CN"/>
              </w:rPr>
              <w:t>不再</w:t>
            </w:r>
            <w:r>
              <w:rPr>
                <w:rFonts w:hint="eastAsia" w:ascii="宋体" w:hAnsi="宋体" w:eastAsia="宋体" w:cs="宋体"/>
                <w:b/>
                <w:bCs/>
                <w:sz w:val="24"/>
                <w:szCs w:val="24"/>
                <w:highlight w:val="none"/>
              </w:rPr>
              <w:t>执行价格评审优惠的扶持政策。</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4.2.8 接受大中型企业与小微企业组成联合体或者允许大中型企业向一家或者多家小微企业分包的采购项目，对于联合协议或者分包意向协议约定小微企业的合同份额占到合同总金额 30%以上的，</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招标代理机构</w:t>
            </w:r>
            <w:r>
              <w:rPr>
                <w:rFonts w:hint="eastAsia" w:ascii="宋体" w:hAnsi="宋体" w:eastAsia="宋体" w:cs="宋体"/>
                <w:color w:val="auto"/>
                <w:sz w:val="24"/>
                <w:szCs w:val="24"/>
                <w:highlight w:val="none"/>
              </w:rPr>
              <w:t xml:space="preserve">应当对联合体或者大中型企业的报价给予3%（工程项目为 2%）的扣除，用扣除后的价格参加评审。适用招标投标法的政府采购工程建设项目，采用综合评估法但未采用低价优先法计算价格分的，评标时应当在采用原报价进行评分的基础上增加其价格得分的 </w:t>
            </w:r>
            <w:r>
              <w:rPr>
                <w:rFonts w:hint="eastAsia" w:ascii="宋体" w:hAnsi="宋体" w:eastAsia="宋体" w:cs="宋体"/>
                <w:color w:val="auto"/>
                <w:sz w:val="24"/>
                <w:szCs w:val="24"/>
                <w:highlight w:val="none"/>
                <w:lang w:eastAsia="zh-CN"/>
              </w:rPr>
              <w:t>1%-2%</w:t>
            </w:r>
            <w:r>
              <w:rPr>
                <w:rFonts w:hint="eastAsia" w:ascii="宋体" w:hAnsi="宋体" w:eastAsia="宋体" w:cs="宋体"/>
                <w:color w:val="auto"/>
                <w:sz w:val="24"/>
                <w:szCs w:val="24"/>
                <w:highlight w:val="none"/>
              </w:rPr>
              <w:t>作为其价格分。</w:t>
            </w:r>
          </w:p>
          <w:p>
            <w:pPr>
              <w:pStyle w:val="718"/>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4.2.9 价格扣除比例对小型企业和微型企业同等对待，不作区分。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color w:val="auto"/>
                <w:kern w:val="2"/>
                <w:sz w:val="24"/>
                <w:szCs w:val="24"/>
                <w:highlight w:val="none"/>
                <w:lang w:val="zh-CN" w:eastAsia="zh-CN" w:bidi="zh-CN"/>
              </w:rPr>
              <w:t>4.3 按照《财政部 民</w:t>
            </w:r>
            <w:r>
              <w:rPr>
                <w:rFonts w:hint="eastAsia" w:ascii="宋体" w:hAnsi="宋体" w:eastAsia="宋体" w:cs="宋体"/>
                <w:color w:val="auto"/>
                <w:sz w:val="24"/>
                <w:szCs w:val="24"/>
                <w:highlight w:val="none"/>
              </w:rPr>
              <w:t>政部 中国残疾人联合会关于促进残疾人就业政府采购政策的通知》（财库〔2017〕141 号）的规定，在政府采购活动中，残疾人福利性单位视同小型、微型企业，享受评审中价格扣除的政府采购政策。如</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为残疾人福利性单位，应当提供《残疾人福利性单位声明函》（格式见</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 xml:space="preserve">附件）。中小企业参加政府采购活动，应当出具《中小企业声明函》。 </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即是监狱和戒毒企业，又属小型企业或微型企业或残疾人福利性单位的不重复折扣，只计取一项。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1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cs="宋体"/>
                <w:sz w:val="24"/>
                <w:szCs w:val="24"/>
                <w:highlight w:val="none"/>
                <w:lang w:val="en-US" w:eastAsia="zh-CN"/>
              </w:rPr>
              <w:t>1</w:t>
            </w:r>
          </w:p>
        </w:tc>
        <w:tc>
          <w:tcPr>
            <w:tcW w:w="204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pacing w:val="-3"/>
                <w:kern w:val="2"/>
                <w:sz w:val="24"/>
                <w:szCs w:val="24"/>
                <w:highlight w:val="none"/>
                <w:lang w:val="en-US" w:eastAsia="zh-CN" w:bidi="zh-CN"/>
              </w:rPr>
            </w:pPr>
            <w:r>
              <w:rPr>
                <w:rFonts w:hint="eastAsia" w:ascii="宋体" w:hAnsi="宋体" w:eastAsia="宋体" w:cs="宋体"/>
                <w:spacing w:val="-3"/>
                <w:kern w:val="2"/>
                <w:sz w:val="24"/>
                <w:szCs w:val="24"/>
                <w:highlight w:val="none"/>
                <w:lang w:val="en-US" w:eastAsia="zh-CN" w:bidi="zh-CN"/>
              </w:rPr>
              <w:t>说明</w:t>
            </w:r>
          </w:p>
        </w:tc>
        <w:tc>
          <w:tcPr>
            <w:tcW w:w="7139" w:type="dxa"/>
            <w:vAlign w:val="center"/>
          </w:tcPr>
          <w:p>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b/>
                <w:bCs/>
                <w:sz w:val="24"/>
                <w:szCs w:val="24"/>
                <w:highlight w:val="none"/>
                <w:lang w:val="en-US" w:eastAsia="zh-CN"/>
              </w:rPr>
              <w:t>中小企业划分标准所属行业：农、林、牧、渔业。</w:t>
            </w:r>
            <w:r>
              <w:rPr>
                <w:rFonts w:hint="eastAsia" w:ascii="宋体" w:hAnsi="宋体" w:eastAsia="宋体" w:cs="宋体"/>
                <w:sz w:val="24"/>
                <w:szCs w:val="24"/>
                <w:highlight w:val="none"/>
                <w:lang w:val="en-US" w:eastAsia="zh-CN"/>
              </w:rPr>
              <w:t xml:space="preserve"> </w:t>
            </w:r>
          </w:p>
          <w:p>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（2）现已启用省信息公开平台线上投诉功能，投标人可在信息公 </w:t>
            </w:r>
          </w:p>
          <w:p>
            <w:pPr>
              <w:keepNext w:val="0"/>
              <w:keepLines w:val="0"/>
              <w:widowControl/>
              <w:suppressLineNumbers w:val="0"/>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开平台进行线上投诉（http://www.ccgp-shandong-rz.cn/）。</w:t>
            </w:r>
          </w:p>
          <w:p>
            <w:pPr>
              <w:pStyle w:val="93"/>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（3）中标（成交）供应商可按相关规定申请政府采购合同融资，具体规定、操作流程详见山东省政府采购合同融资与履约保函服务平台（http://www.ccgp-shandong-rz.cn/）。</w:t>
            </w:r>
          </w:p>
        </w:tc>
      </w:tr>
    </w:tbl>
    <w:p>
      <w:pPr>
        <w:spacing w:line="360" w:lineRule="auto"/>
        <w:rPr>
          <w:rFonts w:hint="eastAsia" w:ascii="宋体" w:hAnsi="宋体" w:cs="宋体"/>
          <w:b/>
          <w:color w:val="000000" w:themeColor="text1"/>
          <w:sz w:val="24"/>
          <w:szCs w:val="24"/>
          <w:highlight w:val="none"/>
          <w14:textFill>
            <w14:solidFill>
              <w14:schemeClr w14:val="tx1"/>
            </w14:solidFill>
          </w14:textFill>
        </w:rPr>
      </w:pPr>
    </w:p>
    <w:p>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一、适用范围</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本招标文件仅适用于本次招标公告中所叙述的项目。投标人应当按照本招标文件的要求进行投标。</w:t>
      </w:r>
    </w:p>
    <w:p>
      <w:pPr>
        <w:tabs>
          <w:tab w:val="center" w:pos="4156"/>
        </w:tabs>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二、总则</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（一）定义</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”系</w:t>
      </w:r>
      <w:r>
        <w:rPr>
          <w:rFonts w:hint="eastAsia" w:ascii="宋体" w:hAnsi="宋体" w:cs="宋体"/>
          <w:color w:val="000000" w:themeColor="text1"/>
          <w:sz w:val="24"/>
          <w:szCs w:val="24"/>
          <w:highlight w:val="none"/>
          <w:lang w:eastAsia="zh-CN"/>
          <w14:textFill>
            <w14:solidFill>
              <w14:schemeClr w14:val="tx1"/>
            </w14:solidFill>
          </w14:textFill>
        </w:rPr>
        <w:t>莘县综合行政执法局</w:t>
      </w:r>
      <w:r>
        <w:rPr>
          <w:rFonts w:hint="eastAsia" w:ascii="宋体" w:hAnsi="宋体" w:cs="宋体"/>
          <w:color w:val="000000" w:themeColor="text1"/>
          <w:sz w:val="24"/>
          <w:szCs w:val="24"/>
          <w:highlight w:val="none"/>
          <w14:textFill>
            <w14:solidFill>
              <w14:schemeClr w14:val="tx1"/>
            </w14:solidFill>
          </w14:textFill>
        </w:rPr>
        <w:t>。</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”系指</w:t>
      </w:r>
      <w:r>
        <w:rPr>
          <w:rFonts w:hint="eastAsia" w:ascii="宋体" w:hAnsi="宋体" w:cs="宋体"/>
          <w:color w:val="000000" w:themeColor="text1"/>
          <w:kern w:val="0"/>
          <w:sz w:val="24"/>
          <w:szCs w:val="24"/>
          <w:highlight w:val="none"/>
          <w:lang w:eastAsia="zh-CN"/>
          <w14:textFill>
            <w14:solidFill>
              <w14:schemeClr w14:val="tx1"/>
            </w14:solidFill>
          </w14:textFill>
        </w:rPr>
        <w:t>山东昌润项目管理有限公司</w:t>
      </w:r>
      <w:r>
        <w:rPr>
          <w:rFonts w:hint="eastAsia" w:ascii="宋体" w:hAnsi="宋体" w:cs="宋体"/>
          <w:color w:val="000000" w:themeColor="text1"/>
          <w:kern w:val="0"/>
          <w:sz w:val="24"/>
          <w:szCs w:val="24"/>
          <w:highlight w:val="none"/>
          <w14:textFill>
            <w14:solidFill>
              <w14:schemeClr w14:val="tx1"/>
            </w14:solidFill>
          </w14:textFill>
        </w:rPr>
        <w:t>。</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3、“投标人”系指向</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索取招标文件并提交投标文件的法人或其他组织。</w:t>
      </w:r>
    </w:p>
    <w:p>
      <w:pPr>
        <w:spacing w:line="360" w:lineRule="auto"/>
        <w:ind w:left="2" w:leftChars="1"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r>
        <w:rPr>
          <w:rFonts w:hint="eastAsia" w:ascii="宋体" w:hAnsi="宋体" w:cs="宋体"/>
          <w:color w:val="000000" w:themeColor="text1"/>
          <w:sz w:val="24"/>
          <w:szCs w:val="24"/>
          <w:highlight w:val="none"/>
          <w:lang w:eastAsia="zh-CN"/>
          <w14:textFill>
            <w14:solidFill>
              <w14:schemeClr w14:val="tx1"/>
            </w14:solidFill>
          </w14:textFill>
        </w:rPr>
        <w:t>合格</w:t>
      </w:r>
      <w:r>
        <w:rPr>
          <w:rFonts w:hint="eastAsia" w:ascii="宋体" w:hAnsi="宋体" w:cs="宋体"/>
          <w:color w:val="000000" w:themeColor="text1"/>
          <w:sz w:val="24"/>
          <w:szCs w:val="24"/>
          <w:highlight w:val="none"/>
          <w14:textFill>
            <w14:solidFill>
              <w14:schemeClr w14:val="tx1"/>
            </w14:solidFill>
          </w14:textFill>
        </w:rPr>
        <w:t>投标人”系指经评标委员会初步评审，投标人的各项指标均符合招标文件要求，进入综合评审阶段的投标人。</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5、“中标候选人”系指由评标委员会对入围投标人综合评审后，评选出的对招标文件</w:t>
      </w:r>
      <w:r>
        <w:rPr>
          <w:rFonts w:hint="eastAsia" w:ascii="宋体" w:hAnsi="宋体" w:cs="宋体"/>
          <w:color w:val="000000" w:themeColor="text1"/>
          <w:sz w:val="24"/>
          <w:szCs w:val="24"/>
          <w:highlight w:val="none"/>
          <w:lang w:eastAsia="zh-CN"/>
          <w14:textFill>
            <w14:solidFill>
              <w14:schemeClr w14:val="tx1"/>
            </w14:solidFill>
          </w14:textFill>
        </w:rPr>
        <w:t>作出</w:t>
      </w:r>
      <w:r>
        <w:rPr>
          <w:rFonts w:hint="eastAsia" w:ascii="宋体" w:hAnsi="宋体" w:cs="宋体"/>
          <w:color w:val="000000" w:themeColor="text1"/>
          <w:sz w:val="24"/>
          <w:szCs w:val="24"/>
          <w:highlight w:val="none"/>
          <w14:textFill>
            <w14:solidFill>
              <w14:schemeClr w14:val="tx1"/>
            </w14:solidFill>
          </w14:textFill>
        </w:rPr>
        <w:t>实质性响应、综合竞争实力强、报价合理且有能力为</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提供货物和服务，遵守投标文件和询标时的承诺，赢得或潜在赢得供货合同的投标人。</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r>
        <w:rPr>
          <w:rFonts w:hint="eastAsia" w:ascii="宋体" w:hAnsi="宋体" w:cs="宋体"/>
          <w:color w:val="000000" w:themeColor="text1"/>
          <w:sz w:val="24"/>
          <w:szCs w:val="24"/>
          <w:highlight w:val="none"/>
          <w:lang w:val="en-US" w:eastAsia="zh-CN"/>
          <w14:textFill>
            <w14:solidFill>
              <w14:schemeClr w14:val="tx1"/>
            </w14:solidFill>
          </w14:textFill>
        </w:rPr>
        <w:t>货物</w:t>
      </w:r>
      <w:r>
        <w:rPr>
          <w:rFonts w:hint="eastAsia" w:ascii="宋体" w:hAnsi="宋体" w:cs="宋体"/>
          <w:color w:val="000000" w:themeColor="text1"/>
          <w:sz w:val="24"/>
          <w:szCs w:val="24"/>
          <w:highlight w:val="none"/>
          <w14:textFill>
            <w14:solidFill>
              <w14:schemeClr w14:val="tx1"/>
            </w14:solidFill>
          </w14:textFill>
        </w:rPr>
        <w:t>”系指中标人按招标文件和政府采购合同的要求，向</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提供所需的货物、服务及有关技术资料。</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“服务”系指招标文件规定投标人须承担的安装、测试、检验、调试、技术支持、售后服务以及其它相关的附加义务。</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val="0"/>
          <w:color w:val="000000" w:themeColor="text1"/>
          <w:sz w:val="24"/>
          <w:szCs w:val="24"/>
          <w:highlight w:val="none"/>
          <w14:textFill>
            <w14:solidFill>
              <w14:schemeClr w14:val="tx1"/>
            </w14:solidFill>
          </w14:textFill>
        </w:rPr>
        <w:t>适用</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的</w:t>
      </w:r>
      <w:r>
        <w:rPr>
          <w:rFonts w:hint="eastAsia" w:ascii="宋体" w:hAnsi="宋体" w:eastAsia="宋体" w:cs="宋体"/>
          <w:b w:val="0"/>
          <w:bCs w:val="0"/>
          <w:color w:val="000000" w:themeColor="text1"/>
          <w:sz w:val="24"/>
          <w:szCs w:val="24"/>
          <w:highlight w:val="none"/>
          <w14:textFill>
            <w14:solidFill>
              <w14:schemeClr w14:val="tx1"/>
            </w14:solidFill>
          </w14:textFill>
        </w:rPr>
        <w:t>法律法规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等</w:t>
      </w:r>
    </w:p>
    <w:p>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《中华人民共和国政府采购法》；</w:t>
      </w:r>
    </w:p>
    <w:p>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《中华人民共和国政府采购法实施条例》；</w:t>
      </w:r>
    </w:p>
    <w:p>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《政府采购货物和服务招标投标管理办法》（财政部令第87号）；</w:t>
      </w:r>
    </w:p>
    <w:p>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其他有关政府采购的法律、行政法规及省市规范性文件规定。</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（二）投标保证金：</w:t>
      </w:r>
      <w:r>
        <w:rPr>
          <w:rFonts w:hint="eastAsia" w:ascii="宋体" w:hAnsi="宋体" w:eastAsia="宋体" w:cs="宋体"/>
          <w:color w:val="000000" w:themeColor="text1"/>
          <w:sz w:val="24"/>
          <w:szCs w:val="24"/>
          <w:highlight w:val="none"/>
          <w:lang w:eastAsia="zh-CN"/>
          <w14:textFill>
            <w14:solidFill>
              <w14:schemeClr w14:val="tx1"/>
            </w14:solidFill>
          </w14:textFill>
        </w:rPr>
        <w:t>详见投标人</w:t>
      </w:r>
      <w:r>
        <w:rPr>
          <w:rFonts w:hint="eastAsia" w:ascii="宋体" w:hAnsi="宋体" w:eastAsia="宋体" w:cs="宋体"/>
          <w:color w:val="000000" w:themeColor="text1"/>
          <w:sz w:val="24"/>
          <w:szCs w:val="24"/>
          <w:highlight w:val="none"/>
          <w14:textFill>
            <w14:solidFill>
              <w14:schemeClr w14:val="tx1"/>
            </w14:solidFill>
          </w14:textFill>
        </w:rPr>
        <w:t>须知前附表。</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（三）投标费用</w:t>
      </w:r>
    </w:p>
    <w:p>
      <w:pPr>
        <w:spacing w:line="360" w:lineRule="auto"/>
        <w:ind w:left="479" w:leftChars="228" w:firstLine="0" w:firstLineChars="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无论评标方法和结果如何，投标人均应自行承担所有与本次投标活动有关的相关费用</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三、招标文件说明</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（一）招标文件的组成</w:t>
      </w:r>
    </w:p>
    <w:p>
      <w:pPr>
        <w:pStyle w:val="11"/>
        <w:ind w:firstLine="480"/>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1、招标公告</w:t>
      </w:r>
    </w:p>
    <w:p>
      <w:pPr>
        <w:pStyle w:val="11"/>
        <w:tabs>
          <w:tab w:val="left" w:pos="180"/>
          <w:tab w:val="left" w:pos="360"/>
          <w:tab w:val="left" w:pos="540"/>
        </w:tabs>
        <w:ind w:firstLine="480"/>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2、投标人须知</w:t>
      </w:r>
    </w:p>
    <w:p>
      <w:pPr>
        <w:pStyle w:val="11"/>
        <w:ind w:firstLine="480"/>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3、项目说明</w:t>
      </w:r>
    </w:p>
    <w:p>
      <w:pPr>
        <w:pStyle w:val="11"/>
        <w:ind w:firstLine="480"/>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4、开标、评标、定标</w:t>
      </w:r>
    </w:p>
    <w:p>
      <w:pPr>
        <w:pStyle w:val="11"/>
        <w:ind w:firstLine="480"/>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5、合同格式</w:t>
      </w:r>
    </w:p>
    <w:p>
      <w:pPr>
        <w:pStyle w:val="11"/>
        <w:ind w:firstLine="480"/>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6、投标书格式</w:t>
      </w:r>
    </w:p>
    <w:p>
      <w:pPr>
        <w:pStyle w:val="11"/>
        <w:ind w:firstLine="480"/>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7、政府采购政策。</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（二）招标文件的修改</w:t>
      </w:r>
    </w:p>
    <w:p>
      <w:pPr>
        <w:spacing w:line="360" w:lineRule="auto"/>
        <w:ind w:left="2" w:leftChars="1"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对招标文件必要的澄清或修改：详见投标人须知；</w:t>
      </w:r>
    </w:p>
    <w:p>
      <w:pPr>
        <w:spacing w:line="360" w:lineRule="auto"/>
        <w:ind w:left="2" w:leftChars="1"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2、为使投标人有足够的时间按照招标文件的修改要求考虑修正投标文件，</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可酌情推迟投标的截止日期和开标日期，并将此变更通知上述每一潜在投标人。</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（三）招标文件的澄清</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各潜在投标人对招标文件如有疑问可要求澄清，要求澄清的潜在投标人应按照投标须知表规定的时间和方式通知</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将视情况确定采用适当的方式予以澄清或以书面形式予以答复，并在其认为必要时，将不标明查询来源的书面答复发给所有购买招标文件的潜在投标人。</w:t>
      </w:r>
    </w:p>
    <w:p>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四、投标文件的编制</w:t>
      </w:r>
    </w:p>
    <w:p>
      <w:pPr>
        <w:spacing w:line="360" w:lineRule="auto"/>
        <w:ind w:firstLine="480" w:firstLineChars="200"/>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投标人应认真阅读招标文件中所有内容，并按照招标文件的要求提供投标文件，保证所提供的全部资料的真实性、准确性，以使其投标对招标文件</w:t>
      </w:r>
      <w:r>
        <w:rPr>
          <w:rFonts w:hint="eastAsia" w:ascii="宋体" w:hAnsi="宋体" w:cs="宋体"/>
          <w:b w:val="0"/>
          <w:bCs/>
          <w:color w:val="000000" w:themeColor="text1"/>
          <w:sz w:val="24"/>
          <w:szCs w:val="24"/>
          <w:highlight w:val="none"/>
          <w:lang w:eastAsia="zh-CN"/>
          <w14:textFill>
            <w14:solidFill>
              <w14:schemeClr w14:val="tx1"/>
            </w14:solidFill>
          </w14:textFill>
        </w:rPr>
        <w:t>作出</w:t>
      </w:r>
      <w:r>
        <w:rPr>
          <w:rFonts w:hint="eastAsia" w:ascii="宋体" w:hAnsi="宋体" w:cs="宋体"/>
          <w:b w:val="0"/>
          <w:bCs/>
          <w:color w:val="000000" w:themeColor="text1"/>
          <w:sz w:val="24"/>
          <w:szCs w:val="24"/>
          <w:highlight w:val="none"/>
          <w14:textFill>
            <w14:solidFill>
              <w14:schemeClr w14:val="tx1"/>
            </w14:solidFill>
          </w14:textFill>
        </w:rPr>
        <w:t>实质性响应。否则，其投标将被</w:t>
      </w:r>
      <w:r>
        <w:rPr>
          <w:rFonts w:hint="eastAsia" w:ascii="宋体" w:hAnsi="宋体" w:cs="宋体"/>
          <w:b w:val="0"/>
          <w:bCs/>
          <w:color w:val="000000" w:themeColor="text1"/>
          <w:sz w:val="24"/>
          <w:szCs w:val="24"/>
          <w:highlight w:val="none"/>
          <w:lang w:eastAsia="zh-CN"/>
          <w14:textFill>
            <w14:solidFill>
              <w14:schemeClr w14:val="tx1"/>
            </w14:solidFill>
          </w14:textFill>
        </w:rPr>
        <w:t>作</w:t>
      </w:r>
      <w:r>
        <w:rPr>
          <w:rFonts w:hint="eastAsia" w:ascii="宋体" w:hAnsi="宋体" w:cs="宋体"/>
          <w:b w:val="0"/>
          <w:bCs/>
          <w:color w:val="000000" w:themeColor="text1"/>
          <w:sz w:val="24"/>
          <w:szCs w:val="24"/>
          <w:highlight w:val="none"/>
          <w14:textFill>
            <w14:solidFill>
              <w14:schemeClr w14:val="tx1"/>
            </w14:solidFill>
          </w14:textFill>
        </w:rPr>
        <w:t>为无效投标。</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（一）投标文件的组成（以电子标系统中为准）</w:t>
      </w:r>
    </w:p>
    <w:p>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1、投标文件格式</w:t>
      </w:r>
    </w:p>
    <w:p>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（1）封面</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2、开标一览表及</w:t>
      </w:r>
      <w:r>
        <w:rPr>
          <w:rFonts w:hint="eastAsia" w:ascii="宋体" w:hAnsi="宋体" w:cs="宋体"/>
          <w:b w:val="0"/>
          <w:bCs/>
          <w:color w:val="000000" w:themeColor="text1"/>
          <w:sz w:val="24"/>
          <w:szCs w:val="24"/>
          <w:highlight w:val="none"/>
          <w14:textFill>
            <w14:solidFill>
              <w14:schemeClr w14:val="tx1"/>
            </w14:solidFill>
          </w14:textFill>
        </w:rPr>
        <w:t>投标函</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（1）开标一览表</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14:textFill>
            <w14:solidFill>
              <w14:schemeClr w14:val="tx1"/>
            </w14:solidFill>
          </w14:textFill>
        </w:rPr>
        <w:t>投标函</w:t>
      </w:r>
    </w:p>
    <w:p>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3、资信标</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14:textFill>
            <w14:solidFill>
              <w14:schemeClr w14:val="tx1"/>
            </w14:solidFill>
          </w14:textFill>
        </w:rPr>
        <w:t>法定代表人身份证明</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cs="宋体"/>
          <w:b w:val="0"/>
          <w:bCs/>
          <w:color w:val="000000" w:themeColor="text1"/>
          <w:sz w:val="24"/>
          <w:szCs w:val="24"/>
          <w:highlight w:val="none"/>
          <w:lang w:eastAsia="zh-CN"/>
          <w14:textFill>
            <w14:solidFill>
              <w14:schemeClr w14:val="tx1"/>
            </w14:solidFill>
          </w14:textFill>
        </w:rPr>
        <w:t>）法人</w:t>
      </w:r>
      <w:r>
        <w:rPr>
          <w:rFonts w:hint="eastAsia" w:ascii="宋体" w:hAnsi="宋体" w:cs="宋体"/>
          <w:b w:val="0"/>
          <w:bCs/>
          <w:color w:val="000000" w:themeColor="text1"/>
          <w:sz w:val="24"/>
          <w:szCs w:val="24"/>
          <w:highlight w:val="none"/>
          <w14:textFill>
            <w14:solidFill>
              <w14:schemeClr w14:val="tx1"/>
            </w14:solidFill>
          </w14:textFill>
        </w:rPr>
        <w:t>授权委托书</w:t>
      </w:r>
    </w:p>
    <w:p>
      <w:pPr>
        <w:spacing w:line="360" w:lineRule="auto"/>
        <w:rPr>
          <w:rFonts w:hint="eastAsia" w:ascii="宋体" w:hAnsi="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3</w:t>
      </w:r>
      <w:r>
        <w:rPr>
          <w:rFonts w:hint="eastAsia" w:ascii="宋体" w:hAnsi="宋体" w:cs="宋体"/>
          <w:b w:val="0"/>
          <w:bCs/>
          <w:color w:val="000000" w:themeColor="text1"/>
          <w:sz w:val="24"/>
          <w:szCs w:val="24"/>
          <w:highlight w:val="none"/>
          <w:lang w:eastAsia="zh-CN"/>
          <w14:textFill>
            <w14:solidFill>
              <w14:schemeClr w14:val="tx1"/>
            </w14:solidFill>
          </w14:textFill>
        </w:rPr>
        <w:t>）联合体协议</w:t>
      </w:r>
      <w:r>
        <w:rPr>
          <w:rFonts w:hint="eastAsia" w:ascii="宋体" w:hAnsi="宋体" w:cs="宋体"/>
          <w:b w:val="0"/>
          <w:bCs/>
          <w:color w:val="000000" w:themeColor="text1"/>
          <w:sz w:val="24"/>
          <w:szCs w:val="24"/>
          <w:highlight w:val="none"/>
          <w14:textFill>
            <w14:solidFill>
              <w14:schemeClr w14:val="tx1"/>
            </w14:solidFill>
          </w14:textFill>
        </w:rPr>
        <w:t>（本项目不适用）</w:t>
      </w:r>
    </w:p>
    <w:p>
      <w:pPr>
        <w:spacing w:line="360" w:lineRule="auto"/>
        <w:rPr>
          <w:rFonts w:hint="eastAsia" w:ascii="宋体" w:hAnsi="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cs="宋体"/>
          <w:b w:val="0"/>
          <w:bCs/>
          <w:color w:val="000000" w:themeColor="text1"/>
          <w:sz w:val="24"/>
          <w:szCs w:val="24"/>
          <w:highlight w:val="none"/>
          <w:lang w:eastAsia="zh-CN"/>
          <w14:textFill>
            <w14:solidFill>
              <w14:schemeClr w14:val="tx1"/>
            </w14:solidFill>
          </w14:textFill>
        </w:rPr>
        <w:t>）资格审查资料</w:t>
      </w:r>
    </w:p>
    <w:p>
      <w:pPr>
        <w:spacing w:line="360" w:lineRule="auto"/>
        <w:rPr>
          <w:rFonts w:hint="eastAsia" w:ascii="宋体" w:hAnsi="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cs="宋体"/>
          <w:b w:val="0"/>
          <w:bCs/>
          <w:color w:val="000000" w:themeColor="text1"/>
          <w:sz w:val="24"/>
          <w:szCs w:val="24"/>
          <w:highlight w:val="none"/>
          <w:lang w:eastAsia="zh-CN"/>
          <w14:textFill>
            <w14:solidFill>
              <w14:schemeClr w14:val="tx1"/>
            </w14:solidFill>
          </w14:textFill>
        </w:rPr>
        <w:t>）近年完成类似业绩</w:t>
      </w:r>
    </w:p>
    <w:p>
      <w:pPr>
        <w:spacing w:line="360" w:lineRule="auto"/>
        <w:rPr>
          <w:rFonts w:hint="eastAsia" w:ascii="宋体" w:hAnsi="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cs="宋体"/>
          <w:b w:val="0"/>
          <w:bCs/>
          <w:color w:val="000000" w:themeColor="text1"/>
          <w:sz w:val="24"/>
          <w:szCs w:val="24"/>
          <w:highlight w:val="none"/>
          <w:lang w:eastAsia="zh-CN"/>
          <w14:textFill>
            <w14:solidFill>
              <w14:schemeClr w14:val="tx1"/>
            </w14:solidFill>
          </w14:textFill>
        </w:rPr>
        <w:t>）拟投入本项目从业人员</w:t>
      </w:r>
    </w:p>
    <w:p>
      <w:pPr>
        <w:spacing w:line="360" w:lineRule="auto"/>
        <w:rPr>
          <w:rFonts w:hint="eastAsia" w:ascii="宋体" w:hAnsi="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cs="宋体"/>
          <w:b w:val="0"/>
          <w:bCs/>
          <w:color w:val="000000" w:themeColor="text1"/>
          <w:sz w:val="24"/>
          <w:szCs w:val="24"/>
          <w:highlight w:val="none"/>
          <w:lang w:eastAsia="zh-CN"/>
          <w14:textFill>
            <w14:solidFill>
              <w14:schemeClr w14:val="tx1"/>
            </w14:solidFill>
          </w14:textFill>
        </w:rPr>
        <w:t>）企业获奖</w:t>
      </w:r>
    </w:p>
    <w:p>
      <w:pPr>
        <w:spacing w:line="360" w:lineRule="auto"/>
        <w:rPr>
          <w:rFonts w:hint="eastAsia" w:ascii="宋体" w:hAnsi="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8</w:t>
      </w:r>
      <w:r>
        <w:rPr>
          <w:rFonts w:hint="eastAsia" w:ascii="宋体" w:hAnsi="宋体" w:cs="宋体"/>
          <w:b w:val="0"/>
          <w:bCs/>
          <w:color w:val="000000" w:themeColor="text1"/>
          <w:sz w:val="24"/>
          <w:szCs w:val="24"/>
          <w:highlight w:val="none"/>
          <w:lang w:eastAsia="zh-CN"/>
          <w14:textFill>
            <w14:solidFill>
              <w14:schemeClr w14:val="tx1"/>
            </w14:solidFill>
          </w14:textFill>
        </w:rPr>
        <w:t>）企业各类证书</w:t>
      </w:r>
    </w:p>
    <w:p>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（9）商务和技术偏差表</w:t>
      </w:r>
    </w:p>
    <w:p>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4、商务标</w:t>
      </w:r>
    </w:p>
    <w:p>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（1）分项报价表</w:t>
      </w:r>
    </w:p>
    <w:p>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（2）节能环保产品证明（若有）</w:t>
      </w:r>
    </w:p>
    <w:p>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（3）强制节能清单（若有）</w:t>
      </w:r>
    </w:p>
    <w:p>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（4）小微企业证明</w:t>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5、技术标</w:t>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）按照招标文件中明确的投标文件目录和技术标格式进行编制</w:t>
      </w:r>
      <w:r>
        <w:rPr>
          <w:rFonts w:hint="eastAsia" w:ascii="宋体" w:hAnsi="宋体" w:eastAsia="宋体" w:cs="宋体"/>
          <w:sz w:val="24"/>
          <w:szCs w:val="24"/>
          <w:highlight w:val="none"/>
          <w:lang w:val="en-US" w:eastAsia="zh-CN"/>
        </w:rPr>
        <w:t>，保证目录清晰、内容完整。</w:t>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6、投标提供的其他材料</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（二）投标文件的语言要求及计量单位</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1、投标人提交的投标文件及投标人就有关投标的所有来往函电均应使用标准简体中文。投标人可以提交用其他语言印制的资料，但必须译成中文，在有差异和矛盾时以中文材料为准；</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2、除招标文件的技术规格中另有规定外，投标文件中所使用的计量单位须使用中华人民共和国法定计量单位。</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（三）投标文件的格式要求</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1、电子</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签章要求：</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投标文件封面、开标一览表及电子招标文件规定的其它应签章/签字处。未按要求进行签章/签字的投标文件，作无效处理。</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2、</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的份数：</w:t>
      </w:r>
    </w:p>
    <w:p>
      <w:pPr>
        <w:spacing w:line="360" w:lineRule="auto"/>
        <w:ind w:left="0" w:leftChars="0" w:firstLine="420" w:firstLineChars="175"/>
        <w:rPr>
          <w:rFonts w:hint="eastAsia" w:ascii="宋体" w:hAnsi="宋体" w:eastAsia="宋体" w:cs="宋体"/>
          <w:color w:val="000000"/>
          <w:sz w:val="24"/>
          <w:szCs w:val="24"/>
          <w:highlight w:val="none"/>
        </w:rPr>
      </w:pPr>
      <w:r>
        <w:rPr>
          <w:rFonts w:hint="eastAsia" w:ascii="宋体" w:hAnsi="宋体" w:cs="宋体"/>
          <w:b w:val="0"/>
          <w:bCs/>
          <w:color w:val="000000" w:themeColor="text1"/>
          <w:sz w:val="24"/>
          <w:szCs w:val="24"/>
          <w:highlight w:val="none"/>
          <w14:textFill>
            <w14:solidFill>
              <w14:schemeClr w14:val="tx1"/>
            </w14:solidFill>
          </w14:textFill>
        </w:rPr>
        <w:t>电子投标文件：</w:t>
      </w:r>
      <w:r>
        <w:rPr>
          <w:rFonts w:hint="eastAsia" w:ascii="宋体" w:hAnsi="宋体" w:eastAsia="宋体" w:cs="宋体"/>
          <w:color w:val="000000"/>
          <w:sz w:val="24"/>
          <w:szCs w:val="24"/>
          <w:highlight w:val="none"/>
        </w:rPr>
        <w:t>加密文件1份，为.lctf文件，在会员系统中上传；</w:t>
      </w:r>
    </w:p>
    <w:p>
      <w:pPr>
        <w:spacing w:line="360" w:lineRule="auto"/>
        <w:ind w:left="0" w:leftChars="0" w:firstLine="420" w:firstLineChars="175"/>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若中标，中标人还需提交</w:t>
      </w:r>
      <w:r>
        <w:rPr>
          <w:rFonts w:hint="eastAsia" w:ascii="宋体" w:hAnsi="宋体" w:cs="宋体"/>
          <w:b w:val="0"/>
          <w:bCs/>
          <w:color w:val="000000" w:themeColor="text1"/>
          <w:sz w:val="24"/>
          <w:szCs w:val="24"/>
          <w:highlight w:val="none"/>
          <w:lang w:eastAsia="zh-CN"/>
          <w14:textFill>
            <w14:solidFill>
              <w14:schemeClr w14:val="tx1"/>
            </w14:solidFill>
          </w14:textFill>
        </w:rPr>
        <w:t>四份</w:t>
      </w:r>
      <w:r>
        <w:rPr>
          <w:rFonts w:hint="eastAsia" w:ascii="宋体" w:hAnsi="宋体" w:cs="宋体"/>
          <w:b w:val="0"/>
          <w:bCs/>
          <w:color w:val="000000" w:themeColor="text1"/>
          <w:sz w:val="24"/>
          <w:szCs w:val="24"/>
          <w:highlight w:val="none"/>
          <w14:textFill>
            <w14:solidFill>
              <w14:schemeClr w14:val="tx1"/>
            </w14:solidFill>
          </w14:textFill>
        </w:rPr>
        <w:t>胶装的系统内生成的PDF版纸质投标文件，并按要求加盖公章。</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 3、电子</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的制作：</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（1）</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制作时，不同内容按标签提示制作导入，按照</w:t>
      </w:r>
      <w:r>
        <w:rPr>
          <w:rFonts w:hint="eastAsia" w:ascii="宋体" w:hAnsi="宋体" w:cs="宋体"/>
          <w:b w:val="0"/>
          <w:bCs/>
          <w:color w:val="000000" w:themeColor="text1"/>
          <w:sz w:val="24"/>
          <w:szCs w:val="24"/>
          <w:highlight w:val="none"/>
          <w:lang w:eastAsia="zh-CN"/>
          <w14:textFill>
            <w14:solidFill>
              <w14:schemeClr w14:val="tx1"/>
            </w14:solidFill>
          </w14:textFill>
        </w:rPr>
        <w:t>招标文件</w:t>
      </w:r>
      <w:r>
        <w:rPr>
          <w:rFonts w:hint="eastAsia" w:ascii="宋体" w:hAnsi="宋体" w:cs="宋体"/>
          <w:b w:val="0"/>
          <w:bCs/>
          <w:color w:val="000000" w:themeColor="text1"/>
          <w:sz w:val="24"/>
          <w:szCs w:val="24"/>
          <w:highlight w:val="none"/>
          <w14:textFill>
            <w14:solidFill>
              <w14:schemeClr w14:val="tx1"/>
            </w14:solidFill>
          </w14:textFill>
        </w:rPr>
        <w:t>中明确的</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目录和技术标格式进行编制，保证目录清晰、内容完整。</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（2）</w:t>
      </w:r>
      <w:r>
        <w:rPr>
          <w:rFonts w:hint="eastAsia" w:ascii="宋体" w:hAnsi="宋体" w:cs="宋体"/>
          <w:b w:val="0"/>
          <w:bCs/>
          <w:color w:val="000000" w:themeColor="text1"/>
          <w:sz w:val="24"/>
          <w:szCs w:val="24"/>
          <w:highlight w:val="none"/>
          <w:lang w:eastAsia="zh-CN"/>
          <w14:textFill>
            <w14:solidFill>
              <w14:schemeClr w14:val="tx1"/>
            </w14:solidFill>
          </w14:textFill>
        </w:rPr>
        <w:t>投标人</w:t>
      </w:r>
      <w:r>
        <w:rPr>
          <w:rFonts w:hint="eastAsia" w:ascii="宋体" w:hAnsi="宋体" w:cs="宋体"/>
          <w:b w:val="0"/>
          <w:bCs/>
          <w:color w:val="000000" w:themeColor="text1"/>
          <w:sz w:val="24"/>
          <w:szCs w:val="24"/>
          <w:highlight w:val="none"/>
          <w14:textFill>
            <w14:solidFill>
              <w14:schemeClr w14:val="tx1"/>
            </w14:solidFill>
          </w14:textFill>
        </w:rPr>
        <w:t>递交的电子</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因</w:t>
      </w:r>
      <w:r>
        <w:rPr>
          <w:rFonts w:hint="eastAsia" w:ascii="宋体" w:hAnsi="宋体" w:cs="宋体"/>
          <w:b w:val="0"/>
          <w:bCs/>
          <w:color w:val="000000" w:themeColor="text1"/>
          <w:sz w:val="24"/>
          <w:szCs w:val="24"/>
          <w:highlight w:val="none"/>
          <w:lang w:eastAsia="zh-CN"/>
          <w14:textFill>
            <w14:solidFill>
              <w14:schemeClr w14:val="tx1"/>
            </w14:solidFill>
          </w14:textFill>
        </w:rPr>
        <w:t>投标人</w:t>
      </w:r>
      <w:r>
        <w:rPr>
          <w:rFonts w:hint="eastAsia" w:ascii="宋体" w:hAnsi="宋体" w:cs="宋体"/>
          <w:b w:val="0"/>
          <w:bCs/>
          <w:color w:val="000000" w:themeColor="text1"/>
          <w:sz w:val="24"/>
          <w:szCs w:val="24"/>
          <w:highlight w:val="none"/>
          <w14:textFill>
            <w14:solidFill>
              <w14:schemeClr w14:val="tx1"/>
            </w14:solidFill>
          </w14:textFill>
        </w:rPr>
        <w:t>自身原因而导致无法导入电子辅助评标系统，该</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视为无效</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（3）电子招</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具有法律效力,与其他形式的招</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在内容和格式上等同，若</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与</w:t>
      </w:r>
      <w:r>
        <w:rPr>
          <w:rFonts w:hint="eastAsia" w:ascii="宋体" w:hAnsi="宋体" w:cs="宋体"/>
          <w:b w:val="0"/>
          <w:bCs/>
          <w:color w:val="000000" w:themeColor="text1"/>
          <w:sz w:val="24"/>
          <w:szCs w:val="24"/>
          <w:highlight w:val="none"/>
          <w:lang w:eastAsia="zh-CN"/>
          <w14:textFill>
            <w14:solidFill>
              <w14:schemeClr w14:val="tx1"/>
            </w14:solidFill>
          </w14:textFill>
        </w:rPr>
        <w:t>招标文件</w:t>
      </w:r>
      <w:r>
        <w:rPr>
          <w:rFonts w:hint="eastAsia" w:ascii="宋体" w:hAnsi="宋体" w:cs="宋体"/>
          <w:b w:val="0"/>
          <w:bCs/>
          <w:color w:val="000000" w:themeColor="text1"/>
          <w:sz w:val="24"/>
          <w:szCs w:val="24"/>
          <w:highlight w:val="none"/>
          <w14:textFill>
            <w14:solidFill>
              <w14:schemeClr w14:val="tx1"/>
            </w14:solidFill>
          </w14:textFill>
        </w:rPr>
        <w:t>要求不一致，其内容影响</w:t>
      </w:r>
      <w:r>
        <w:rPr>
          <w:rFonts w:hint="eastAsia" w:ascii="宋体" w:hAnsi="宋体" w:cs="宋体"/>
          <w:b w:val="0"/>
          <w:bCs/>
          <w:color w:val="000000" w:themeColor="text1"/>
          <w:sz w:val="24"/>
          <w:szCs w:val="24"/>
          <w:highlight w:val="none"/>
          <w:lang w:eastAsia="zh-CN"/>
          <w14:textFill>
            <w14:solidFill>
              <w14:schemeClr w14:val="tx1"/>
            </w14:solidFill>
          </w14:textFill>
        </w:rPr>
        <w:t>中标</w:t>
      </w:r>
      <w:r>
        <w:rPr>
          <w:rFonts w:hint="eastAsia" w:ascii="宋体" w:hAnsi="宋体" w:cs="宋体"/>
          <w:b w:val="0"/>
          <w:bCs/>
          <w:color w:val="000000" w:themeColor="text1"/>
          <w:sz w:val="24"/>
          <w:szCs w:val="24"/>
          <w:highlight w:val="none"/>
          <w14:textFill>
            <w14:solidFill>
              <w14:schemeClr w14:val="tx1"/>
            </w14:solidFill>
          </w14:textFill>
        </w:rPr>
        <w:t>结果时，责任由</w:t>
      </w:r>
      <w:r>
        <w:rPr>
          <w:rFonts w:hint="eastAsia" w:ascii="宋体" w:hAnsi="宋体" w:cs="宋体"/>
          <w:b w:val="0"/>
          <w:bCs/>
          <w:color w:val="000000" w:themeColor="text1"/>
          <w:sz w:val="24"/>
          <w:szCs w:val="24"/>
          <w:highlight w:val="none"/>
          <w:lang w:eastAsia="zh-CN"/>
          <w14:textFill>
            <w14:solidFill>
              <w14:schemeClr w14:val="tx1"/>
            </w14:solidFill>
          </w14:textFill>
        </w:rPr>
        <w:t>投标人</w:t>
      </w:r>
      <w:r>
        <w:rPr>
          <w:rFonts w:hint="eastAsia" w:ascii="宋体" w:hAnsi="宋体" w:cs="宋体"/>
          <w:b w:val="0"/>
          <w:bCs/>
          <w:color w:val="000000" w:themeColor="text1"/>
          <w:sz w:val="24"/>
          <w:szCs w:val="24"/>
          <w:highlight w:val="none"/>
          <w14:textFill>
            <w14:solidFill>
              <w14:schemeClr w14:val="tx1"/>
            </w14:solidFill>
          </w14:textFill>
        </w:rPr>
        <w:t>自行承担。</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（4）为了保证电子标书的合法性、安全性和完整性，电子标书转换完成后，应在规定部位加盖</w:t>
      </w:r>
      <w:r>
        <w:rPr>
          <w:rFonts w:hint="eastAsia" w:ascii="宋体" w:hAnsi="宋体" w:cs="宋体"/>
          <w:b w:val="0"/>
          <w:bCs/>
          <w:color w:val="000000" w:themeColor="text1"/>
          <w:sz w:val="24"/>
          <w:szCs w:val="24"/>
          <w:highlight w:val="none"/>
          <w:lang w:eastAsia="zh-CN"/>
          <w14:textFill>
            <w14:solidFill>
              <w14:schemeClr w14:val="tx1"/>
            </w14:solidFill>
          </w14:textFill>
        </w:rPr>
        <w:t>投标人</w:t>
      </w:r>
      <w:r>
        <w:rPr>
          <w:rFonts w:hint="eastAsia" w:ascii="宋体" w:hAnsi="宋体" w:cs="宋体"/>
          <w:b w:val="0"/>
          <w:bCs/>
          <w:color w:val="000000" w:themeColor="text1"/>
          <w:sz w:val="24"/>
          <w:szCs w:val="24"/>
          <w:highlight w:val="none"/>
          <w14:textFill>
            <w14:solidFill>
              <w14:schemeClr w14:val="tx1"/>
            </w14:solidFill>
          </w14:textFill>
        </w:rPr>
        <w:t>单位电子签章和法定代表人CA印章。</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cs="宋体"/>
          <w:b w:val="0"/>
          <w:bCs/>
          <w:color w:val="000000" w:themeColor="text1"/>
          <w:sz w:val="24"/>
          <w:szCs w:val="24"/>
          <w:highlight w:val="none"/>
          <w14:textFill>
            <w14:solidFill>
              <w14:schemeClr w14:val="tx1"/>
            </w14:solidFill>
          </w14:textFill>
        </w:rPr>
        <w:t>、</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因字迹不清晰或表达不清楚所引起的后果由</w:t>
      </w:r>
      <w:r>
        <w:rPr>
          <w:rFonts w:hint="eastAsia" w:ascii="宋体" w:hAnsi="宋体" w:cs="宋体"/>
          <w:b w:val="0"/>
          <w:bCs/>
          <w:color w:val="000000" w:themeColor="text1"/>
          <w:sz w:val="24"/>
          <w:szCs w:val="24"/>
          <w:highlight w:val="none"/>
          <w:lang w:eastAsia="zh-CN"/>
          <w14:textFill>
            <w14:solidFill>
              <w14:schemeClr w14:val="tx1"/>
            </w14:solidFill>
          </w14:textFill>
        </w:rPr>
        <w:t>投标人</w:t>
      </w:r>
      <w:r>
        <w:rPr>
          <w:rFonts w:hint="eastAsia" w:ascii="宋体" w:hAnsi="宋体" w:cs="宋体"/>
          <w:b w:val="0"/>
          <w:bCs/>
          <w:color w:val="000000" w:themeColor="text1"/>
          <w:sz w:val="24"/>
          <w:szCs w:val="24"/>
          <w:highlight w:val="none"/>
          <w14:textFill>
            <w14:solidFill>
              <w14:schemeClr w14:val="tx1"/>
            </w14:solidFill>
          </w14:textFill>
        </w:rPr>
        <w:t>负责；</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cs="宋体"/>
          <w:b w:val="0"/>
          <w:bCs/>
          <w:color w:val="000000" w:themeColor="text1"/>
          <w:sz w:val="24"/>
          <w:szCs w:val="24"/>
          <w:highlight w:val="none"/>
          <w14:textFill>
            <w14:solidFill>
              <w14:schemeClr w14:val="tx1"/>
            </w14:solidFill>
          </w14:textFill>
        </w:rPr>
        <w:t>、电子邮件、电话、传真形式的</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概不接受。</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（四）投标报价要求</w:t>
      </w:r>
    </w:p>
    <w:p>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1、</w:t>
      </w:r>
      <w:r>
        <w:rPr>
          <w:rFonts w:hint="eastAsia" w:ascii="宋体" w:hAnsi="宋体" w:cs="宋体"/>
          <w:b/>
          <w:bCs w:val="0"/>
          <w:color w:val="000000" w:themeColor="text1"/>
          <w:sz w:val="24"/>
          <w:szCs w:val="24"/>
          <w:highlight w:val="none"/>
          <w14:textFill>
            <w14:solidFill>
              <w14:schemeClr w14:val="tx1"/>
            </w14:solidFill>
          </w14:textFill>
        </w:rPr>
        <w:t>报价为一次性报价且只有一种方案</w:t>
      </w:r>
      <w:r>
        <w:rPr>
          <w:rFonts w:hint="eastAsia" w:ascii="宋体" w:hAnsi="宋体" w:cs="宋体"/>
          <w:b w:val="0"/>
          <w:bCs/>
          <w:color w:val="000000" w:themeColor="text1"/>
          <w:sz w:val="24"/>
          <w:szCs w:val="24"/>
          <w:highlight w:val="none"/>
          <w14:textFill>
            <w14:solidFill>
              <w14:schemeClr w14:val="tx1"/>
            </w14:solidFill>
          </w14:textFill>
        </w:rPr>
        <w:t>，报价时需按照“</w:t>
      </w:r>
      <w:r>
        <w:rPr>
          <w:rFonts w:hint="eastAsia" w:ascii="宋体" w:hAnsi="宋体" w:cs="宋体"/>
          <w:b w:val="0"/>
          <w:bCs/>
          <w:color w:val="000000" w:themeColor="text1"/>
          <w:sz w:val="24"/>
          <w:szCs w:val="24"/>
          <w:highlight w:val="none"/>
          <w:lang w:eastAsia="zh-CN"/>
          <w14:textFill>
            <w14:solidFill>
              <w14:schemeClr w14:val="tx1"/>
            </w14:solidFill>
          </w14:textFill>
        </w:rPr>
        <w:t>分项报价表</w:t>
      </w:r>
      <w:r>
        <w:rPr>
          <w:rFonts w:hint="eastAsia" w:ascii="宋体" w:hAnsi="宋体" w:cs="宋体"/>
          <w:b w:val="0"/>
          <w:bCs/>
          <w:color w:val="000000" w:themeColor="text1"/>
          <w:sz w:val="24"/>
          <w:szCs w:val="24"/>
          <w:highlight w:val="none"/>
          <w14:textFill>
            <w14:solidFill>
              <w14:schemeClr w14:val="tx1"/>
            </w14:solidFill>
          </w14:textFill>
        </w:rPr>
        <w:t>”格式将每种货物的单价和合价报出，报价币种为人民币。</w:t>
      </w:r>
      <w:r>
        <w:rPr>
          <w:rFonts w:hint="eastAsia" w:ascii="宋体" w:hAnsi="宋体" w:cs="宋体"/>
          <w:b w:val="0"/>
          <w:bCs/>
          <w:color w:val="000000" w:themeColor="text1"/>
          <w:sz w:val="24"/>
          <w:szCs w:val="24"/>
          <w:highlight w:val="none"/>
          <w:lang w:val="en-US" w:eastAsia="zh-CN"/>
          <w14:textFill>
            <w14:solidFill>
              <w14:schemeClr w14:val="tx1"/>
            </w14:solidFill>
          </w14:textFill>
        </w:rPr>
        <w:t>报价为一次性报价。报价币种为人民币。投标报价应包含货物的生产、包装、运输、装卸、调试、验收、保险、税金、运杂、安装所需的零部件、附材及质保服务等全部费用。投标人应列入而未列入的费用，均视为已包含在投标总价中。</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2、“开标一览表”不允许涂抹、修改，表中相应内容的报价必须计算正确；如果大写金额与小写金额不一致，以大写为准；</w:t>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3、投标人必须报出所投货物的单项报价和总价；</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4、投标人免费提供的项目，应先写明该项目的实际价格，并注明免费，此项不计入总价或合计价。</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五、投标文件的递交</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（1）</w:t>
      </w:r>
      <w:r>
        <w:rPr>
          <w:rFonts w:hint="eastAsia" w:ascii="宋体" w:hAnsi="宋体" w:eastAsia="宋体" w:cs="宋体"/>
          <w:b/>
          <w:bCs/>
          <w:color w:val="000000"/>
          <w:sz w:val="24"/>
          <w:szCs w:val="24"/>
          <w:highlight w:val="none"/>
          <w:lang w:val="en-US" w:eastAsia="zh-CN"/>
        </w:rPr>
        <w:t>将电子投标文件在投标文件递交截止时间前上传到</w:t>
      </w:r>
      <w:r>
        <w:rPr>
          <w:rFonts w:hint="eastAsia" w:ascii="宋体" w:hAnsi="宋体" w:eastAsia="宋体" w:cs="宋体"/>
          <w:b/>
          <w:bCs/>
          <w:color w:val="000000"/>
          <w:sz w:val="24"/>
          <w:szCs w:val="24"/>
          <w:highlight w:val="none"/>
          <w:lang w:eastAsia="zh-CN"/>
        </w:rPr>
        <w:t>聊城市公共资源招投标会员网上交易系统</w:t>
      </w:r>
      <w:r>
        <w:rPr>
          <w:rFonts w:hint="eastAsia" w:ascii="宋体" w:hAnsi="宋体" w:eastAsia="宋体" w:cs="宋体"/>
          <w:b/>
          <w:bCs/>
          <w:color w:val="00000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（2）开标前登录网上不见面开标大厅，完成签到工作；在开标前未在不见面开标大厅完成签到工作、逾期解密的</w:t>
      </w:r>
      <w:r>
        <w:rPr>
          <w:rFonts w:hint="eastAsia" w:ascii="宋体" w:hAnsi="宋体" w:cs="宋体"/>
          <w:b/>
          <w:bCs/>
          <w:color w:val="000000"/>
          <w:sz w:val="24"/>
          <w:szCs w:val="24"/>
          <w:highlight w:val="none"/>
          <w:lang w:val="en-US" w:eastAsia="zh-CN"/>
        </w:rPr>
        <w:t>投标</w:t>
      </w:r>
      <w:r>
        <w:rPr>
          <w:rFonts w:hint="eastAsia" w:ascii="宋体" w:hAnsi="宋体" w:eastAsia="宋体" w:cs="宋体"/>
          <w:b/>
          <w:bCs/>
          <w:color w:val="000000"/>
          <w:sz w:val="24"/>
          <w:szCs w:val="24"/>
          <w:highlight w:val="none"/>
          <w:lang w:val="en-US" w:eastAsia="zh-CN"/>
        </w:rPr>
        <w:t>文件，</w:t>
      </w:r>
      <w:r>
        <w:rPr>
          <w:rFonts w:hint="eastAsia" w:ascii="宋体" w:hAnsi="宋体" w:cs="宋体"/>
          <w:b/>
          <w:bCs/>
          <w:color w:val="000000"/>
          <w:sz w:val="24"/>
          <w:szCs w:val="24"/>
          <w:highlight w:val="none"/>
          <w:lang w:val="en-US" w:eastAsia="zh-CN"/>
        </w:rPr>
        <w:t>招标人</w:t>
      </w:r>
      <w:r>
        <w:rPr>
          <w:rFonts w:hint="eastAsia" w:ascii="宋体" w:hAnsi="宋体" w:eastAsia="宋体" w:cs="宋体"/>
          <w:b/>
          <w:bCs/>
          <w:color w:val="000000"/>
          <w:sz w:val="24"/>
          <w:szCs w:val="24"/>
          <w:highlight w:val="none"/>
          <w:lang w:val="en-US" w:eastAsia="zh-CN"/>
        </w:rPr>
        <w:t>将不予受理。</w:t>
      </w:r>
      <w:r>
        <w:rPr>
          <w:rFonts w:hint="eastAsia" w:ascii="宋体" w:hAnsi="宋体" w:eastAsia="宋体" w:cs="宋体"/>
          <w:b/>
          <w:bCs/>
          <w:color w:val="000000"/>
          <w:sz w:val="24"/>
          <w:szCs w:val="24"/>
          <w:highlight w:val="none"/>
          <w:lang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（二）投标截止日期</w:t>
      </w:r>
    </w:p>
    <w:p>
      <w:pPr>
        <w:keepNext w:val="0"/>
        <w:keepLines w:val="0"/>
        <w:pageBreakBefore w:val="0"/>
        <w:widowControl w:val="0"/>
        <w:tabs>
          <w:tab w:val="left" w:pos="180"/>
          <w:tab w:val="left" w:pos="360"/>
          <w:tab w:val="left" w:pos="54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1、投标文件递交截止时间：详见投标须知表；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2、投标人代表必须在投标截止时间前将投标文件</w:t>
      </w:r>
      <w:r>
        <w:rPr>
          <w:rFonts w:hint="eastAsia" w:ascii="宋体" w:hAnsi="宋体" w:cs="宋体"/>
          <w:color w:val="000000" w:themeColor="text1"/>
          <w:sz w:val="24"/>
          <w:szCs w:val="24"/>
          <w:highlight w:val="none"/>
          <w:lang w:val="en-US" w:eastAsia="zh-CN"/>
          <w14:textFill>
            <w14:solidFill>
              <w14:schemeClr w14:val="tx1"/>
            </w14:solidFill>
          </w14:textFill>
        </w:rPr>
        <w:t>上传至</w:t>
      </w:r>
      <w:r>
        <w:rPr>
          <w:rFonts w:hint="eastAsia" w:ascii="宋体" w:hAnsi="宋体" w:eastAsia="宋体" w:cs="宋体"/>
          <w:color w:val="000000" w:themeColor="text1"/>
          <w:sz w:val="24"/>
          <w:szCs w:val="24"/>
          <w:highlight w:val="none"/>
          <w14:textFill>
            <w14:solidFill>
              <w14:schemeClr w14:val="tx1"/>
            </w14:solidFill>
          </w14:textFill>
        </w:rPr>
        <w:t>指定地点。如因招标文件的修改，提前或推迟截止时间的，则按</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eastAsia="宋体" w:cs="宋体"/>
          <w:color w:val="000000" w:themeColor="text1"/>
          <w:sz w:val="24"/>
          <w:szCs w:val="24"/>
          <w:highlight w:val="none"/>
          <w14:textFill>
            <w14:solidFill>
              <w14:schemeClr w14:val="tx1"/>
            </w14:solidFill>
          </w14:textFill>
        </w:rPr>
        <w:t>通知的时间递交；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3、不论采购过程和结果如何，对</w:t>
      </w:r>
      <w:r>
        <w:rPr>
          <w:rFonts w:hint="eastAsia" w:ascii="宋体" w:hAnsi="宋体" w:eastAsia="宋体" w:cs="宋体"/>
          <w:color w:val="000000" w:themeColor="text1"/>
          <w:sz w:val="24"/>
          <w:szCs w:val="24"/>
          <w:highlight w:val="none"/>
          <w:lang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提交的</w:t>
      </w:r>
      <w:r>
        <w:rPr>
          <w:rFonts w:hint="eastAsia" w:ascii="宋体" w:hAnsi="宋体" w:eastAsia="宋体" w:cs="宋体"/>
          <w:color w:val="000000" w:themeColor="text1"/>
          <w:sz w:val="24"/>
          <w:szCs w:val="24"/>
          <w:highlight w:val="none"/>
          <w:lang w:eastAsia="zh-CN"/>
          <w14:textFill>
            <w14:solidFill>
              <w14:schemeClr w14:val="tx1"/>
            </w14:solidFill>
          </w14:textFill>
        </w:rPr>
        <w:t>投标文件</w:t>
      </w:r>
      <w:r>
        <w:rPr>
          <w:rFonts w:hint="eastAsia" w:ascii="宋体" w:hAnsi="宋体" w:eastAsia="宋体" w:cs="宋体"/>
          <w:color w:val="000000" w:themeColor="text1"/>
          <w:sz w:val="24"/>
          <w:szCs w:val="24"/>
          <w:highlight w:val="none"/>
          <w14:textFill>
            <w14:solidFill>
              <w14:schemeClr w14:val="tx1"/>
            </w14:solidFill>
          </w14:textFill>
        </w:rPr>
        <w:t>文件在</w:t>
      </w:r>
      <w:r>
        <w:rPr>
          <w:rFonts w:hint="eastAsia" w:ascii="宋体" w:hAnsi="宋体" w:eastAsia="宋体" w:cs="宋体"/>
          <w:color w:val="000000" w:themeColor="text1"/>
          <w:sz w:val="24"/>
          <w:szCs w:val="24"/>
          <w:highlight w:val="none"/>
          <w:lang w:eastAsia="zh-CN"/>
          <w14:textFill>
            <w14:solidFill>
              <w14:schemeClr w14:val="tx1"/>
            </w14:solidFill>
          </w14:textFill>
        </w:rPr>
        <w:t>投标</w:t>
      </w:r>
      <w:r>
        <w:rPr>
          <w:rFonts w:hint="eastAsia" w:ascii="宋体" w:hAnsi="宋体" w:eastAsia="宋体" w:cs="宋体"/>
          <w:color w:val="000000" w:themeColor="text1"/>
          <w:sz w:val="24"/>
          <w:szCs w:val="24"/>
          <w:highlight w:val="none"/>
          <w14:textFill>
            <w14:solidFill>
              <w14:schemeClr w14:val="tx1"/>
            </w14:solidFill>
          </w14:textFill>
        </w:rPr>
        <w:t>截止时间后均不退还。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（三）投标文件有下列情形之一的，招标人/招标代理机构不予受理（已接收的视为无效投标）：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1、逾期递交的或者未递交成功的投标文件，招标代理机构不予受理；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2、未按招标文件要求加密的。</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（四）投标文件的修改和撤回</w:t>
      </w:r>
    </w:p>
    <w:p>
      <w:pPr>
        <w:keepNext w:val="0"/>
        <w:keepLines w:val="0"/>
        <w:pageBreakBefore w:val="0"/>
        <w:widowControl w:val="0"/>
        <w:kinsoku/>
        <w:wordWrap/>
        <w:overflowPunct/>
        <w:topLinePunct w:val="0"/>
        <w:autoSpaceDE/>
        <w:autoSpaceDN/>
        <w:bidi w:val="0"/>
        <w:adjustRightInd/>
        <w:snapToGrid/>
        <w:spacing w:line="360" w:lineRule="auto"/>
        <w:ind w:left="2" w:leftChars="1"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企业可在开标前任意时间制作并上传投标文件，若投标文件已上传且距离开标时间不足30分钟，投标文件将不可自行撤回、更改。若投标文件已处于待解密状态，开标前放弃投标或撤回文件的，请联系现场代理公司工作人员进行撤回</w:t>
      </w:r>
      <w:r>
        <w:rPr>
          <w:rFonts w:hint="eastAsia" w:ascii="宋体" w:hAnsi="宋体" w:eastAsia="宋体" w:cs="宋体"/>
          <w:color w:val="000000" w:themeColor="text1"/>
          <w:sz w:val="24"/>
          <w:szCs w:val="24"/>
          <w:highlight w:val="none"/>
          <w:lang w:eastAsia="zh-CN"/>
          <w14:textFill>
            <w14:solidFill>
              <w14:schemeClr w14:val="tx1"/>
            </w14:solidFill>
          </w14:textFill>
        </w:rPr>
        <w:t>并</w:t>
      </w:r>
      <w:r>
        <w:rPr>
          <w:rFonts w:hint="eastAsia" w:ascii="宋体" w:hAnsi="宋体" w:eastAsia="宋体" w:cs="宋体"/>
          <w:color w:val="000000" w:themeColor="text1"/>
          <w:sz w:val="24"/>
          <w:szCs w:val="24"/>
          <w:highlight w:val="none"/>
          <w14:textFill>
            <w14:solidFill>
              <w14:schemeClr w14:val="tx1"/>
            </w14:solidFill>
          </w14:textFill>
        </w:rPr>
        <w:t>出具</w:t>
      </w:r>
      <w:r>
        <w:rPr>
          <w:rFonts w:hint="eastAsia" w:ascii="宋体" w:hAnsi="宋体" w:eastAsia="宋体" w:cs="宋体"/>
          <w:color w:val="000000" w:themeColor="text1"/>
          <w:sz w:val="24"/>
          <w:szCs w:val="24"/>
          <w:highlight w:val="none"/>
          <w:lang w:eastAsia="zh-CN"/>
          <w14:textFill>
            <w14:solidFill>
              <w14:schemeClr w14:val="tx1"/>
            </w14:solidFill>
          </w14:textFill>
        </w:rPr>
        <w:t>书面</w:t>
      </w:r>
      <w:r>
        <w:rPr>
          <w:rFonts w:hint="eastAsia" w:ascii="宋体" w:hAnsi="宋体" w:eastAsia="宋体" w:cs="宋体"/>
          <w:color w:val="000000" w:themeColor="text1"/>
          <w:sz w:val="24"/>
          <w:szCs w:val="24"/>
          <w:highlight w:val="none"/>
          <w14:textFill>
            <w14:solidFill>
              <w14:schemeClr w14:val="tx1"/>
            </w14:solidFill>
          </w14:textFill>
        </w:rPr>
        <w:t>申请。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2、开标后不允许对投标文件做实质性修改或补充；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3、开标后投标人在投标有效期内不得撤销投标。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六、无效投标</w:t>
      </w:r>
    </w:p>
    <w:p>
      <w:pPr>
        <w:numPr>
          <w:ilvl w:val="0"/>
          <w:numId w:val="2"/>
        </w:numPr>
        <w:tabs>
          <w:tab w:val="left" w:pos="0"/>
          <w:tab w:val="left" w:pos="180"/>
        </w:tabs>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投标文件未按招标文件的规定签署、盖章</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Times New Roman" w:cs="Times New Roman"/>
          <w:color w:val="auto"/>
          <w:sz w:val="24"/>
          <w:szCs w:val="24"/>
          <w:highlight w:val="none"/>
          <w:lang w:eastAsia="zh-CN"/>
        </w:rPr>
        <w:t>报名时的联系人和响应文件中的授权代表非同一人的</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）未按规定报价</w:t>
      </w:r>
      <w:r>
        <w:rPr>
          <w:rFonts w:hint="eastAsia" w:ascii="宋体" w:hAnsi="宋体" w:eastAsia="宋体" w:cs="宋体"/>
          <w:b/>
          <w:bCs/>
          <w:color w:val="auto"/>
          <w:sz w:val="24"/>
          <w:szCs w:val="24"/>
          <w:highlight w:val="none"/>
          <w:lang w:eastAsia="zh-CN"/>
        </w:rPr>
        <w:t>或</w:t>
      </w:r>
      <w:r>
        <w:rPr>
          <w:rFonts w:hint="eastAsia" w:ascii="宋体" w:hAnsi="宋体" w:eastAsia="宋体" w:cs="宋体"/>
          <w:b/>
          <w:bCs/>
          <w:color w:val="auto"/>
          <w:sz w:val="24"/>
          <w:szCs w:val="24"/>
          <w:highlight w:val="none"/>
        </w:rPr>
        <w:t>投标文件中未报出分项的价格；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递交两份或多份内容不同的</w:t>
      </w:r>
      <w:r>
        <w:rPr>
          <w:rFonts w:hint="eastAsia" w:ascii="宋体" w:hAnsi="宋体" w:eastAsia="宋体" w:cs="宋体"/>
          <w:color w:val="000000" w:themeColor="text1"/>
          <w:sz w:val="24"/>
          <w:szCs w:val="24"/>
          <w:highlight w:val="none"/>
          <w:lang w:eastAsia="zh-CN"/>
          <w14:textFill>
            <w14:solidFill>
              <w14:schemeClr w14:val="tx1"/>
            </w14:solidFill>
          </w14:textFill>
        </w:rPr>
        <w:t>投标</w:t>
      </w:r>
      <w:r>
        <w:rPr>
          <w:rFonts w:hint="eastAsia" w:ascii="宋体" w:hAnsi="宋体" w:eastAsia="宋体" w:cs="宋体"/>
          <w:color w:val="000000" w:themeColor="text1"/>
          <w:sz w:val="24"/>
          <w:szCs w:val="24"/>
          <w:highlight w:val="none"/>
          <w14:textFill>
            <w14:solidFill>
              <w14:schemeClr w14:val="tx1"/>
            </w14:solidFill>
          </w14:textFill>
        </w:rPr>
        <w:t>文件，或在一份</w:t>
      </w:r>
      <w:r>
        <w:rPr>
          <w:rFonts w:hint="eastAsia" w:ascii="宋体" w:hAnsi="宋体" w:eastAsia="宋体" w:cs="宋体"/>
          <w:color w:val="000000" w:themeColor="text1"/>
          <w:sz w:val="24"/>
          <w:szCs w:val="24"/>
          <w:highlight w:val="none"/>
          <w:lang w:eastAsia="zh-CN"/>
          <w14:textFill>
            <w14:solidFill>
              <w14:schemeClr w14:val="tx1"/>
            </w14:solidFill>
          </w14:textFill>
        </w:rPr>
        <w:t>投标</w:t>
      </w:r>
      <w:r>
        <w:rPr>
          <w:rFonts w:hint="eastAsia" w:ascii="宋体" w:hAnsi="宋体" w:eastAsia="宋体" w:cs="宋体"/>
          <w:color w:val="000000" w:themeColor="text1"/>
          <w:sz w:val="24"/>
          <w:szCs w:val="24"/>
          <w:highlight w:val="none"/>
          <w14:textFill>
            <w14:solidFill>
              <w14:schemeClr w14:val="tx1"/>
            </w14:solidFill>
          </w14:textFill>
        </w:rPr>
        <w:t>文件中对同一招标项目报有两个或多个报价，且未声明哪一个有效，按</w:t>
      </w:r>
      <w:r>
        <w:rPr>
          <w:rFonts w:hint="eastAsia" w:ascii="宋体" w:hAnsi="宋体" w:eastAsia="宋体" w:cs="宋体"/>
          <w:color w:val="000000" w:themeColor="text1"/>
          <w:sz w:val="24"/>
          <w:szCs w:val="24"/>
          <w:highlight w:val="none"/>
          <w:lang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 xml:space="preserve">文件规定提交备选投标方案的除外；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）投标人对招标文件的要求未做出实质性响应；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）低于成本价且无法提供相关证明材料；</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14:textFill>
            <w14:solidFill>
              <w14:schemeClr w14:val="tx1"/>
            </w14:solidFill>
          </w14:textFill>
        </w:rPr>
        <w:t>）投标人的报价超过预算金额的；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val="0"/>
          <w:color w:val="000000" w:themeColor="text1"/>
          <w:sz w:val="24"/>
          <w:szCs w:val="24"/>
          <w:highlight w:val="none"/>
          <w14:textFill>
            <w14:solidFill>
              <w14:schemeClr w14:val="tx1"/>
            </w14:solidFill>
          </w14:textFill>
        </w:rPr>
        <w:t>）应提供而未提供政府强制采购节能、环保产品的；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）投标文件含有</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eastAsia="宋体" w:cs="宋体"/>
          <w:color w:val="000000" w:themeColor="text1"/>
          <w:sz w:val="24"/>
          <w:szCs w:val="24"/>
          <w:highlight w:val="none"/>
          <w14:textFill>
            <w14:solidFill>
              <w14:schemeClr w14:val="tx1"/>
            </w14:solidFill>
          </w14:textFill>
        </w:rPr>
        <w:t>不能接受的附加条件的；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）投标文件制作机器码、投标文件创建标识码一致、造价软件加密锁号一致，将视同串通投标作无效标处理，并将有关问题上报至行政监管部门处理。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）电子清标中，技术标雷同性分析，存在高度雷同的技术标评分项且企业无法合理解释，或高度雷同项达到一定数量的，由评审委员会作无效标处理。（具体数量由评审委员会协商确定）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）法律、法规规定的其他情况。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不符合采购文件中规定的其他实质性要求</w:t>
      </w:r>
      <w:r>
        <w:rPr>
          <w:rFonts w:hint="eastAsia" w:ascii="宋体" w:hAnsi="宋体" w:eastAsia="宋体" w:cs="宋体"/>
          <w:color w:val="auto"/>
          <w:sz w:val="24"/>
          <w:szCs w:val="24"/>
          <w:highlight w:val="none"/>
        </w:rPr>
        <w:t>；</w:t>
      </w:r>
    </w:p>
    <w:p>
      <w:pPr>
        <w:pStyle w:val="31"/>
        <w:numPr>
          <w:ilvl w:val="0"/>
          <w:numId w:val="0"/>
        </w:numPr>
        <w:spacing w:line="360" w:lineRule="auto"/>
        <w:ind w:firstLine="480" w:firstLineChars="200"/>
        <w:rPr>
          <w:rFonts w:hint="eastAsia" w:ascii="Times New Roman" w:cs="Times New Roman"/>
          <w:color w:val="auto"/>
          <w:sz w:val="24"/>
          <w:szCs w:val="24"/>
          <w:highlight w:val="none"/>
          <w:lang w:eastAsia="zh-CN"/>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）投标人</w:t>
      </w:r>
      <w:r>
        <w:rPr>
          <w:rFonts w:hint="eastAsia" w:ascii="Times New Roman" w:cs="Times New Roman"/>
          <w:color w:val="auto"/>
          <w:sz w:val="24"/>
          <w:szCs w:val="24"/>
          <w:highlight w:val="none"/>
          <w:lang w:eastAsia="zh-CN"/>
        </w:rPr>
        <w:t>未在开标时间前完成在“中国山东政府采购网”的注册（已注册的，不要求重复注册）；</w:t>
      </w:r>
    </w:p>
    <w:p>
      <w:pPr>
        <w:spacing w:line="360" w:lineRule="auto"/>
        <w:ind w:firstLine="480" w:firstLineChars="200"/>
        <w:jc w:val="left"/>
        <w:rPr>
          <w:rFonts w:hint="eastAsia"/>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1</w:t>
      </w:r>
      <w:r>
        <w:rPr>
          <w:rFonts w:hint="eastAsia" w:ascii="宋体" w:hAnsi="宋体" w:cs="宋体"/>
          <w:color w:val="000000"/>
          <w:sz w:val="24"/>
          <w:highlight w:val="none"/>
          <w:lang w:val="en-US" w:eastAsia="zh-CN"/>
        </w:rPr>
        <w:t>4</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参加本项目供应商(须附国家企业信用信息公示系统(网址http://www.gsxt.gov.cn/)公示的企业股东及出资信息(显示股东认缴出资额)、主要人员信息；与其他供应商存在高管人员，股东重叠的</w:t>
      </w:r>
      <w:r>
        <w:rPr>
          <w:rFonts w:hint="eastAsia" w:ascii="宋体" w:hAnsi="宋体" w:eastAsia="宋体" w:cs="宋体"/>
          <w:color w:val="000000"/>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2" w:leftChars="1"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2、投标人有下列情况之一的，其投标不但被视为无效投标，而且将根据情况性质按照《中华人民共和国政府采购法》及有关法律法规追究其法律责任。投标人给</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eastAsia="宋体" w:cs="宋体"/>
          <w:color w:val="000000" w:themeColor="text1"/>
          <w:sz w:val="24"/>
          <w:szCs w:val="24"/>
          <w:highlight w:val="none"/>
          <w14:textFill>
            <w14:solidFill>
              <w14:schemeClr w14:val="tx1"/>
            </w14:solidFill>
          </w14:textFill>
        </w:rPr>
        <w:t>造成损失的，</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eastAsia="宋体" w:cs="宋体"/>
          <w:color w:val="000000" w:themeColor="text1"/>
          <w:sz w:val="24"/>
          <w:szCs w:val="24"/>
          <w:highlight w:val="none"/>
          <w14:textFill>
            <w14:solidFill>
              <w14:schemeClr w14:val="tx1"/>
            </w14:solidFill>
          </w14:textFill>
        </w:rPr>
        <w:t>有索赔的权利。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（1）投标人提供的有关资格、资质证明文件不真实，提供虚假投标材料；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（2）投标人在投标有效期内撤回投标；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（3）在整个投标过程中，投标人有企图影响招标结果的任何活动；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（4）投标人串通投标；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（5）投标人向</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eastAsia="宋体" w:cs="宋体"/>
          <w:color w:val="000000" w:themeColor="text1"/>
          <w:sz w:val="24"/>
          <w:szCs w:val="24"/>
          <w:highlight w:val="none"/>
          <w14:textFill>
            <w14:solidFill>
              <w14:schemeClr w14:val="tx1"/>
            </w14:solidFill>
          </w14:textFill>
        </w:rPr>
        <w:t>、监管机构、</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eastAsia="宋体" w:cs="宋体"/>
          <w:color w:val="000000" w:themeColor="text1"/>
          <w:sz w:val="24"/>
          <w:szCs w:val="24"/>
          <w:highlight w:val="none"/>
          <w14:textFill>
            <w14:solidFill>
              <w14:schemeClr w14:val="tx1"/>
            </w14:solidFill>
          </w14:textFill>
        </w:rPr>
        <w:t>提供不正当利益；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（6）中标人不按要求提交招标代理费</w:t>
      </w:r>
      <w:r>
        <w:rPr>
          <w:rFonts w:hint="eastAsia" w:ascii="宋体" w:hAnsi="宋体" w:eastAsia="宋体" w:cs="宋体"/>
          <w:color w:val="000000" w:themeColor="text1"/>
          <w:sz w:val="24"/>
          <w:szCs w:val="24"/>
          <w:highlight w:val="none"/>
          <w:lang w:eastAsia="zh-CN"/>
          <w14:textFill>
            <w14:solidFill>
              <w14:schemeClr w14:val="tx1"/>
            </w14:solidFill>
          </w14:textFill>
        </w:rPr>
        <w:t>、履约保证金（如有）</w:t>
      </w:r>
      <w:r>
        <w:rPr>
          <w:rFonts w:hint="eastAsia" w:ascii="宋体" w:hAnsi="宋体" w:eastAsia="宋体" w:cs="宋体"/>
          <w:color w:val="000000" w:themeColor="text1"/>
          <w:sz w:val="24"/>
          <w:szCs w:val="24"/>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（7）中标人不按规定签订合同；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（8）法律、法规规定的其他情况。</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七、在招标采购中，出现下列情形之一的，应予以废标：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（1）符合专业条件的投标人或者对招标文件作实质响应的投标人不足三家的；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）出现影响采购公正的违法、违规行为的；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）投标人的报价均超过了采购预算，</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eastAsia="宋体" w:cs="宋体"/>
          <w:color w:val="000000" w:themeColor="text1"/>
          <w:sz w:val="24"/>
          <w:szCs w:val="24"/>
          <w:highlight w:val="none"/>
          <w14:textFill>
            <w14:solidFill>
              <w14:schemeClr w14:val="tx1"/>
            </w14:solidFill>
          </w14:textFill>
        </w:rPr>
        <w:t>不能支付的；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）因重大变故，采购任务取消的。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废标后，</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eastAsia="宋体" w:cs="宋体"/>
          <w:color w:val="000000" w:themeColor="text1"/>
          <w:sz w:val="24"/>
          <w:szCs w:val="24"/>
          <w:highlight w:val="none"/>
          <w14:textFill>
            <w14:solidFill>
              <w14:schemeClr w14:val="tx1"/>
            </w14:solidFill>
          </w14:textFill>
        </w:rPr>
        <w:t>应将废标理由通知所有投标人。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八、解释权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本次招标的最终解释权为</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eastAsia="宋体" w:cs="宋体"/>
          <w:color w:val="000000" w:themeColor="text1"/>
          <w:sz w:val="24"/>
          <w:szCs w:val="24"/>
          <w:highlight w:val="none"/>
          <w14:textFill>
            <w14:solidFill>
              <w14:schemeClr w14:val="tx1"/>
            </w14:solidFill>
          </w14:textFill>
        </w:rPr>
        <w:t>，当对一个问题有多种解释时以</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eastAsia="宋体" w:cs="宋体"/>
          <w:color w:val="000000" w:themeColor="text1"/>
          <w:sz w:val="24"/>
          <w:szCs w:val="24"/>
          <w:highlight w:val="none"/>
          <w14:textFill>
            <w14:solidFill>
              <w14:schemeClr w14:val="tx1"/>
            </w14:solidFill>
          </w14:textFill>
        </w:rPr>
        <w:t>的书面解释为准。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招标文件未做明示，而又有相关法律、法规规定的，</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eastAsia="宋体" w:cs="宋体"/>
          <w:color w:val="000000" w:themeColor="text1"/>
          <w:sz w:val="24"/>
          <w:szCs w:val="24"/>
          <w:highlight w:val="none"/>
          <w14:textFill>
            <w14:solidFill>
              <w14:schemeClr w14:val="tx1"/>
            </w14:solidFill>
          </w14:textFill>
        </w:rPr>
        <w:t>对此所</w:t>
      </w:r>
      <w:r>
        <w:rPr>
          <w:rFonts w:hint="eastAsia" w:ascii="宋体" w:hAnsi="宋体" w:eastAsia="宋体" w:cs="宋体"/>
          <w:color w:val="000000" w:themeColor="text1"/>
          <w:sz w:val="24"/>
          <w:szCs w:val="24"/>
          <w:highlight w:val="none"/>
          <w:lang w:eastAsia="zh-CN"/>
          <w14:textFill>
            <w14:solidFill>
              <w14:schemeClr w14:val="tx1"/>
            </w14:solidFill>
          </w14:textFill>
        </w:rPr>
        <w:t>作</w:t>
      </w:r>
      <w:r>
        <w:rPr>
          <w:rFonts w:hint="eastAsia" w:ascii="宋体" w:hAnsi="宋体" w:eastAsia="宋体" w:cs="宋体"/>
          <w:color w:val="000000" w:themeColor="text1"/>
          <w:sz w:val="24"/>
          <w:szCs w:val="24"/>
          <w:highlight w:val="none"/>
          <w14:textFill>
            <w14:solidFill>
              <w14:schemeClr w14:val="tx1"/>
            </w14:solidFill>
          </w14:textFill>
        </w:rPr>
        <w:t>解释以相关的法律、法规的规定为依据。</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九</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eastAsia="zh-CN"/>
          <w14:textFill>
            <w14:solidFill>
              <w14:schemeClr w14:val="tx1"/>
            </w14:solidFill>
          </w14:textFill>
        </w:rPr>
        <w:t>询问、</w:t>
      </w:r>
      <w:r>
        <w:rPr>
          <w:rFonts w:hint="eastAsia" w:ascii="宋体" w:hAnsi="宋体" w:eastAsia="宋体" w:cs="宋体"/>
          <w:b/>
          <w:bCs/>
          <w:color w:val="000000" w:themeColor="text1"/>
          <w:sz w:val="24"/>
          <w:szCs w:val="24"/>
          <w:highlight w:val="none"/>
          <w14:textFill>
            <w14:solidFill>
              <w14:schemeClr w14:val="tx1"/>
            </w14:solidFill>
          </w14:textFill>
        </w:rPr>
        <w:t>质疑</w:t>
      </w:r>
      <w:r>
        <w:rPr>
          <w:rFonts w:hint="eastAsia" w:ascii="宋体" w:hAnsi="宋体" w:eastAsia="宋体" w:cs="宋体"/>
          <w:b/>
          <w:bCs/>
          <w:color w:val="000000" w:themeColor="text1"/>
          <w:sz w:val="24"/>
          <w:szCs w:val="24"/>
          <w:highlight w:val="none"/>
          <w:lang w:eastAsia="zh-CN"/>
          <w14:textFill>
            <w14:solidFill>
              <w14:schemeClr w14:val="tx1"/>
            </w14:solidFill>
          </w14:textFill>
        </w:rPr>
        <w:t>投诉</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p>
    <w:p>
      <w:pPr>
        <w:spacing w:line="360" w:lineRule="auto"/>
        <w:rPr>
          <w:rFonts w:hint="eastAsia" w:ascii="宋体" w:hAnsi="宋体" w:eastAsia="宋体" w:cs="宋体"/>
          <w:sz w:val="24"/>
          <w:szCs w:val="24"/>
          <w:highlight w:val="none"/>
        </w:rPr>
      </w:pPr>
      <w:bookmarkStart w:id="39" w:name="_Toc28308"/>
      <w:bookmarkStart w:id="40" w:name="_Toc28331"/>
      <w:r>
        <w:rPr>
          <w:rFonts w:hint="eastAsia" w:ascii="宋体" w:hAnsi="宋体" w:eastAsia="宋体" w:cs="宋体"/>
          <w:sz w:val="24"/>
          <w:szCs w:val="24"/>
          <w:highlight w:val="none"/>
        </w:rPr>
        <w:t>质疑投诉：</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（一）质疑</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1、质疑</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按照《中华人民共和国政府采购法》、《中华人民共和国政府采购法实施条例》、《政府采购质疑和投诉办法》等有关规定，参加本次政府采购活动的供应商认为采购文件、招标过程和中标结果使自己的权益受到损害的，可以在知道或者应知道其权益受到损害之日起七个工作日内，以书面形式向采购人或者采购代理机构提出质疑。</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2、供应商提出质疑应当提交质疑函和必要的证明材料。质疑函应当包括下列内容：</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（1）供应商的姓名或者名称、地址、邮编、联系人及联系电话；</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（2）质疑项目的名称、编号；</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（3）具体、明确的质疑事项和与质疑事项相关的请求；</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（4）事实依据；</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（5）必要的法律依据；</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（6）提出质疑的日期。</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供应商为自然人的，应当由本人签字；供应商为法人或者其他组织的，应当由法定代表人、主要负责人，或者其授权代表签字或者盖章，并加盖公章。</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代理人办理质疑事项时，还应当提交授权委托书，授权委托书应当载明代理的具体权限和事项，否则采购人或者采购代理机构不予受理。</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质疑函范本下载地址：http://www.ccgp.gov.cn/</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接收质疑函的方式：书面形式。其他任何方式的质疑，采购人或者采购代理机构均不予接受和回复。</w:t>
      </w:r>
    </w:p>
    <w:p>
      <w:pPr>
        <w:spacing w:line="360" w:lineRule="auto"/>
        <w:rPr>
          <w:rFonts w:hint="eastAsia" w:ascii="宋体" w:hAnsi="宋体" w:eastAsia="宋体" w:cs="宋体"/>
          <w:sz w:val="24"/>
          <w:szCs w:val="24"/>
          <w:highlight w:val="none"/>
          <w:lang w:eastAsia="zh-CN"/>
        </w:rPr>
      </w:pPr>
      <w:bookmarkStart w:id="41" w:name="_Hlk144721818"/>
      <w:r>
        <w:rPr>
          <w:rFonts w:hint="eastAsia" w:ascii="宋体" w:hAnsi="宋体" w:eastAsia="宋体" w:cs="宋体"/>
          <w:sz w:val="24"/>
          <w:szCs w:val="24"/>
          <w:highlight w:val="none"/>
        </w:rPr>
        <w:t>质疑函收件人：</w:t>
      </w:r>
      <w:r>
        <w:rPr>
          <w:rFonts w:hint="eastAsia" w:ascii="宋体" w:hAnsi="宋体" w:cs="宋体"/>
          <w:sz w:val="24"/>
          <w:szCs w:val="24"/>
          <w:highlight w:val="none"/>
          <w:lang w:val="en-US" w:eastAsia="zh-CN"/>
        </w:rPr>
        <w:t>林工</w:t>
      </w:r>
      <w:r>
        <w:rPr>
          <w:rFonts w:hint="eastAsia" w:ascii="宋体" w:hAnsi="宋体" w:eastAsia="宋体" w:cs="宋体"/>
          <w:sz w:val="24"/>
          <w:szCs w:val="24"/>
          <w:highlight w:val="none"/>
        </w:rPr>
        <w:t xml:space="preserve">    联系电话：</w:t>
      </w:r>
      <w:r>
        <w:rPr>
          <w:rFonts w:hint="eastAsia" w:ascii="宋体" w:hAnsi="宋体" w:cs="宋体"/>
          <w:sz w:val="24"/>
          <w:szCs w:val="24"/>
          <w:highlight w:val="none"/>
          <w:lang w:eastAsia="zh-CN"/>
        </w:rPr>
        <w:t>18365724789</w:t>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通讯地址：</w:t>
      </w:r>
      <w:r>
        <w:rPr>
          <w:rFonts w:hint="eastAsia" w:ascii="宋体" w:hAnsi="宋体" w:cs="宋体"/>
          <w:sz w:val="24"/>
          <w:szCs w:val="24"/>
          <w:highlight w:val="none"/>
          <w:lang w:eastAsia="zh-CN"/>
        </w:rPr>
        <w:t>聊城市东昌路市委对过工商银行东邻6楼621室</w:t>
      </w:r>
    </w:p>
    <w:bookmarkEnd w:id="41"/>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3、供应商在法定质疑期内必须一次性提出针对同一采购程序环节的所有质疑，重复质疑或多次质疑采购人或者采购代理机构不予受理。</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4、采购人或者采购代理机构在收到质疑书后七个工作日内作出书面答复，但答复不得涉及商业秘密。</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5、质疑人对采购人、采购代理机构的答复不满意或者采购人、采购代理机构未在规定的时间内作出答复的，可以在答复期满后十五个工作日内向同级财政部门投诉。</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6、现已启用交易系统在线质疑功能，供应商可在交易系统进行线上质疑。</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（二）投诉</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（1）质疑供应商对采购人、采购代理机构的答复不满意，或者采购人、采购代理机构未在规定时间内作出答复的，可以在答复期满后 15 个工作日内向相关的财政部门提起投诉。</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（2）投诉人投诉时,应当提交投诉书和必要的证明材料，并按照被投诉采购人、采购代理机构和与投诉事项有关的供应商数量提供投诉书的副本。投诉书应当包括下列内容：</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（一）投诉人和被投诉人的姓名或者名称、通讯地址、邮编、联系人及联系电话；</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（二）质疑和质疑答复情况说明及相关证明材料；</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（三）具体、明确的投诉事项和与投诉事项相关的投诉请求；</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（四）事实依据；</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（五）法律依据；</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（六）提起投诉的日期。</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投诉人为自然人的，应当由本人签字；投诉人为法人或者其他组织的，应当由法定代表人、主要负责人，或者其授权代表签字或者盖章，并加盖公章。</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（3）投诉人应当根据规定的信息内容，并按照其规定的方式提起投诉。</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投诉人提起投诉应当符合下列条件：</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（一）提起投诉前已依法进行质疑；</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（二）投诉书内容符合本办法的规定；</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（三）在投诉有效期限内提起投诉；</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（四）同一投诉事项未经财政部门投诉处理；</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（五）财政部规定的其他条件。</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（4）供应商投诉的事项不得超出已质疑事项的范围，但基于质疑答复内容提出的投诉事项除外。</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（5）现已启用省信息公开平台线上投诉功能 ， 供应商可在信息公开平台进行线上投诉 。</w:t>
      </w:r>
    </w:p>
    <w:p>
      <w:pP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r>
    </w:p>
    <w:p>
      <w:pPr>
        <w:spacing w:line="360" w:lineRule="auto"/>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第三部分  项目说明</w:t>
      </w:r>
      <w:bookmarkEnd w:id="39"/>
      <w:bookmarkEnd w:id="40"/>
    </w:p>
    <w:p>
      <w:pPr>
        <w:spacing w:line="360" w:lineRule="auto"/>
        <w:rPr>
          <w:rFonts w:hint="eastAsia" w:ascii="宋体" w:hAnsi="宋体" w:eastAsia="宋体" w:cs="宋体"/>
          <w:sz w:val="24"/>
          <w:szCs w:val="24"/>
          <w:highlight w:val="none"/>
          <w:lang w:val="en-US" w:eastAsia="zh-CN"/>
        </w:rPr>
      </w:pPr>
      <w:bookmarkStart w:id="42" w:name="_Toc437856505"/>
      <w:r>
        <w:rPr>
          <w:rFonts w:hint="eastAsia" w:ascii="宋体" w:hAnsi="宋体" w:cs="宋体"/>
          <w:b/>
          <w:bCs/>
          <w:kern w:val="0"/>
          <w:sz w:val="24"/>
          <w:szCs w:val="24"/>
          <w:highlight w:val="none"/>
          <w:lang w:eastAsia="zh-CN"/>
        </w:rPr>
        <w:t>一、</w:t>
      </w:r>
      <w:r>
        <w:rPr>
          <w:rFonts w:hint="eastAsia" w:ascii="宋体" w:hAnsi="宋体" w:cs="宋体"/>
          <w:b/>
          <w:bCs/>
          <w:kern w:val="0"/>
          <w:sz w:val="24"/>
          <w:szCs w:val="24"/>
          <w:highlight w:val="none"/>
        </w:rPr>
        <w:t>采购内容及情况：</w:t>
      </w:r>
      <w:r>
        <w:rPr>
          <w:rFonts w:hint="eastAsia" w:ascii="宋体" w:hAnsi="宋体" w:cs="宋体"/>
          <w:bCs/>
          <w:kern w:val="0"/>
          <w:sz w:val="24"/>
          <w:szCs w:val="24"/>
          <w:highlight w:val="none"/>
        </w:rPr>
        <w:t>本项目为</w:t>
      </w:r>
      <w:r>
        <w:rPr>
          <w:rFonts w:hint="eastAsia" w:ascii="宋体" w:hAnsi="宋体" w:cs="宋体"/>
          <w:bCs/>
          <w:kern w:val="0"/>
          <w:sz w:val="24"/>
          <w:szCs w:val="24"/>
          <w:highlight w:val="none"/>
          <w:lang w:eastAsia="zh-CN"/>
        </w:rPr>
        <w:t xml:space="preserve">莘县城区绿化苗木采购项目 </w:t>
      </w:r>
      <w:r>
        <w:rPr>
          <w:rFonts w:hint="eastAsia" w:ascii="宋体" w:hAnsi="宋体" w:cs="宋体"/>
          <w:bCs/>
          <w:kern w:val="0"/>
          <w:sz w:val="24"/>
          <w:szCs w:val="24"/>
          <w:highlight w:val="none"/>
        </w:rPr>
        <w:t>，</w:t>
      </w:r>
      <w:r>
        <w:rPr>
          <w:rFonts w:hint="eastAsia"/>
          <w:sz w:val="24"/>
          <w:highlight w:val="none"/>
        </w:rPr>
        <w:t>项目预算为</w:t>
      </w:r>
      <w:r>
        <w:rPr>
          <w:rFonts w:hint="eastAsia"/>
          <w:sz w:val="24"/>
          <w:highlight w:val="none"/>
          <w:lang w:val="en-US" w:eastAsia="zh-CN"/>
        </w:rPr>
        <w:t>265万元,</w:t>
      </w:r>
      <w:r>
        <w:rPr>
          <w:rFonts w:hint="eastAsia" w:ascii="宋体" w:hAnsi="宋体" w:cs="宋体"/>
          <w:bCs/>
          <w:kern w:val="0"/>
          <w:sz w:val="24"/>
          <w:szCs w:val="24"/>
          <w:highlight w:val="none"/>
        </w:rPr>
        <w:t>共分一个</w:t>
      </w:r>
      <w:r>
        <w:rPr>
          <w:rFonts w:hint="eastAsia" w:ascii="宋体" w:hAnsi="宋体" w:cs="宋体"/>
          <w:bCs/>
          <w:kern w:val="0"/>
          <w:sz w:val="24"/>
          <w:szCs w:val="24"/>
          <w:highlight w:val="none"/>
          <w:lang w:eastAsia="zh-CN"/>
        </w:rPr>
        <w:t>标</w:t>
      </w:r>
      <w:r>
        <w:rPr>
          <w:rFonts w:hint="eastAsia" w:ascii="宋体" w:hAnsi="宋体" w:cs="宋体"/>
          <w:bCs/>
          <w:kern w:val="0"/>
          <w:sz w:val="24"/>
          <w:szCs w:val="24"/>
          <w:highlight w:val="none"/>
        </w:rPr>
        <w:t>包</w:t>
      </w:r>
      <w:r>
        <w:rPr>
          <w:rFonts w:hint="eastAsia" w:ascii="宋体" w:hAnsi="宋体" w:cs="宋体"/>
          <w:bCs/>
          <w:kern w:val="0"/>
          <w:sz w:val="24"/>
          <w:szCs w:val="24"/>
          <w:highlight w:val="none"/>
          <w:lang w:eastAsia="zh-CN"/>
        </w:rPr>
        <w:t>：莘县城区绿化苗木采购项目。</w:t>
      </w:r>
    </w:p>
    <w:p>
      <w:pPr>
        <w:pStyle w:val="463"/>
        <w:spacing w:line="360" w:lineRule="auto"/>
        <w:rPr>
          <w:rFonts w:hint="eastAsia" w:ascii="宋体" w:hAnsi="宋体" w:cs="宋体"/>
          <w:b/>
          <w:bCs w:val="0"/>
          <w:kern w:val="0"/>
          <w:sz w:val="24"/>
          <w:szCs w:val="24"/>
          <w:highlight w:val="none"/>
          <w:lang w:val="en-US" w:eastAsia="zh-CN" w:bidi="ar-SA"/>
        </w:rPr>
        <w:sectPr>
          <w:footerReference r:id="rId10" w:type="first"/>
          <w:footerReference r:id="rId9" w:type="default"/>
          <w:pgSz w:w="11905" w:h="16838"/>
          <w:pgMar w:top="1440" w:right="1083" w:bottom="1440" w:left="1083" w:header="1191" w:footer="1077" w:gutter="0"/>
          <w:pgNumType w:fmt="decimal"/>
          <w:cols w:space="0" w:num="1"/>
          <w:titlePg/>
          <w:rtlGutter w:val="0"/>
          <w:docGrid w:linePitch="312" w:charSpace="0"/>
        </w:sectPr>
      </w:pPr>
      <w:r>
        <w:rPr>
          <w:rFonts w:hint="eastAsia" w:ascii="宋体" w:hAnsi="宋体" w:cs="宋体"/>
          <w:b/>
          <w:bCs w:val="0"/>
          <w:kern w:val="0"/>
          <w:sz w:val="24"/>
          <w:szCs w:val="24"/>
          <w:highlight w:val="none"/>
          <w:lang w:val="en-US" w:eastAsia="zh-CN" w:bidi="ar-SA"/>
        </w:rPr>
        <w:t>二、货物清单及参数</w:t>
      </w:r>
      <w:bookmarkStart w:id="43" w:name="_Toc4256"/>
      <w:bookmarkStart w:id="44" w:name="_Toc445"/>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第1页  共34页</w:t>
      </w: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鸿途街一（高速</w:t>
            </w:r>
          </w:p>
          <w:p>
            <w:pPr>
              <w:rPr>
                <w:rFonts w:hint="eastAsia" w:ascii="宋体" w:hAnsi="宋体" w:eastAsia="宋体" w:cs="宋体"/>
                <w:sz w:val="18"/>
                <w:szCs w:val="18"/>
              </w:rPr>
            </w:pPr>
            <w:r>
              <w:rPr>
                <w:rFonts w:hint="eastAsia" w:ascii="宋体" w:hAnsi="宋体" w:eastAsia="宋体" w:cs="宋体"/>
                <w:sz w:val="18"/>
                <w:szCs w:val="18"/>
              </w:rPr>
              <w:t>-县界）</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050102001002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1.种类：法桐</w:t>
            </w:r>
          </w:p>
          <w:p>
            <w:pPr>
              <w:rPr>
                <w:rFonts w:hint="eastAsia" w:ascii="宋体" w:hAnsi="宋体" w:eastAsia="宋体" w:cs="宋体"/>
                <w:sz w:val="18"/>
                <w:szCs w:val="18"/>
              </w:rPr>
            </w:pPr>
            <w:r>
              <w:rPr>
                <w:rFonts w:hint="eastAsia" w:ascii="宋体" w:hAnsi="宋体" w:eastAsia="宋体" w:cs="宋体"/>
                <w:sz w:val="18"/>
                <w:szCs w:val="18"/>
              </w:rPr>
              <w:t>2.胸径：12cm</w:t>
            </w:r>
          </w:p>
          <w:p>
            <w:pPr>
              <w:rPr>
                <w:rFonts w:hint="eastAsia" w:ascii="宋体" w:hAnsi="宋体" w:eastAsia="宋体" w:cs="宋体"/>
                <w:sz w:val="18"/>
                <w:szCs w:val="18"/>
              </w:rPr>
            </w:pPr>
            <w:r>
              <w:rPr>
                <w:rFonts w:hint="eastAsia" w:ascii="宋体" w:hAnsi="宋体" w:eastAsia="宋体" w:cs="宋体"/>
                <w:sz w:val="18"/>
                <w:szCs w:val="18"/>
              </w:rPr>
              <w:t xml:space="preserve">3.高度：650-750cm   </w:t>
            </w:r>
          </w:p>
          <w:p>
            <w:pPr>
              <w:rPr>
                <w:rFonts w:hint="eastAsia" w:ascii="宋体" w:hAnsi="宋体" w:eastAsia="宋体" w:cs="宋体"/>
                <w:sz w:val="18"/>
                <w:szCs w:val="18"/>
              </w:rPr>
            </w:pPr>
            <w:r>
              <w:rPr>
                <w:rFonts w:hint="eastAsia" w:ascii="宋体" w:hAnsi="宋体" w:eastAsia="宋体" w:cs="宋体"/>
                <w:sz w:val="18"/>
                <w:szCs w:val="18"/>
              </w:rPr>
              <w:t xml:space="preserve">4.冠幅：400-500cm   </w:t>
            </w:r>
          </w:p>
          <w:p>
            <w:pPr>
              <w:rPr>
                <w:rFonts w:hint="eastAsia" w:ascii="宋体" w:hAnsi="宋体" w:eastAsia="宋体" w:cs="宋体"/>
                <w:sz w:val="18"/>
                <w:szCs w:val="18"/>
              </w:rPr>
            </w:pPr>
            <w:r>
              <w:rPr>
                <w:rFonts w:hint="eastAsia" w:ascii="宋体" w:hAnsi="宋体" w:eastAsia="宋体" w:cs="宋体"/>
                <w:sz w:val="18"/>
                <w:szCs w:val="18"/>
              </w:rPr>
              <w:t>5.备注：全冠，姿佳, 枝叶茂盛，优质苗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050102001003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numPr>
                <w:ilvl w:val="0"/>
                <w:numId w:val="3"/>
              </w:numPr>
              <w:rPr>
                <w:rFonts w:hint="eastAsia" w:ascii="宋体" w:hAnsi="宋体" w:eastAsia="宋体" w:cs="宋体"/>
                <w:sz w:val="18"/>
                <w:szCs w:val="18"/>
              </w:rPr>
            </w:pPr>
            <w:r>
              <w:rPr>
                <w:rFonts w:hint="eastAsia" w:ascii="宋体" w:hAnsi="宋体" w:eastAsia="宋体" w:cs="宋体"/>
                <w:sz w:val="18"/>
                <w:szCs w:val="18"/>
              </w:rPr>
              <w:t xml:space="preserve">种类：独杆紫薇 </w:t>
            </w:r>
          </w:p>
          <w:p>
            <w:pPr>
              <w:numPr>
                <w:ilvl w:val="0"/>
                <w:numId w:val="0"/>
              </w:numPr>
              <w:rPr>
                <w:rFonts w:hint="eastAsia" w:ascii="宋体" w:hAnsi="宋体" w:eastAsia="宋体" w:cs="宋体"/>
                <w:sz w:val="18"/>
                <w:szCs w:val="18"/>
              </w:rPr>
            </w:pPr>
            <w:r>
              <w:rPr>
                <w:rFonts w:hint="eastAsia" w:ascii="宋体" w:hAnsi="宋体" w:eastAsia="宋体" w:cs="宋体"/>
                <w:sz w:val="18"/>
                <w:szCs w:val="18"/>
              </w:rPr>
              <w:t>2.地径：D=6cm</w:t>
            </w:r>
          </w:p>
          <w:p>
            <w:pPr>
              <w:rPr>
                <w:rFonts w:hint="eastAsia" w:ascii="宋体" w:hAnsi="宋体" w:eastAsia="宋体" w:cs="宋体"/>
                <w:sz w:val="18"/>
                <w:szCs w:val="18"/>
              </w:rPr>
            </w:pPr>
            <w:r>
              <w:rPr>
                <w:rFonts w:hint="eastAsia" w:ascii="宋体" w:hAnsi="宋体" w:eastAsia="宋体" w:cs="宋体"/>
                <w:sz w:val="18"/>
                <w:szCs w:val="18"/>
              </w:rPr>
              <w:t xml:space="preserve">3.高度：250-300cm   </w:t>
            </w:r>
          </w:p>
          <w:p>
            <w:pPr>
              <w:rPr>
                <w:rFonts w:hint="eastAsia" w:ascii="宋体" w:hAnsi="宋体" w:eastAsia="宋体" w:cs="宋体"/>
                <w:sz w:val="18"/>
                <w:szCs w:val="18"/>
              </w:rPr>
            </w:pPr>
            <w:r>
              <w:rPr>
                <w:rFonts w:hint="eastAsia" w:ascii="宋体" w:hAnsi="宋体" w:eastAsia="宋体" w:cs="宋体"/>
                <w:sz w:val="18"/>
                <w:szCs w:val="18"/>
              </w:rPr>
              <w:t xml:space="preserve">4.冠幅：220-300cm   </w:t>
            </w:r>
          </w:p>
          <w:p>
            <w:pPr>
              <w:rPr>
                <w:rFonts w:hint="eastAsia" w:ascii="宋体" w:hAnsi="宋体" w:eastAsia="宋体" w:cs="宋体"/>
                <w:sz w:val="18"/>
                <w:szCs w:val="18"/>
              </w:rPr>
            </w:pPr>
            <w:r>
              <w:rPr>
                <w:rFonts w:hint="eastAsia" w:ascii="宋体" w:hAnsi="宋体" w:eastAsia="宋体" w:cs="宋体"/>
                <w:sz w:val="18"/>
                <w:szCs w:val="18"/>
              </w:rPr>
              <w:t>5.备注：全冠，姿佳,枝叶茂盛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050102001004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1.种类：金枝槐</w:t>
            </w:r>
          </w:p>
          <w:p>
            <w:pPr>
              <w:rPr>
                <w:rFonts w:hint="eastAsia" w:ascii="宋体" w:hAnsi="宋体" w:eastAsia="宋体" w:cs="宋体"/>
                <w:sz w:val="18"/>
                <w:szCs w:val="18"/>
              </w:rPr>
            </w:pPr>
            <w:r>
              <w:rPr>
                <w:rFonts w:hint="eastAsia" w:ascii="宋体" w:hAnsi="宋体" w:eastAsia="宋体" w:cs="宋体"/>
                <w:sz w:val="18"/>
                <w:szCs w:val="18"/>
              </w:rPr>
              <w:t>2.地径：D=6cm</w:t>
            </w:r>
          </w:p>
          <w:p>
            <w:pPr>
              <w:rPr>
                <w:rFonts w:hint="eastAsia" w:ascii="宋体" w:hAnsi="宋体" w:eastAsia="宋体" w:cs="宋体"/>
                <w:sz w:val="18"/>
                <w:szCs w:val="18"/>
              </w:rPr>
            </w:pPr>
            <w:r>
              <w:rPr>
                <w:rFonts w:hint="eastAsia" w:ascii="宋体" w:hAnsi="宋体" w:eastAsia="宋体" w:cs="宋体"/>
                <w:sz w:val="18"/>
                <w:szCs w:val="18"/>
              </w:rPr>
              <w:t xml:space="preserve">3.高度：220-300cm   </w:t>
            </w:r>
          </w:p>
          <w:p>
            <w:pPr>
              <w:rPr>
                <w:rFonts w:hint="eastAsia" w:ascii="宋体" w:hAnsi="宋体" w:eastAsia="宋体" w:cs="宋体"/>
                <w:sz w:val="18"/>
                <w:szCs w:val="18"/>
              </w:rPr>
            </w:pPr>
            <w:r>
              <w:rPr>
                <w:rFonts w:hint="eastAsia" w:ascii="宋体" w:hAnsi="宋体" w:eastAsia="宋体" w:cs="宋体"/>
                <w:sz w:val="18"/>
                <w:szCs w:val="18"/>
              </w:rPr>
              <w:t xml:space="preserve">4.冠幅：200-300cm   </w:t>
            </w:r>
          </w:p>
          <w:p>
            <w:pPr>
              <w:rPr>
                <w:rFonts w:hint="eastAsia" w:ascii="宋体" w:hAnsi="宋体" w:eastAsia="宋体" w:cs="宋体"/>
                <w:sz w:val="18"/>
                <w:szCs w:val="18"/>
              </w:rPr>
            </w:pPr>
            <w:r>
              <w:rPr>
                <w:rFonts w:hint="eastAsia" w:ascii="宋体" w:hAnsi="宋体" w:eastAsia="宋体" w:cs="宋体"/>
                <w:sz w:val="18"/>
                <w:szCs w:val="18"/>
              </w:rPr>
              <w:t>5.备注：全冠，姿佳,枝叶茂盛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050102001005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1.种类：碧桃</w:t>
            </w:r>
          </w:p>
          <w:p>
            <w:pPr>
              <w:rPr>
                <w:rFonts w:hint="eastAsia" w:ascii="宋体" w:hAnsi="宋体" w:eastAsia="宋体" w:cs="宋体"/>
                <w:sz w:val="18"/>
                <w:szCs w:val="18"/>
              </w:rPr>
            </w:pPr>
            <w:r>
              <w:rPr>
                <w:rFonts w:hint="eastAsia" w:ascii="宋体" w:hAnsi="宋体" w:eastAsia="宋体" w:cs="宋体"/>
                <w:sz w:val="18"/>
                <w:szCs w:val="18"/>
              </w:rPr>
              <w:t>2.地径：D=6cm</w:t>
            </w:r>
          </w:p>
          <w:p>
            <w:pPr>
              <w:rPr>
                <w:rFonts w:hint="eastAsia" w:ascii="宋体" w:hAnsi="宋体" w:eastAsia="宋体" w:cs="宋体"/>
                <w:sz w:val="18"/>
                <w:szCs w:val="18"/>
              </w:rPr>
            </w:pPr>
            <w:r>
              <w:rPr>
                <w:rFonts w:hint="eastAsia" w:ascii="宋体" w:hAnsi="宋体" w:eastAsia="宋体" w:cs="宋体"/>
                <w:sz w:val="18"/>
                <w:szCs w:val="18"/>
              </w:rPr>
              <w:t xml:space="preserve">3.高度：250-350cm   </w:t>
            </w:r>
          </w:p>
          <w:p>
            <w:pPr>
              <w:rPr>
                <w:rFonts w:hint="eastAsia" w:ascii="宋体" w:hAnsi="宋体" w:eastAsia="宋体" w:cs="宋体"/>
                <w:sz w:val="18"/>
                <w:szCs w:val="18"/>
              </w:rPr>
            </w:pPr>
            <w:r>
              <w:rPr>
                <w:rFonts w:hint="eastAsia" w:ascii="宋体" w:hAnsi="宋体" w:eastAsia="宋体" w:cs="宋体"/>
                <w:sz w:val="18"/>
                <w:szCs w:val="18"/>
              </w:rPr>
              <w:t xml:space="preserve">4.冠幅：220-300cm   </w:t>
            </w:r>
          </w:p>
          <w:p>
            <w:pPr>
              <w:rPr>
                <w:rFonts w:hint="eastAsia" w:ascii="宋体" w:hAnsi="宋体" w:eastAsia="宋体" w:cs="宋体"/>
                <w:sz w:val="18"/>
                <w:szCs w:val="18"/>
              </w:rPr>
            </w:pPr>
            <w:r>
              <w:rPr>
                <w:rFonts w:hint="eastAsia" w:ascii="宋体" w:hAnsi="宋体" w:eastAsia="宋体" w:cs="宋体"/>
                <w:sz w:val="18"/>
                <w:szCs w:val="18"/>
              </w:rPr>
              <w:t>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050102001001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numPr>
                <w:ilvl w:val="0"/>
                <w:numId w:val="4"/>
              </w:numPr>
              <w:rPr>
                <w:rFonts w:hint="eastAsia" w:ascii="宋体" w:hAnsi="宋体" w:eastAsia="宋体" w:cs="宋体"/>
                <w:sz w:val="18"/>
                <w:szCs w:val="18"/>
              </w:rPr>
            </w:pPr>
            <w:r>
              <w:rPr>
                <w:rFonts w:hint="eastAsia" w:ascii="宋体" w:hAnsi="宋体" w:eastAsia="宋体" w:cs="宋体"/>
                <w:sz w:val="18"/>
                <w:szCs w:val="18"/>
              </w:rPr>
              <w:t xml:space="preserve">种类： 西府海棠 </w:t>
            </w:r>
          </w:p>
          <w:p>
            <w:pPr>
              <w:numPr>
                <w:ilvl w:val="0"/>
                <w:numId w:val="0"/>
              </w:numPr>
              <w:rPr>
                <w:rFonts w:hint="eastAsia" w:ascii="宋体" w:hAnsi="宋体" w:eastAsia="宋体" w:cs="宋体"/>
                <w:sz w:val="18"/>
                <w:szCs w:val="18"/>
              </w:rPr>
            </w:pPr>
            <w:r>
              <w:rPr>
                <w:rFonts w:hint="eastAsia" w:ascii="宋体" w:hAnsi="宋体" w:eastAsia="宋体" w:cs="宋体"/>
                <w:sz w:val="18"/>
                <w:szCs w:val="18"/>
              </w:rPr>
              <w:t>2.地径：D=6cm</w:t>
            </w:r>
          </w:p>
          <w:p>
            <w:pPr>
              <w:rPr>
                <w:rFonts w:hint="eastAsia" w:ascii="宋体" w:hAnsi="宋体" w:eastAsia="宋体" w:cs="宋体"/>
                <w:sz w:val="18"/>
                <w:szCs w:val="18"/>
              </w:rPr>
            </w:pPr>
            <w:r>
              <w:rPr>
                <w:rFonts w:hint="eastAsia" w:ascii="宋体" w:hAnsi="宋体" w:eastAsia="宋体" w:cs="宋体"/>
                <w:sz w:val="18"/>
                <w:szCs w:val="18"/>
              </w:rPr>
              <w:t xml:space="preserve">3.高度：250-350cm   </w:t>
            </w:r>
          </w:p>
          <w:p>
            <w:pPr>
              <w:rPr>
                <w:rFonts w:hint="eastAsia" w:ascii="宋体" w:hAnsi="宋体" w:eastAsia="宋体" w:cs="宋体"/>
                <w:sz w:val="18"/>
                <w:szCs w:val="18"/>
              </w:rPr>
            </w:pPr>
            <w:r>
              <w:rPr>
                <w:rFonts w:hint="eastAsia" w:ascii="宋体" w:hAnsi="宋体" w:eastAsia="宋体" w:cs="宋体"/>
                <w:sz w:val="18"/>
                <w:szCs w:val="18"/>
              </w:rPr>
              <w:t xml:space="preserve">4.冠幅：180-250cm   </w:t>
            </w:r>
          </w:p>
          <w:p>
            <w:pPr>
              <w:rPr>
                <w:rFonts w:hint="eastAsia" w:ascii="宋体" w:hAnsi="宋体" w:eastAsia="宋体" w:cs="宋体"/>
                <w:sz w:val="18"/>
                <w:szCs w:val="18"/>
              </w:rPr>
            </w:pPr>
            <w:r>
              <w:rPr>
                <w:rFonts w:hint="eastAsia" w:ascii="宋体" w:hAnsi="宋体" w:eastAsia="宋体" w:cs="宋体"/>
                <w:sz w:val="18"/>
                <w:szCs w:val="18"/>
              </w:rPr>
              <w:t>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050102002002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1.种类：大叶黄杨绿篱A</w:t>
            </w:r>
          </w:p>
          <w:p>
            <w:pPr>
              <w:rPr>
                <w:rFonts w:hint="eastAsia" w:ascii="宋体" w:hAnsi="宋体" w:eastAsia="宋体" w:cs="宋体"/>
                <w:sz w:val="18"/>
                <w:szCs w:val="18"/>
              </w:rPr>
            </w:pPr>
            <w:r>
              <w:rPr>
                <w:rFonts w:hint="eastAsia" w:ascii="宋体" w:hAnsi="宋体" w:eastAsia="宋体" w:cs="宋体"/>
                <w:sz w:val="18"/>
                <w:szCs w:val="18"/>
              </w:rPr>
              <w:t>2.株高：40-50cm</w:t>
            </w:r>
          </w:p>
          <w:p>
            <w:pPr>
              <w:rPr>
                <w:rFonts w:hint="eastAsia" w:ascii="宋体" w:hAnsi="宋体" w:eastAsia="宋体" w:cs="宋体"/>
                <w:sz w:val="18"/>
                <w:szCs w:val="18"/>
              </w:rPr>
            </w:pPr>
            <w:r>
              <w:rPr>
                <w:rFonts w:hint="eastAsia" w:ascii="宋体" w:hAnsi="宋体" w:eastAsia="宋体" w:cs="宋体"/>
                <w:sz w:val="18"/>
                <w:szCs w:val="18"/>
              </w:rPr>
              <w:t>3.冠幅：25-30cm</w:t>
            </w:r>
          </w:p>
          <w:p>
            <w:pPr>
              <w:rPr>
                <w:rFonts w:hint="eastAsia" w:ascii="宋体" w:hAnsi="宋体" w:eastAsia="宋体" w:cs="宋体"/>
                <w:sz w:val="18"/>
                <w:szCs w:val="18"/>
              </w:rPr>
            </w:pPr>
            <w:r>
              <w:rPr>
                <w:rFonts w:hint="eastAsia" w:ascii="宋体" w:hAnsi="宋体" w:eastAsia="宋体" w:cs="宋体"/>
                <w:sz w:val="18"/>
                <w:szCs w:val="18"/>
              </w:rPr>
              <w:t>4.备注：25株/m2 ，大 杯苗或毛球，密度可根据采购苗情况调整,以密植不漏土为原则</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jc w:val="right"/>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2</w:t>
      </w:r>
      <w:r>
        <w:rPr>
          <w:rFonts w:hint="eastAsia" w:ascii="宋体" w:hAnsi="宋体" w:eastAsia="宋体" w:cs="宋体"/>
          <w:sz w:val="18"/>
          <w:szCs w:val="18"/>
        </w:rPr>
        <w:t>页  共34页</w:t>
      </w: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050102002001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红叶石楠绿篱A</w:t>
            </w:r>
          </w:p>
          <w:p>
            <w:pPr>
              <w:rPr>
                <w:rFonts w:hint="eastAsia" w:ascii="宋体" w:hAnsi="宋体" w:eastAsia="宋体" w:cs="宋体"/>
                <w:sz w:val="18"/>
                <w:szCs w:val="18"/>
              </w:rPr>
            </w:pPr>
            <w:r>
              <w:rPr>
                <w:rFonts w:hint="eastAsia" w:ascii="宋体" w:hAnsi="宋体" w:eastAsia="宋体" w:cs="宋体"/>
                <w:sz w:val="18"/>
                <w:szCs w:val="18"/>
              </w:rPr>
              <w:t>2.株高：40-50cm</w:t>
            </w:r>
          </w:p>
          <w:p>
            <w:pPr>
              <w:rPr>
                <w:rFonts w:hint="eastAsia" w:ascii="宋体" w:hAnsi="宋体" w:eastAsia="宋体" w:cs="宋体"/>
                <w:sz w:val="18"/>
                <w:szCs w:val="18"/>
              </w:rPr>
            </w:pPr>
            <w:r>
              <w:rPr>
                <w:rFonts w:hint="eastAsia" w:ascii="宋体" w:hAnsi="宋体" w:eastAsia="宋体" w:cs="宋体"/>
                <w:sz w:val="18"/>
                <w:szCs w:val="18"/>
              </w:rPr>
              <w:t>3.冠幅：25-30cm</w:t>
            </w:r>
          </w:p>
          <w:p>
            <w:pPr>
              <w:rPr>
                <w:rFonts w:hint="eastAsia" w:ascii="宋体" w:hAnsi="宋体" w:eastAsia="宋体" w:cs="宋体"/>
                <w:sz w:val="18"/>
                <w:szCs w:val="18"/>
              </w:rPr>
            </w:pPr>
            <w:r>
              <w:rPr>
                <w:rFonts w:hint="eastAsia" w:ascii="宋体" w:hAnsi="宋体" w:eastAsia="宋体" w:cs="宋体"/>
                <w:sz w:val="18"/>
                <w:szCs w:val="18"/>
              </w:rPr>
              <w:t>4.备注：25株/m2 ，大 杯苗或毛球 ，密度可根据采购苗情况调整,以密植不漏土为原则</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节点 一</w:t>
            </w:r>
          </w:p>
          <w:p>
            <w:pPr>
              <w:rPr>
                <w:rFonts w:hint="eastAsia" w:ascii="宋体" w:hAnsi="宋体" w:eastAsia="宋体" w:cs="宋体"/>
                <w:sz w:val="18"/>
                <w:szCs w:val="18"/>
              </w:rPr>
            </w:pPr>
            <w:r>
              <w:rPr>
                <w:rFonts w:hint="eastAsia" w:ascii="宋体" w:hAnsi="宋体" w:eastAsia="宋体" w:cs="宋体"/>
                <w:sz w:val="18"/>
                <w:szCs w:val="18"/>
              </w:rPr>
              <w:t>（县界石头处）</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9"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050102001006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1.种类：丛生乌桕</w:t>
            </w:r>
          </w:p>
          <w:p>
            <w:pPr>
              <w:rPr>
                <w:rFonts w:hint="eastAsia" w:ascii="宋体" w:hAnsi="宋体" w:eastAsia="宋体" w:cs="宋体"/>
                <w:sz w:val="18"/>
                <w:szCs w:val="18"/>
              </w:rPr>
            </w:pPr>
            <w:r>
              <w:rPr>
                <w:rFonts w:hint="eastAsia" w:ascii="宋体" w:hAnsi="宋体" w:eastAsia="宋体" w:cs="宋体"/>
                <w:sz w:val="18"/>
                <w:szCs w:val="18"/>
              </w:rPr>
              <w:t>2.胸径：单杆10-12cm 3.高度：800-900cm</w:t>
            </w:r>
          </w:p>
          <w:p>
            <w:pPr>
              <w:rPr>
                <w:rFonts w:hint="eastAsia" w:ascii="宋体" w:hAnsi="宋体" w:eastAsia="宋体" w:cs="宋体"/>
                <w:sz w:val="18"/>
                <w:szCs w:val="18"/>
              </w:rPr>
            </w:pPr>
            <w:r>
              <w:rPr>
                <w:rFonts w:hint="eastAsia" w:ascii="宋体" w:hAnsi="宋体" w:eastAsia="宋体" w:cs="宋体"/>
                <w:sz w:val="18"/>
                <w:szCs w:val="18"/>
              </w:rPr>
              <w:t xml:space="preserve">4.冠幅：550-650cm   </w:t>
            </w:r>
          </w:p>
          <w:p>
            <w:pPr>
              <w:rPr>
                <w:rFonts w:hint="eastAsia" w:ascii="宋体" w:hAnsi="宋体" w:eastAsia="宋体" w:cs="宋体"/>
                <w:sz w:val="18"/>
                <w:szCs w:val="18"/>
              </w:rPr>
            </w:pPr>
            <w:r>
              <w:rPr>
                <w:rFonts w:hint="eastAsia" w:ascii="宋体" w:hAnsi="宋体" w:eastAsia="宋体" w:cs="宋体"/>
                <w:sz w:val="18"/>
                <w:szCs w:val="18"/>
              </w:rPr>
              <w:t>5.备注：全冠 ，姿佳 ,  枝叶茂盛，优质苗 ,不少于4分支</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5"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050102002012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1.种类：造型小叶女贞</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 xml:space="preserve">3.高度：400-450cm   </w:t>
            </w:r>
          </w:p>
          <w:p>
            <w:pPr>
              <w:rPr>
                <w:rFonts w:hint="eastAsia" w:ascii="宋体" w:hAnsi="宋体" w:eastAsia="宋体" w:cs="宋体"/>
                <w:sz w:val="18"/>
                <w:szCs w:val="18"/>
              </w:rPr>
            </w:pPr>
            <w:r>
              <w:rPr>
                <w:rFonts w:hint="eastAsia" w:ascii="宋体" w:hAnsi="宋体" w:eastAsia="宋体" w:cs="宋体"/>
                <w:sz w:val="18"/>
                <w:szCs w:val="18"/>
              </w:rPr>
              <w:t xml:space="preserve">4.冠幅：300-350cm   </w:t>
            </w:r>
          </w:p>
          <w:p>
            <w:pPr>
              <w:rPr>
                <w:rFonts w:hint="eastAsia" w:ascii="宋体" w:hAnsi="宋体" w:eastAsia="宋体" w:cs="宋体"/>
                <w:sz w:val="18"/>
                <w:szCs w:val="18"/>
              </w:rPr>
            </w:pPr>
            <w:r>
              <w:rPr>
                <w:rFonts w:hint="eastAsia" w:ascii="宋体" w:hAnsi="宋体" w:eastAsia="宋体" w:cs="宋体"/>
                <w:sz w:val="18"/>
                <w:szCs w:val="18"/>
              </w:rPr>
              <w:t>5.备注：全冠，姿佳,枝叶茂盛，优质苗,云片不少于10片</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050102001008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1.种类：国槐</w:t>
            </w:r>
          </w:p>
          <w:p>
            <w:pPr>
              <w:rPr>
                <w:rFonts w:hint="eastAsia" w:ascii="宋体" w:hAnsi="宋体" w:eastAsia="宋体" w:cs="宋体"/>
                <w:sz w:val="18"/>
                <w:szCs w:val="18"/>
              </w:rPr>
            </w:pPr>
            <w:r>
              <w:rPr>
                <w:rFonts w:hint="eastAsia" w:ascii="宋体" w:hAnsi="宋体" w:eastAsia="宋体" w:cs="宋体"/>
                <w:sz w:val="18"/>
                <w:szCs w:val="18"/>
              </w:rPr>
              <w:t>2.胸径：15cm</w:t>
            </w:r>
          </w:p>
          <w:p>
            <w:pPr>
              <w:rPr>
                <w:rFonts w:hint="eastAsia" w:ascii="宋体" w:hAnsi="宋体" w:eastAsia="宋体" w:cs="宋体"/>
                <w:sz w:val="18"/>
                <w:szCs w:val="18"/>
              </w:rPr>
            </w:pPr>
            <w:r>
              <w:rPr>
                <w:rFonts w:hint="eastAsia" w:ascii="宋体" w:hAnsi="宋体" w:eastAsia="宋体" w:cs="宋体"/>
                <w:sz w:val="18"/>
                <w:szCs w:val="18"/>
              </w:rPr>
              <w:t xml:space="preserve">3.高度：600-700cm   </w:t>
            </w:r>
          </w:p>
          <w:p>
            <w:pPr>
              <w:rPr>
                <w:rFonts w:hint="eastAsia" w:ascii="宋体" w:hAnsi="宋体" w:eastAsia="宋体" w:cs="宋体"/>
                <w:sz w:val="18"/>
                <w:szCs w:val="18"/>
              </w:rPr>
            </w:pPr>
            <w:r>
              <w:rPr>
                <w:rFonts w:hint="eastAsia" w:ascii="宋体" w:hAnsi="宋体" w:eastAsia="宋体" w:cs="宋体"/>
                <w:sz w:val="18"/>
                <w:szCs w:val="18"/>
              </w:rPr>
              <w:t xml:space="preserve">4.冠幅：450-500cm   </w:t>
            </w:r>
          </w:p>
          <w:p>
            <w:pPr>
              <w:rPr>
                <w:rFonts w:hint="eastAsia" w:ascii="宋体" w:hAnsi="宋体" w:eastAsia="宋体" w:cs="宋体"/>
                <w:sz w:val="18"/>
                <w:szCs w:val="18"/>
              </w:rPr>
            </w:pPr>
            <w:r>
              <w:rPr>
                <w:rFonts w:hint="eastAsia" w:ascii="宋体" w:hAnsi="宋体" w:eastAsia="宋体" w:cs="宋体"/>
                <w:sz w:val="18"/>
                <w:szCs w:val="18"/>
              </w:rPr>
              <w:t>5.备注：全冠，姿佳,枝叶茂盛，优质苗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050102001009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雪松</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 xml:space="preserve">3.高度：450-500cm   </w:t>
            </w:r>
          </w:p>
          <w:p>
            <w:pPr>
              <w:rPr>
                <w:rFonts w:hint="eastAsia" w:ascii="宋体" w:hAnsi="宋体" w:eastAsia="宋体" w:cs="宋体"/>
                <w:sz w:val="18"/>
                <w:szCs w:val="18"/>
              </w:rPr>
            </w:pPr>
            <w:r>
              <w:rPr>
                <w:rFonts w:hint="eastAsia" w:ascii="宋体" w:hAnsi="宋体" w:eastAsia="宋体" w:cs="宋体"/>
                <w:sz w:val="18"/>
                <w:szCs w:val="18"/>
              </w:rPr>
              <w:t xml:space="preserve">4.冠幅：350-450cm   </w:t>
            </w:r>
          </w:p>
          <w:p>
            <w:pPr>
              <w:rPr>
                <w:rFonts w:hint="eastAsia" w:ascii="宋体" w:hAnsi="宋体" w:eastAsia="宋体" w:cs="宋体"/>
                <w:sz w:val="18"/>
                <w:szCs w:val="18"/>
              </w:rPr>
            </w:pPr>
            <w:r>
              <w:rPr>
                <w:rFonts w:hint="eastAsia" w:ascii="宋体" w:hAnsi="宋体" w:eastAsia="宋体" w:cs="宋体"/>
                <w:sz w:val="18"/>
                <w:szCs w:val="18"/>
              </w:rPr>
              <w:t>5.备注：全冠，姿佳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050102001012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1.种类：鸡爪槭</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 xml:space="preserve">3.高度：250-300cm   </w:t>
            </w:r>
          </w:p>
          <w:p>
            <w:pPr>
              <w:rPr>
                <w:rFonts w:hint="eastAsia" w:ascii="宋体" w:hAnsi="宋体" w:eastAsia="宋体" w:cs="宋体"/>
                <w:sz w:val="18"/>
                <w:szCs w:val="18"/>
              </w:rPr>
            </w:pPr>
            <w:r>
              <w:rPr>
                <w:rFonts w:hint="eastAsia" w:ascii="宋体" w:hAnsi="宋体" w:eastAsia="宋体" w:cs="宋体"/>
                <w:sz w:val="18"/>
                <w:szCs w:val="18"/>
              </w:rPr>
              <w:t xml:space="preserve">4.冠幅：300-350cm   </w:t>
            </w:r>
          </w:p>
          <w:p>
            <w:pPr>
              <w:rPr>
                <w:rFonts w:hint="eastAsia" w:ascii="宋体" w:hAnsi="宋体" w:eastAsia="宋体" w:cs="宋体"/>
                <w:sz w:val="18"/>
                <w:szCs w:val="18"/>
              </w:rPr>
            </w:pPr>
            <w:r>
              <w:rPr>
                <w:rFonts w:hint="eastAsia" w:ascii="宋体" w:hAnsi="宋体" w:eastAsia="宋体" w:cs="宋体"/>
                <w:sz w:val="18"/>
                <w:szCs w:val="18"/>
              </w:rPr>
              <w:t>5.备注：全冠，姿佳,枝叶茂盛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jc w:val="right"/>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3</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050102001013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紫叶李</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350-400cm   4.冠幅： 220-250cm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050102001014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圆柏</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 350-400cm   4.冠幅： 150-200cm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050102001010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日本晚樱 2.胸径：D=8cm</w:t>
            </w:r>
          </w:p>
          <w:p>
            <w:pPr>
              <w:rPr>
                <w:rFonts w:hint="eastAsia" w:ascii="宋体" w:hAnsi="宋体" w:eastAsia="宋体" w:cs="宋体"/>
                <w:sz w:val="18"/>
                <w:szCs w:val="18"/>
              </w:rPr>
            </w:pPr>
            <w:r>
              <w:rPr>
                <w:rFonts w:hint="eastAsia" w:ascii="宋体" w:hAnsi="宋体" w:eastAsia="宋体" w:cs="宋体"/>
                <w:sz w:val="18"/>
                <w:szCs w:val="18"/>
              </w:rPr>
              <w:t>3.高度： 300-350cm   4.冠幅： 250-300cm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050102002004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1.种类：丛生木槿</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180cm</w:t>
            </w:r>
          </w:p>
          <w:p>
            <w:pPr>
              <w:rPr>
                <w:rFonts w:hint="eastAsia" w:ascii="宋体" w:hAnsi="宋体" w:eastAsia="宋体" w:cs="宋体"/>
                <w:sz w:val="18"/>
                <w:szCs w:val="18"/>
              </w:rPr>
            </w:pPr>
            <w:r>
              <w:rPr>
                <w:rFonts w:hint="eastAsia" w:ascii="宋体" w:hAnsi="宋体" w:eastAsia="宋体" w:cs="宋体"/>
                <w:sz w:val="18"/>
                <w:szCs w:val="18"/>
              </w:rPr>
              <w:t>4.冠幅： 180cm</w:t>
            </w:r>
          </w:p>
          <w:p>
            <w:pPr>
              <w:rPr>
                <w:rFonts w:hint="eastAsia" w:ascii="宋体" w:hAnsi="宋体" w:eastAsia="宋体" w:cs="宋体"/>
                <w:sz w:val="18"/>
                <w:szCs w:val="18"/>
              </w:rPr>
            </w:pPr>
            <w:r>
              <w:rPr>
                <w:rFonts w:hint="eastAsia" w:ascii="宋体" w:hAnsi="宋体" w:eastAsia="宋体" w:cs="宋体"/>
                <w:sz w:val="18"/>
                <w:szCs w:val="18"/>
              </w:rPr>
              <w:t>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050102002005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大叶黄杨球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180cm</w:t>
            </w:r>
          </w:p>
          <w:p>
            <w:pPr>
              <w:rPr>
                <w:rFonts w:hint="eastAsia" w:ascii="宋体" w:hAnsi="宋体" w:eastAsia="宋体" w:cs="宋体"/>
                <w:sz w:val="18"/>
                <w:szCs w:val="18"/>
              </w:rPr>
            </w:pPr>
            <w:r>
              <w:rPr>
                <w:rFonts w:hint="eastAsia" w:ascii="宋体" w:hAnsi="宋体" w:eastAsia="宋体" w:cs="宋体"/>
                <w:sz w:val="18"/>
                <w:szCs w:val="18"/>
              </w:rPr>
              <w:t>4.冠幅： 180cm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050102002006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1.种类：瓜子黄杨球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120cm</w:t>
            </w:r>
          </w:p>
          <w:p>
            <w:pPr>
              <w:rPr>
                <w:rFonts w:hint="eastAsia" w:ascii="宋体" w:hAnsi="宋体" w:eastAsia="宋体" w:cs="宋体"/>
                <w:sz w:val="18"/>
                <w:szCs w:val="18"/>
              </w:rPr>
            </w:pPr>
            <w:r>
              <w:rPr>
                <w:rFonts w:hint="eastAsia" w:ascii="宋体" w:hAnsi="宋体" w:eastAsia="宋体" w:cs="宋体"/>
                <w:sz w:val="18"/>
                <w:szCs w:val="18"/>
              </w:rPr>
              <w:t>4.冠幅： 120cm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050102002007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红叶石楠球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150cm</w:t>
            </w:r>
          </w:p>
          <w:p>
            <w:pPr>
              <w:rPr>
                <w:rFonts w:hint="eastAsia" w:ascii="宋体" w:hAnsi="宋体" w:eastAsia="宋体" w:cs="宋体"/>
                <w:sz w:val="18"/>
                <w:szCs w:val="18"/>
              </w:rPr>
            </w:pPr>
            <w:r>
              <w:rPr>
                <w:rFonts w:hint="eastAsia" w:ascii="宋体" w:hAnsi="宋体" w:eastAsia="宋体" w:cs="宋体"/>
                <w:sz w:val="18"/>
                <w:szCs w:val="18"/>
              </w:rPr>
              <w:t>4.冠幅： 150cm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jc w:val="right"/>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4</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050102002008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龟甲冬青球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120cm</w:t>
            </w:r>
          </w:p>
          <w:p>
            <w:pPr>
              <w:rPr>
                <w:rFonts w:hint="eastAsia" w:ascii="宋体" w:hAnsi="宋体" w:eastAsia="宋体" w:cs="宋体"/>
                <w:sz w:val="18"/>
                <w:szCs w:val="18"/>
              </w:rPr>
            </w:pPr>
            <w:r>
              <w:rPr>
                <w:rFonts w:hint="eastAsia" w:ascii="宋体" w:hAnsi="宋体" w:eastAsia="宋体" w:cs="宋体"/>
                <w:sz w:val="18"/>
                <w:szCs w:val="18"/>
              </w:rPr>
              <w:t>4.冠幅： 120cm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050102005002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 大叶黄杨绿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135.000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050102005003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1.种类：瓜子黄杨绿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135.000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050102005001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 红叶石楠绿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135.000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9"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050102008001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栽植花卉</w:t>
            </w:r>
          </w:p>
          <w:p>
            <w:pPr>
              <w:rPr>
                <w:rFonts w:hint="eastAsia" w:ascii="宋体" w:hAnsi="宋体" w:eastAsia="宋体" w:cs="宋体"/>
                <w:sz w:val="18"/>
                <w:szCs w:val="18"/>
              </w:rPr>
            </w:pPr>
            <w:r>
              <w:rPr>
                <w:rFonts w:hint="eastAsia" w:ascii="宋体" w:hAnsi="宋体" w:eastAsia="宋体" w:cs="宋体"/>
                <w:sz w:val="18"/>
                <w:szCs w:val="18"/>
              </w:rPr>
              <w:t>1.类型：花镜</w:t>
            </w:r>
          </w:p>
          <w:p>
            <w:pPr>
              <w:rPr>
                <w:rFonts w:hint="eastAsia" w:ascii="宋体" w:hAnsi="宋体" w:eastAsia="宋体" w:cs="宋体"/>
                <w:sz w:val="18"/>
                <w:szCs w:val="18"/>
              </w:rPr>
            </w:pPr>
            <w:r>
              <w:rPr>
                <w:rFonts w:hint="eastAsia" w:ascii="宋体" w:hAnsi="宋体" w:eastAsia="宋体" w:cs="宋体"/>
                <w:sz w:val="18"/>
                <w:szCs w:val="18"/>
              </w:rPr>
              <w:t>2.备注： 由专业花境 公司施工</w:t>
            </w:r>
          </w:p>
          <w:p>
            <w:pPr>
              <w:rPr>
                <w:rFonts w:hint="eastAsia" w:ascii="宋体" w:hAnsi="宋体" w:eastAsia="宋体" w:cs="宋体"/>
                <w:sz w:val="18"/>
                <w:szCs w:val="18"/>
              </w:rPr>
            </w:pPr>
            <w:r>
              <w:rPr>
                <w:rFonts w:hint="eastAsia" w:ascii="宋体" w:hAnsi="宋体" w:eastAsia="宋体" w:cs="宋体"/>
                <w:sz w:val="18"/>
                <w:szCs w:val="18"/>
              </w:rPr>
              <w:t>（建议品种：狼尾草 、蛇鞭菊、八宝景天 、一串红、绣球花、 海石竹、佛甲草、细 叶芒、亮晶球、矾根 、络新妇、毛蕨、蓝 粉云杉、欧石竹等）</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140.000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25</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050102012001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铺种成品草坪</w:t>
            </w:r>
          </w:p>
          <w:p>
            <w:pPr>
              <w:rPr>
                <w:rFonts w:hint="eastAsia" w:ascii="宋体" w:hAnsi="宋体" w:eastAsia="宋体" w:cs="宋体"/>
                <w:sz w:val="18"/>
                <w:szCs w:val="18"/>
              </w:rPr>
            </w:pPr>
            <w:r>
              <w:rPr>
                <w:rFonts w:hint="eastAsia" w:ascii="宋体" w:hAnsi="宋体" w:eastAsia="宋体" w:cs="宋体"/>
                <w:sz w:val="18"/>
                <w:szCs w:val="18"/>
              </w:rPr>
              <w:t>1.种类： 马尼拉</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500.000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050301005001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龟纹石</w:t>
            </w:r>
          </w:p>
          <w:p>
            <w:pPr>
              <w:rPr>
                <w:rFonts w:hint="eastAsia" w:ascii="宋体" w:hAnsi="宋体" w:eastAsia="宋体" w:cs="宋体"/>
                <w:sz w:val="18"/>
                <w:szCs w:val="18"/>
              </w:rPr>
            </w:pPr>
            <w:r>
              <w:rPr>
                <w:rFonts w:hint="eastAsia" w:ascii="宋体" w:hAnsi="宋体" w:eastAsia="宋体" w:cs="宋体"/>
                <w:sz w:val="18"/>
                <w:szCs w:val="18"/>
              </w:rPr>
              <w:t>1.种类： 龟纹石</w:t>
            </w:r>
          </w:p>
          <w:p>
            <w:pPr>
              <w:rPr>
                <w:rFonts w:hint="eastAsia" w:ascii="宋体" w:hAnsi="宋体" w:eastAsia="宋体" w:cs="宋体"/>
                <w:sz w:val="18"/>
                <w:szCs w:val="18"/>
              </w:rPr>
            </w:pPr>
            <w:r>
              <w:rPr>
                <w:rFonts w:hint="eastAsia" w:ascii="宋体" w:hAnsi="宋体" w:eastAsia="宋体" w:cs="宋体"/>
                <w:sz w:val="18"/>
                <w:szCs w:val="18"/>
              </w:rPr>
              <w:t>2.高度： 30-50cm</w:t>
            </w:r>
          </w:p>
          <w:p>
            <w:pPr>
              <w:rPr>
                <w:rFonts w:hint="eastAsia" w:ascii="宋体" w:hAnsi="宋体" w:eastAsia="宋体" w:cs="宋体"/>
                <w:sz w:val="18"/>
                <w:szCs w:val="18"/>
              </w:rPr>
            </w:pPr>
            <w:r>
              <w:rPr>
                <w:rFonts w:hint="eastAsia" w:ascii="宋体" w:hAnsi="宋体" w:eastAsia="宋体" w:cs="宋体"/>
                <w:sz w:val="18"/>
                <w:szCs w:val="18"/>
              </w:rPr>
              <w:t>3.宽度：40-80cm</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t</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27</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05B001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LOGO字</w:t>
            </w:r>
          </w:p>
          <w:p>
            <w:pPr>
              <w:rPr>
                <w:rFonts w:hint="eastAsia" w:ascii="宋体" w:hAnsi="宋体" w:eastAsia="宋体" w:cs="宋体"/>
                <w:sz w:val="18"/>
                <w:szCs w:val="18"/>
              </w:rPr>
            </w:pPr>
            <w:r>
              <w:rPr>
                <w:rFonts w:hint="eastAsia" w:ascii="宋体" w:hAnsi="宋体" w:eastAsia="宋体" w:cs="宋体"/>
                <w:sz w:val="18"/>
                <w:szCs w:val="18"/>
              </w:rPr>
              <w:t>1.字体：</w:t>
            </w:r>
          </w:p>
          <w:p>
            <w:pPr>
              <w:rPr>
                <w:rFonts w:hint="eastAsia" w:ascii="宋体" w:hAnsi="宋体" w:eastAsia="宋体" w:cs="宋体"/>
                <w:sz w:val="18"/>
                <w:szCs w:val="18"/>
              </w:rPr>
            </w:pPr>
            <w:r>
              <w:rPr>
                <w:rFonts w:hint="eastAsia" w:ascii="宋体" w:hAnsi="宋体" w:eastAsia="宋体" w:cs="宋体"/>
                <w:sz w:val="18"/>
                <w:szCs w:val="18"/>
              </w:rPr>
              <w:t>“莘县欢迎您 ”</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组</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1.000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节点二</w:t>
            </w:r>
          </w:p>
          <w:p>
            <w:pPr>
              <w:rPr>
                <w:rFonts w:hint="eastAsia" w:ascii="宋体" w:hAnsi="宋体" w:eastAsia="宋体" w:cs="宋体"/>
                <w:sz w:val="18"/>
                <w:szCs w:val="18"/>
              </w:rPr>
            </w:pPr>
            <w:r>
              <w:rPr>
                <w:rFonts w:hint="eastAsia" w:ascii="宋体" w:hAnsi="宋体" w:eastAsia="宋体" w:cs="宋体"/>
                <w:sz w:val="18"/>
                <w:szCs w:val="18"/>
              </w:rPr>
              <w:t>（李凤桃村口）</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jc w:val="right"/>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5</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050102001016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1.种类：造型黑松 2.胸径：/</w:t>
            </w:r>
          </w:p>
          <w:p>
            <w:pPr>
              <w:rPr>
                <w:rFonts w:hint="eastAsia" w:ascii="宋体" w:hAnsi="宋体" w:eastAsia="宋体" w:cs="宋体"/>
                <w:sz w:val="18"/>
                <w:szCs w:val="18"/>
              </w:rPr>
            </w:pPr>
            <w:r>
              <w:rPr>
                <w:rFonts w:hint="eastAsia" w:ascii="宋体" w:hAnsi="宋体" w:eastAsia="宋体" w:cs="宋体"/>
                <w:sz w:val="18"/>
                <w:szCs w:val="18"/>
              </w:rPr>
              <w:t>3.高度：400-450cm   4.冠幅： 300-350cm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050102001028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1.种类：鸡爪槭</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250-300cm   4.冠幅： 300-350cm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050102001030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圆柏</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 350-400cm   4.冠幅： 150-200cm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050102002013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大叶黄杨球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180cm</w:t>
            </w:r>
          </w:p>
          <w:p>
            <w:pPr>
              <w:rPr>
                <w:rFonts w:hint="eastAsia" w:ascii="宋体" w:hAnsi="宋体" w:eastAsia="宋体" w:cs="宋体"/>
                <w:sz w:val="18"/>
                <w:szCs w:val="18"/>
              </w:rPr>
            </w:pPr>
            <w:r>
              <w:rPr>
                <w:rFonts w:hint="eastAsia" w:ascii="宋体" w:hAnsi="宋体" w:eastAsia="宋体" w:cs="宋体"/>
                <w:sz w:val="18"/>
                <w:szCs w:val="18"/>
              </w:rPr>
              <w:t>4.冠幅： 180cm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050102002016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龟甲冬青球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120cm</w:t>
            </w:r>
          </w:p>
          <w:p>
            <w:pPr>
              <w:rPr>
                <w:rFonts w:hint="eastAsia" w:ascii="宋体" w:hAnsi="宋体" w:eastAsia="宋体" w:cs="宋体"/>
                <w:sz w:val="18"/>
                <w:szCs w:val="18"/>
              </w:rPr>
            </w:pPr>
            <w:r>
              <w:rPr>
                <w:rFonts w:hint="eastAsia" w:ascii="宋体" w:hAnsi="宋体" w:eastAsia="宋体" w:cs="宋体"/>
                <w:sz w:val="18"/>
                <w:szCs w:val="18"/>
              </w:rPr>
              <w:t>4.冠幅： 120cm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050102005007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1.种类：瓜子黄杨绿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050102005006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 大叶黄杨绿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35</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050102013009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喷播植草（灌木）籽 1.种类： 暖季型混播</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140.000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6</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050301005002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龟纹石</w:t>
            </w:r>
          </w:p>
          <w:p>
            <w:pPr>
              <w:rPr>
                <w:rFonts w:hint="eastAsia" w:ascii="宋体" w:hAnsi="宋体" w:eastAsia="宋体" w:cs="宋体"/>
                <w:sz w:val="18"/>
                <w:szCs w:val="18"/>
              </w:rPr>
            </w:pPr>
            <w:r>
              <w:rPr>
                <w:rFonts w:hint="eastAsia" w:ascii="宋体" w:hAnsi="宋体" w:eastAsia="宋体" w:cs="宋体"/>
                <w:sz w:val="18"/>
                <w:szCs w:val="18"/>
              </w:rPr>
              <w:t>1.种类： 龟纹石</w:t>
            </w:r>
          </w:p>
          <w:p>
            <w:pPr>
              <w:rPr>
                <w:rFonts w:hint="eastAsia" w:ascii="宋体" w:hAnsi="宋体" w:eastAsia="宋体" w:cs="宋体"/>
                <w:sz w:val="18"/>
                <w:szCs w:val="18"/>
              </w:rPr>
            </w:pPr>
            <w:r>
              <w:rPr>
                <w:rFonts w:hint="eastAsia" w:ascii="宋体" w:hAnsi="宋体" w:eastAsia="宋体" w:cs="宋体"/>
                <w:sz w:val="18"/>
                <w:szCs w:val="18"/>
              </w:rPr>
              <w:t>2.高度： 30-50cm</w:t>
            </w:r>
          </w:p>
          <w:p>
            <w:pPr>
              <w:rPr>
                <w:rFonts w:hint="eastAsia" w:ascii="宋体" w:hAnsi="宋体" w:eastAsia="宋体" w:cs="宋体"/>
                <w:sz w:val="18"/>
                <w:szCs w:val="18"/>
              </w:rPr>
            </w:pPr>
            <w:r>
              <w:rPr>
                <w:rFonts w:hint="eastAsia" w:ascii="宋体" w:hAnsi="宋体" w:eastAsia="宋体" w:cs="宋体"/>
                <w:sz w:val="18"/>
                <w:szCs w:val="18"/>
              </w:rPr>
              <w:t>3.宽度：40-80cm</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t</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鸿途街二（县界</w:t>
            </w:r>
          </w:p>
          <w:p>
            <w:pPr>
              <w:rPr>
                <w:rFonts w:hint="eastAsia" w:ascii="宋体" w:hAnsi="宋体" w:eastAsia="宋体" w:cs="宋体"/>
                <w:sz w:val="18"/>
                <w:szCs w:val="18"/>
              </w:rPr>
            </w:pPr>
            <w:r>
              <w:rPr>
                <w:rFonts w:hint="eastAsia" w:ascii="宋体" w:hAnsi="宋体" w:eastAsia="宋体" w:cs="宋体"/>
                <w:sz w:val="18"/>
                <w:szCs w:val="18"/>
              </w:rPr>
              <w:t>- 景石）</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050102001022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西府海棠 2.胸径：D=8cm</w:t>
            </w:r>
          </w:p>
          <w:p>
            <w:pPr>
              <w:rPr>
                <w:rFonts w:hint="eastAsia" w:ascii="宋体" w:hAnsi="宋体" w:eastAsia="宋体" w:cs="宋体"/>
                <w:sz w:val="18"/>
                <w:szCs w:val="18"/>
              </w:rPr>
            </w:pPr>
            <w:r>
              <w:rPr>
                <w:rFonts w:hint="eastAsia" w:ascii="宋体" w:hAnsi="宋体" w:eastAsia="宋体" w:cs="宋体"/>
                <w:sz w:val="18"/>
                <w:szCs w:val="18"/>
              </w:rPr>
              <w:t>3.高度： 250-350cm   4.冠幅： 180-250cm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050102001023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1.种类：独杆紫薇 2.胸径：D=8cm</w:t>
            </w:r>
          </w:p>
          <w:p>
            <w:pPr>
              <w:rPr>
                <w:rFonts w:hint="eastAsia" w:ascii="宋体" w:hAnsi="宋体" w:eastAsia="宋体" w:cs="宋体"/>
                <w:sz w:val="18"/>
                <w:szCs w:val="18"/>
              </w:rPr>
            </w:pPr>
            <w:r>
              <w:rPr>
                <w:rFonts w:hint="eastAsia" w:ascii="宋体" w:hAnsi="宋体" w:eastAsia="宋体" w:cs="宋体"/>
                <w:sz w:val="18"/>
                <w:szCs w:val="18"/>
              </w:rPr>
              <w:t>3.高度： 250-300cm   4.冠幅： 220-300cm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050102001024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1.种类：金枝槐</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220-300cm   4.冠幅： 200-300cm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050102001025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日本晚樱 2.胸径：D=8cm</w:t>
            </w:r>
          </w:p>
          <w:p>
            <w:pPr>
              <w:rPr>
                <w:rFonts w:hint="eastAsia" w:ascii="宋体" w:hAnsi="宋体" w:eastAsia="宋体" w:cs="宋体"/>
                <w:sz w:val="18"/>
                <w:szCs w:val="18"/>
              </w:rPr>
            </w:pPr>
            <w:r>
              <w:rPr>
                <w:rFonts w:hint="eastAsia" w:ascii="宋体" w:hAnsi="宋体" w:eastAsia="宋体" w:cs="宋体"/>
                <w:sz w:val="18"/>
                <w:szCs w:val="18"/>
              </w:rPr>
              <w:t>3.高度： 300-350cm   4.冠幅： 250-300cm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050102001026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碧桃</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250-350cm   4.冠幅： 220-300cm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050102002011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高杆月季 2.胸径：D=8cm</w:t>
            </w:r>
          </w:p>
          <w:p>
            <w:pPr>
              <w:rPr>
                <w:rFonts w:hint="eastAsia" w:ascii="宋体" w:hAnsi="宋体" w:eastAsia="宋体" w:cs="宋体"/>
                <w:sz w:val="18"/>
                <w:szCs w:val="18"/>
              </w:rPr>
            </w:pPr>
            <w:r>
              <w:rPr>
                <w:rFonts w:hint="eastAsia" w:ascii="宋体" w:hAnsi="宋体" w:eastAsia="宋体" w:cs="宋体"/>
                <w:sz w:val="18"/>
                <w:szCs w:val="18"/>
              </w:rPr>
              <w:t>3.高度： 200-250cm   4.冠幅： 150-200cm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7</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050102008003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栽植花卉</w:t>
            </w:r>
          </w:p>
          <w:p>
            <w:pPr>
              <w:rPr>
                <w:rFonts w:hint="eastAsia" w:ascii="宋体" w:hAnsi="宋体" w:eastAsia="宋体" w:cs="宋体"/>
                <w:sz w:val="18"/>
                <w:szCs w:val="18"/>
              </w:rPr>
            </w:pPr>
            <w:r>
              <w:rPr>
                <w:rFonts w:hint="eastAsia" w:ascii="宋体" w:hAnsi="宋体" w:eastAsia="宋体" w:cs="宋体"/>
                <w:sz w:val="18"/>
                <w:szCs w:val="18"/>
              </w:rPr>
              <w:t>1.类型： 时令花卉</w:t>
            </w:r>
          </w:p>
          <w:p>
            <w:pPr>
              <w:rPr>
                <w:rFonts w:hint="eastAsia" w:ascii="宋体" w:hAnsi="宋体" w:eastAsia="宋体" w:cs="宋体"/>
                <w:sz w:val="18"/>
                <w:szCs w:val="18"/>
              </w:rPr>
            </w:pPr>
            <w:r>
              <w:rPr>
                <w:rFonts w:hint="eastAsia" w:ascii="宋体" w:hAnsi="宋体" w:eastAsia="宋体" w:cs="宋体"/>
                <w:sz w:val="18"/>
                <w:szCs w:val="18"/>
              </w:rPr>
              <w:t>2.备注： 建议品种： 波斯菊、黄金菊、蛇 鞭菊、福禄考、木茼 蒿、绣球花、月季、 石竹</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44</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050102013001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喷播植草（灌木）籽 1.种类： 暖季型混播</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5500.000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45</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050307006001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铁艺栏杆</w:t>
            </w:r>
          </w:p>
          <w:p>
            <w:pPr>
              <w:rPr>
                <w:rFonts w:hint="eastAsia" w:ascii="宋体" w:hAnsi="宋体" w:eastAsia="宋体" w:cs="宋体"/>
                <w:sz w:val="18"/>
                <w:szCs w:val="18"/>
              </w:rPr>
            </w:pPr>
            <w:r>
              <w:rPr>
                <w:rFonts w:hint="eastAsia" w:ascii="宋体" w:hAnsi="宋体" w:eastAsia="宋体" w:cs="宋体"/>
                <w:sz w:val="18"/>
                <w:szCs w:val="18"/>
              </w:rPr>
              <w:t>1.类型：铁丝围网及 爬藤蔷薇</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820.000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鸿途街三（景石</w:t>
            </w:r>
          </w:p>
          <w:p>
            <w:pPr>
              <w:rPr>
                <w:rFonts w:hint="eastAsia" w:ascii="宋体" w:hAnsi="宋体" w:eastAsia="宋体" w:cs="宋体"/>
                <w:sz w:val="18"/>
                <w:szCs w:val="18"/>
              </w:rPr>
            </w:pPr>
            <w:r>
              <w:rPr>
                <w:rFonts w:hint="eastAsia" w:ascii="宋体" w:hAnsi="宋体" w:eastAsia="宋体" w:cs="宋体"/>
                <w:sz w:val="18"/>
                <w:szCs w:val="18"/>
              </w:rPr>
              <w:t>- 王庄）</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050102001032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西府海棠 2.胸径：D=8cm</w:t>
            </w:r>
          </w:p>
          <w:p>
            <w:pPr>
              <w:rPr>
                <w:rFonts w:hint="eastAsia" w:ascii="宋体" w:hAnsi="宋体" w:eastAsia="宋体" w:cs="宋体"/>
                <w:sz w:val="18"/>
                <w:szCs w:val="18"/>
              </w:rPr>
            </w:pPr>
            <w:r>
              <w:rPr>
                <w:rFonts w:hint="eastAsia" w:ascii="宋体" w:hAnsi="宋体" w:eastAsia="宋体" w:cs="宋体"/>
                <w:sz w:val="18"/>
                <w:szCs w:val="18"/>
              </w:rPr>
              <w:t>3.高度： 250-350cm   4.冠幅： 180-250cm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050102001033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1.种类：独杆紫薇 2.胸径：D=8cm</w:t>
            </w:r>
          </w:p>
          <w:p>
            <w:pPr>
              <w:rPr>
                <w:rFonts w:hint="eastAsia" w:ascii="宋体" w:hAnsi="宋体" w:eastAsia="宋体" w:cs="宋体"/>
                <w:sz w:val="18"/>
                <w:szCs w:val="18"/>
              </w:rPr>
            </w:pPr>
            <w:r>
              <w:rPr>
                <w:rFonts w:hint="eastAsia" w:ascii="宋体" w:hAnsi="宋体" w:eastAsia="宋体" w:cs="宋体"/>
                <w:sz w:val="18"/>
                <w:szCs w:val="18"/>
              </w:rPr>
              <w:t>3.高度： 250-300cm   4.冠幅： 220-300cm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050102001034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1.种类：金枝槐</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220-300cm   4.冠幅： 200-300cm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050102001035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日本晚樱 2.胸径：D=8cm</w:t>
            </w:r>
          </w:p>
          <w:p>
            <w:pPr>
              <w:rPr>
                <w:rFonts w:hint="eastAsia" w:ascii="宋体" w:hAnsi="宋体" w:eastAsia="宋体" w:cs="宋体"/>
                <w:sz w:val="18"/>
                <w:szCs w:val="18"/>
              </w:rPr>
            </w:pPr>
            <w:r>
              <w:rPr>
                <w:rFonts w:hint="eastAsia" w:ascii="宋体" w:hAnsi="宋体" w:eastAsia="宋体" w:cs="宋体"/>
                <w:sz w:val="18"/>
                <w:szCs w:val="18"/>
              </w:rPr>
              <w:t>3.高度： 300-350cm   4.冠幅： 250-300cm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050102001036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碧桃</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250-350cm   4.冠幅： 220-300cm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8</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050102002017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高杆月季 2.胸径：D=8cm</w:t>
            </w:r>
          </w:p>
          <w:p>
            <w:pPr>
              <w:rPr>
                <w:rFonts w:hint="eastAsia" w:ascii="宋体" w:hAnsi="宋体" w:eastAsia="宋体" w:cs="宋体"/>
                <w:sz w:val="18"/>
                <w:szCs w:val="18"/>
              </w:rPr>
            </w:pPr>
            <w:r>
              <w:rPr>
                <w:rFonts w:hint="eastAsia" w:ascii="宋体" w:hAnsi="宋体" w:eastAsia="宋体" w:cs="宋体"/>
                <w:sz w:val="18"/>
                <w:szCs w:val="18"/>
              </w:rPr>
              <w:t>3.高度： 200-250cm   4.冠幅： 150-200cm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050102001037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1.种类：造型黑松 2.胸径：/</w:t>
            </w:r>
          </w:p>
          <w:p>
            <w:pPr>
              <w:rPr>
                <w:rFonts w:hint="eastAsia" w:ascii="宋体" w:hAnsi="宋体" w:eastAsia="宋体" w:cs="宋体"/>
                <w:sz w:val="18"/>
                <w:szCs w:val="18"/>
              </w:rPr>
            </w:pPr>
            <w:r>
              <w:rPr>
                <w:rFonts w:hint="eastAsia" w:ascii="宋体" w:hAnsi="宋体" w:eastAsia="宋体" w:cs="宋体"/>
                <w:sz w:val="18"/>
                <w:szCs w:val="18"/>
              </w:rPr>
              <w:t>3.高度：400-450cm   4.冠幅： 300-350cm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050102002018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1.种类：瓜子黄杨绿 篱A</w:t>
            </w:r>
          </w:p>
          <w:p>
            <w:pPr>
              <w:rPr>
                <w:rFonts w:hint="eastAsia" w:ascii="宋体" w:hAnsi="宋体" w:eastAsia="宋体" w:cs="宋体"/>
                <w:sz w:val="18"/>
                <w:szCs w:val="18"/>
              </w:rPr>
            </w:pPr>
            <w:r>
              <w:rPr>
                <w:rFonts w:hint="eastAsia" w:ascii="宋体" w:hAnsi="宋体" w:eastAsia="宋体" w:cs="宋体"/>
                <w:sz w:val="18"/>
                <w:szCs w:val="18"/>
              </w:rPr>
              <w:t>2.株高：40-50cm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，大 杯苗或毛球 ，密度可   根据采购苗情况调整   ,   以密植不漏土为原   则</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315.000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050102002019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大叶黄杨绿 篱A</w:t>
            </w:r>
          </w:p>
          <w:p>
            <w:pPr>
              <w:rPr>
                <w:rFonts w:hint="eastAsia" w:ascii="宋体" w:hAnsi="宋体" w:eastAsia="宋体" w:cs="宋体"/>
                <w:sz w:val="18"/>
                <w:szCs w:val="18"/>
              </w:rPr>
            </w:pPr>
            <w:r>
              <w:rPr>
                <w:rFonts w:hint="eastAsia" w:ascii="宋体" w:hAnsi="宋体" w:eastAsia="宋体" w:cs="宋体"/>
                <w:sz w:val="18"/>
                <w:szCs w:val="18"/>
              </w:rPr>
              <w:t>2.株高：40-50cm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，大 杯苗或毛球 ，密度可   根据采购苗情况调整   ,   以密植不漏土为原   则</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5"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050102002020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小龙柏绿篱 2.株高：40-50cm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，大 杯苗或毛球 ，密度可   根据采购苗情况调整   ,   以密植不漏土为原   则</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720.000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050102008004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栽植花卉</w:t>
            </w:r>
          </w:p>
          <w:p>
            <w:pPr>
              <w:rPr>
                <w:rFonts w:hint="eastAsia" w:ascii="宋体" w:hAnsi="宋体" w:eastAsia="宋体" w:cs="宋体"/>
                <w:sz w:val="18"/>
                <w:szCs w:val="18"/>
              </w:rPr>
            </w:pPr>
            <w:r>
              <w:rPr>
                <w:rFonts w:hint="eastAsia" w:ascii="宋体" w:hAnsi="宋体" w:eastAsia="宋体" w:cs="宋体"/>
                <w:sz w:val="18"/>
                <w:szCs w:val="18"/>
              </w:rPr>
              <w:t>1.类型： 时令花卉</w:t>
            </w:r>
          </w:p>
          <w:p>
            <w:pPr>
              <w:rPr>
                <w:rFonts w:hint="eastAsia" w:ascii="宋体" w:hAnsi="宋体" w:eastAsia="宋体" w:cs="宋体"/>
                <w:sz w:val="18"/>
                <w:szCs w:val="18"/>
              </w:rPr>
            </w:pPr>
            <w:r>
              <w:rPr>
                <w:rFonts w:hint="eastAsia" w:ascii="宋体" w:hAnsi="宋体" w:eastAsia="宋体" w:cs="宋体"/>
                <w:sz w:val="18"/>
                <w:szCs w:val="18"/>
              </w:rPr>
              <w:t>2.备注： 建议品种： 波斯菊、黄金菊、蛇 鞭菊、福禄考、木茼 蒿、绣球花、月季、 石竹</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57</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050102013002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喷播植草（灌木）籽 1.种类： 暖季型混播</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12000.000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9</w:t>
      </w:r>
      <w:r>
        <w:rPr>
          <w:rFonts w:hint="eastAsia" w:ascii="宋体" w:hAnsi="宋体" w:eastAsia="宋体" w:cs="宋体"/>
          <w:sz w:val="18"/>
          <w:szCs w:val="18"/>
        </w:rPr>
        <w:t>页  共34页</w:t>
      </w: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节点三</w:t>
            </w:r>
          </w:p>
          <w:p>
            <w:pPr>
              <w:rPr>
                <w:rFonts w:hint="eastAsia" w:ascii="宋体" w:hAnsi="宋体" w:eastAsia="宋体" w:cs="宋体"/>
                <w:sz w:val="18"/>
                <w:szCs w:val="18"/>
              </w:rPr>
            </w:pPr>
            <w:r>
              <w:rPr>
                <w:rFonts w:hint="eastAsia" w:ascii="宋体" w:hAnsi="宋体" w:eastAsia="宋体" w:cs="宋体"/>
                <w:sz w:val="18"/>
                <w:szCs w:val="18"/>
              </w:rPr>
              <w:t>（会展中心门口）</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5"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050102002021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1.种类：造型小叶女 贞</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3.高度：400-450cm   4.冠幅： 300-350cm   5.备注：全冠 ，姿佳 ,  枝叶茂盛 ，优质苗 ,  云片不少于10片</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050102001040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1.种类：鸡爪槭</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250-300cm   4.冠幅： 300-350cm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050102001041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圆柏</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 350-400cm   4.冠幅： 150-200cm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6"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050102002022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大叶黄杨球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180cm</w:t>
            </w:r>
          </w:p>
          <w:p>
            <w:pPr>
              <w:rPr>
                <w:rFonts w:hint="eastAsia" w:ascii="宋体" w:hAnsi="宋体" w:eastAsia="宋体" w:cs="宋体"/>
                <w:sz w:val="18"/>
                <w:szCs w:val="18"/>
              </w:rPr>
            </w:pPr>
            <w:r>
              <w:rPr>
                <w:rFonts w:hint="eastAsia" w:ascii="宋体" w:hAnsi="宋体" w:eastAsia="宋体" w:cs="宋体"/>
                <w:sz w:val="18"/>
                <w:szCs w:val="18"/>
              </w:rPr>
              <w:t>4.冠幅： 180cm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050102002023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1.种类：瓜子黄杨球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120cm</w:t>
            </w:r>
          </w:p>
          <w:p>
            <w:pPr>
              <w:rPr>
                <w:rFonts w:hint="eastAsia" w:ascii="宋体" w:hAnsi="宋体" w:eastAsia="宋体" w:cs="宋体"/>
                <w:sz w:val="18"/>
                <w:szCs w:val="18"/>
              </w:rPr>
            </w:pPr>
            <w:r>
              <w:rPr>
                <w:rFonts w:hint="eastAsia" w:ascii="宋体" w:hAnsi="宋体" w:eastAsia="宋体" w:cs="宋体"/>
                <w:sz w:val="18"/>
                <w:szCs w:val="18"/>
              </w:rPr>
              <w:t>4.冠幅： 120cm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050102002024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红叶石楠球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150cm</w:t>
            </w:r>
          </w:p>
          <w:p>
            <w:pPr>
              <w:rPr>
                <w:rFonts w:hint="eastAsia" w:ascii="宋体" w:hAnsi="宋体" w:eastAsia="宋体" w:cs="宋体"/>
                <w:sz w:val="18"/>
                <w:szCs w:val="18"/>
              </w:rPr>
            </w:pPr>
            <w:r>
              <w:rPr>
                <w:rFonts w:hint="eastAsia" w:ascii="宋体" w:hAnsi="宋体" w:eastAsia="宋体" w:cs="宋体"/>
                <w:sz w:val="18"/>
                <w:szCs w:val="18"/>
              </w:rPr>
              <w:t>4.冠幅： 150cm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050102005008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1.种类：瓜子黄杨绿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第1</w:t>
      </w:r>
      <w:r>
        <w:rPr>
          <w:rFonts w:hint="eastAsia" w:ascii="宋体" w:hAnsi="宋体" w:cs="宋体"/>
          <w:sz w:val="18"/>
          <w:szCs w:val="18"/>
          <w:lang w:val="en-US" w:eastAsia="zh-CN"/>
        </w:rPr>
        <w:t>0</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050102005009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 大叶黄杨绿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050102008006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栽植花卉</w:t>
            </w:r>
          </w:p>
          <w:p>
            <w:pPr>
              <w:rPr>
                <w:rFonts w:hint="eastAsia" w:ascii="宋体" w:hAnsi="宋体" w:eastAsia="宋体" w:cs="宋体"/>
                <w:sz w:val="18"/>
                <w:szCs w:val="18"/>
              </w:rPr>
            </w:pPr>
            <w:r>
              <w:rPr>
                <w:rFonts w:hint="eastAsia" w:ascii="宋体" w:hAnsi="宋体" w:eastAsia="宋体" w:cs="宋体"/>
                <w:sz w:val="18"/>
                <w:szCs w:val="18"/>
              </w:rPr>
              <w:t>1.类型： 时令花卉</w:t>
            </w:r>
          </w:p>
          <w:p>
            <w:pPr>
              <w:rPr>
                <w:rFonts w:hint="eastAsia" w:ascii="宋体" w:hAnsi="宋体" w:eastAsia="宋体" w:cs="宋体"/>
                <w:sz w:val="18"/>
                <w:szCs w:val="18"/>
              </w:rPr>
            </w:pPr>
            <w:r>
              <w:rPr>
                <w:rFonts w:hint="eastAsia" w:ascii="宋体" w:hAnsi="宋体" w:eastAsia="宋体" w:cs="宋体"/>
                <w:sz w:val="18"/>
                <w:szCs w:val="18"/>
              </w:rPr>
              <w:t>2.备注： 建议品种： 波斯菊、黄金菊、蛇 鞭菊、福禄考、木茼 蒿、绣球花、月季、 石竹</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9"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050102008007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栽植花卉</w:t>
            </w:r>
          </w:p>
          <w:p>
            <w:pPr>
              <w:rPr>
                <w:rFonts w:hint="eastAsia" w:ascii="宋体" w:hAnsi="宋体" w:eastAsia="宋体" w:cs="宋体"/>
                <w:sz w:val="18"/>
                <w:szCs w:val="18"/>
              </w:rPr>
            </w:pPr>
            <w:r>
              <w:rPr>
                <w:rFonts w:hint="eastAsia" w:ascii="宋体" w:hAnsi="宋体" w:eastAsia="宋体" w:cs="宋体"/>
                <w:sz w:val="18"/>
                <w:szCs w:val="18"/>
              </w:rPr>
              <w:t>1.类型：花镜</w:t>
            </w:r>
          </w:p>
          <w:p>
            <w:pPr>
              <w:rPr>
                <w:rFonts w:hint="eastAsia" w:ascii="宋体" w:hAnsi="宋体" w:eastAsia="宋体" w:cs="宋体"/>
                <w:sz w:val="18"/>
                <w:szCs w:val="18"/>
              </w:rPr>
            </w:pPr>
            <w:r>
              <w:rPr>
                <w:rFonts w:hint="eastAsia" w:ascii="宋体" w:hAnsi="宋体" w:eastAsia="宋体" w:cs="宋体"/>
                <w:sz w:val="18"/>
                <w:szCs w:val="18"/>
              </w:rPr>
              <w:t>2.备注： 由专业花境 公司施工</w:t>
            </w:r>
          </w:p>
          <w:p>
            <w:pPr>
              <w:rPr>
                <w:rFonts w:hint="eastAsia" w:ascii="宋体" w:hAnsi="宋体" w:eastAsia="宋体" w:cs="宋体"/>
                <w:sz w:val="18"/>
                <w:szCs w:val="18"/>
              </w:rPr>
            </w:pPr>
            <w:r>
              <w:rPr>
                <w:rFonts w:hint="eastAsia" w:ascii="宋体" w:hAnsi="宋体" w:eastAsia="宋体" w:cs="宋体"/>
                <w:sz w:val="18"/>
                <w:szCs w:val="18"/>
              </w:rPr>
              <w:t>（建议品种：狼尾草 、蛇鞭菊、八宝景天 、一串红、绣球花、 海石竹、佛甲草、细 叶芒、亮晶球、矾根 、络新妇、毛蕨、蓝 粉云杉、欧石竹等）</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68</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050102013010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喷播植草（灌木）籽 1.种类： 暖季型混播</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210.000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050301005003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龟纹石</w:t>
            </w:r>
          </w:p>
          <w:p>
            <w:pPr>
              <w:rPr>
                <w:rFonts w:hint="eastAsia" w:ascii="宋体" w:hAnsi="宋体" w:eastAsia="宋体" w:cs="宋体"/>
                <w:sz w:val="18"/>
                <w:szCs w:val="18"/>
              </w:rPr>
            </w:pPr>
            <w:r>
              <w:rPr>
                <w:rFonts w:hint="eastAsia" w:ascii="宋体" w:hAnsi="宋体" w:eastAsia="宋体" w:cs="宋体"/>
                <w:sz w:val="18"/>
                <w:szCs w:val="18"/>
              </w:rPr>
              <w:t>1.种类： 龟纹石</w:t>
            </w:r>
          </w:p>
          <w:p>
            <w:pPr>
              <w:rPr>
                <w:rFonts w:hint="eastAsia" w:ascii="宋体" w:hAnsi="宋体" w:eastAsia="宋体" w:cs="宋体"/>
                <w:sz w:val="18"/>
                <w:szCs w:val="18"/>
              </w:rPr>
            </w:pPr>
            <w:r>
              <w:rPr>
                <w:rFonts w:hint="eastAsia" w:ascii="宋体" w:hAnsi="宋体" w:eastAsia="宋体" w:cs="宋体"/>
                <w:sz w:val="18"/>
                <w:szCs w:val="18"/>
              </w:rPr>
              <w:t>2.高度： 30-50cm</w:t>
            </w:r>
          </w:p>
          <w:p>
            <w:pPr>
              <w:rPr>
                <w:rFonts w:hint="eastAsia" w:ascii="宋体" w:hAnsi="宋体" w:eastAsia="宋体" w:cs="宋体"/>
                <w:sz w:val="18"/>
                <w:szCs w:val="18"/>
              </w:rPr>
            </w:pPr>
            <w:r>
              <w:rPr>
                <w:rFonts w:hint="eastAsia" w:ascii="宋体" w:hAnsi="宋体" w:eastAsia="宋体" w:cs="宋体"/>
                <w:sz w:val="18"/>
                <w:szCs w:val="18"/>
              </w:rPr>
              <w:t>3.宽度：40-80cm</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t</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鸿途街四（王庄</w:t>
            </w:r>
          </w:p>
          <w:p>
            <w:pPr>
              <w:rPr>
                <w:rFonts w:hint="eastAsia" w:ascii="宋体" w:hAnsi="宋体" w:eastAsia="宋体" w:cs="宋体"/>
                <w:sz w:val="18"/>
                <w:szCs w:val="18"/>
              </w:rPr>
            </w:pPr>
            <w:r>
              <w:rPr>
                <w:rFonts w:hint="eastAsia" w:ascii="宋体" w:hAnsi="宋体" w:eastAsia="宋体" w:cs="宋体"/>
                <w:sz w:val="18"/>
                <w:szCs w:val="18"/>
              </w:rPr>
              <w:t>- 东升路）</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050102001141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1.种类：法桐</w:t>
            </w:r>
          </w:p>
          <w:p>
            <w:pPr>
              <w:rPr>
                <w:rFonts w:hint="eastAsia" w:ascii="宋体" w:hAnsi="宋体" w:eastAsia="宋体" w:cs="宋体"/>
                <w:sz w:val="18"/>
                <w:szCs w:val="18"/>
              </w:rPr>
            </w:pPr>
            <w:r>
              <w:rPr>
                <w:rFonts w:hint="eastAsia" w:ascii="宋体" w:hAnsi="宋体" w:eastAsia="宋体" w:cs="宋体"/>
                <w:sz w:val="18"/>
                <w:szCs w:val="18"/>
              </w:rPr>
              <w:t>2.胸径： 15cm</w:t>
            </w:r>
          </w:p>
          <w:p>
            <w:pPr>
              <w:rPr>
                <w:rFonts w:hint="eastAsia" w:ascii="宋体" w:hAnsi="宋体" w:eastAsia="宋体" w:cs="宋体"/>
                <w:sz w:val="18"/>
                <w:szCs w:val="18"/>
              </w:rPr>
            </w:pPr>
            <w:r>
              <w:rPr>
                <w:rFonts w:hint="eastAsia" w:ascii="宋体" w:hAnsi="宋体" w:eastAsia="宋体" w:cs="宋体"/>
                <w:sz w:val="18"/>
                <w:szCs w:val="18"/>
              </w:rPr>
              <w:t>3.高度：650-750cm   4.冠幅：400-500cm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050102001142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白蜡</w:t>
            </w:r>
          </w:p>
          <w:p>
            <w:pPr>
              <w:rPr>
                <w:rFonts w:hint="eastAsia" w:ascii="宋体" w:hAnsi="宋体" w:eastAsia="宋体" w:cs="宋体"/>
                <w:sz w:val="18"/>
                <w:szCs w:val="18"/>
              </w:rPr>
            </w:pPr>
            <w:r>
              <w:rPr>
                <w:rFonts w:hint="eastAsia" w:ascii="宋体" w:hAnsi="宋体" w:eastAsia="宋体" w:cs="宋体"/>
                <w:sz w:val="18"/>
                <w:szCs w:val="18"/>
              </w:rPr>
              <w:t>2.胸径： 15cm</w:t>
            </w:r>
          </w:p>
          <w:p>
            <w:pPr>
              <w:rPr>
                <w:rFonts w:hint="eastAsia" w:ascii="宋体" w:hAnsi="宋体" w:eastAsia="宋体" w:cs="宋体"/>
                <w:sz w:val="18"/>
                <w:szCs w:val="18"/>
              </w:rPr>
            </w:pPr>
            <w:r>
              <w:rPr>
                <w:rFonts w:hint="eastAsia" w:ascii="宋体" w:hAnsi="宋体" w:eastAsia="宋体" w:cs="宋体"/>
                <w:sz w:val="18"/>
                <w:szCs w:val="18"/>
              </w:rPr>
              <w:t>3.高度：650-750cm   4.冠幅：400-500cm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19.000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第1</w:t>
      </w:r>
      <w:r>
        <w:rPr>
          <w:rFonts w:hint="eastAsia" w:ascii="宋体" w:hAnsi="宋体" w:cs="宋体"/>
          <w:sz w:val="18"/>
          <w:szCs w:val="18"/>
          <w:lang w:val="en-US" w:eastAsia="zh-CN"/>
        </w:rPr>
        <w:t>1</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050102001043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国槐</w:t>
            </w:r>
          </w:p>
          <w:p>
            <w:pPr>
              <w:rPr>
                <w:rFonts w:hint="eastAsia" w:ascii="宋体" w:hAnsi="宋体" w:eastAsia="宋体" w:cs="宋体"/>
                <w:sz w:val="18"/>
                <w:szCs w:val="18"/>
              </w:rPr>
            </w:pPr>
            <w:r>
              <w:rPr>
                <w:rFonts w:hint="eastAsia" w:ascii="宋体" w:hAnsi="宋体" w:eastAsia="宋体" w:cs="宋体"/>
                <w:sz w:val="18"/>
                <w:szCs w:val="18"/>
              </w:rPr>
              <w:t>2.胸径： 15cm</w:t>
            </w:r>
          </w:p>
          <w:p>
            <w:pPr>
              <w:rPr>
                <w:rFonts w:hint="eastAsia" w:ascii="宋体" w:hAnsi="宋体" w:eastAsia="宋体" w:cs="宋体"/>
                <w:sz w:val="18"/>
                <w:szCs w:val="18"/>
              </w:rPr>
            </w:pPr>
            <w:r>
              <w:rPr>
                <w:rFonts w:hint="eastAsia" w:ascii="宋体" w:hAnsi="宋体" w:eastAsia="宋体" w:cs="宋体"/>
                <w:sz w:val="18"/>
                <w:szCs w:val="18"/>
              </w:rPr>
              <w:t>3.高度：600-700cm   4.冠幅：450-500cm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050102001044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西府海棠 2.胸径：D=8cm</w:t>
            </w:r>
          </w:p>
          <w:p>
            <w:pPr>
              <w:rPr>
                <w:rFonts w:hint="eastAsia" w:ascii="宋体" w:hAnsi="宋体" w:eastAsia="宋体" w:cs="宋体"/>
                <w:sz w:val="18"/>
                <w:szCs w:val="18"/>
              </w:rPr>
            </w:pPr>
            <w:r>
              <w:rPr>
                <w:rFonts w:hint="eastAsia" w:ascii="宋体" w:hAnsi="宋体" w:eastAsia="宋体" w:cs="宋体"/>
                <w:sz w:val="18"/>
                <w:szCs w:val="18"/>
              </w:rPr>
              <w:t>3.高度： 250-350cm   4.冠幅： 180-250cm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120.000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050102001045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1.种类：独杆紫薇 2.胸径：D=8cm</w:t>
            </w:r>
          </w:p>
          <w:p>
            <w:pPr>
              <w:rPr>
                <w:rFonts w:hint="eastAsia" w:ascii="宋体" w:hAnsi="宋体" w:eastAsia="宋体" w:cs="宋体"/>
                <w:sz w:val="18"/>
                <w:szCs w:val="18"/>
              </w:rPr>
            </w:pPr>
            <w:r>
              <w:rPr>
                <w:rFonts w:hint="eastAsia" w:ascii="宋体" w:hAnsi="宋体" w:eastAsia="宋体" w:cs="宋体"/>
                <w:sz w:val="18"/>
                <w:szCs w:val="18"/>
              </w:rPr>
              <w:t>3.高度： 250-300cm   4.冠幅： 220-300cm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050102001046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1.种类：金枝槐</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220-300cm   4.冠幅： 200-300cm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120.000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050102001047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日本晚樱 2.胸径：D=8cm</w:t>
            </w:r>
          </w:p>
          <w:p>
            <w:pPr>
              <w:rPr>
                <w:rFonts w:hint="eastAsia" w:ascii="宋体" w:hAnsi="宋体" w:eastAsia="宋体" w:cs="宋体"/>
                <w:sz w:val="18"/>
                <w:szCs w:val="18"/>
              </w:rPr>
            </w:pPr>
            <w:r>
              <w:rPr>
                <w:rFonts w:hint="eastAsia" w:ascii="宋体" w:hAnsi="宋体" w:eastAsia="宋体" w:cs="宋体"/>
                <w:sz w:val="18"/>
                <w:szCs w:val="18"/>
              </w:rPr>
              <w:t>3.高度： 300-350cm   4.冠幅： 250-300cm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050102001048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碧桃</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250-350cm   4.冠幅： 220-300cm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050102002025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高杆月季 2.胸径：D=8cm</w:t>
            </w:r>
          </w:p>
          <w:p>
            <w:pPr>
              <w:rPr>
                <w:rFonts w:hint="eastAsia" w:ascii="宋体" w:hAnsi="宋体" w:eastAsia="宋体" w:cs="宋体"/>
                <w:sz w:val="18"/>
                <w:szCs w:val="18"/>
              </w:rPr>
            </w:pPr>
            <w:r>
              <w:rPr>
                <w:rFonts w:hint="eastAsia" w:ascii="宋体" w:hAnsi="宋体" w:eastAsia="宋体" w:cs="宋体"/>
                <w:sz w:val="18"/>
                <w:szCs w:val="18"/>
              </w:rPr>
              <w:t>3.高度： 200-250cm   4.冠幅： 150-200cm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第1</w:t>
      </w:r>
      <w:r>
        <w:rPr>
          <w:rFonts w:hint="eastAsia" w:ascii="宋体" w:hAnsi="宋体" w:cs="宋体"/>
          <w:sz w:val="18"/>
          <w:szCs w:val="18"/>
          <w:lang w:val="en-US" w:eastAsia="zh-CN"/>
        </w:rPr>
        <w:t>2</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050102001049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1.种类：美人梅</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250-350cm   4.冠幅： 220-300cm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5"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80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050102002026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小龙柏绿篱 2.株高：40-50cm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，大 杯苗或毛球 ，密度可   根据采购苗情况调整   ,   以密植不漏土为原   则</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节点四</w:t>
            </w:r>
          </w:p>
          <w:p>
            <w:pPr>
              <w:rPr>
                <w:rFonts w:hint="eastAsia" w:ascii="宋体" w:hAnsi="宋体" w:eastAsia="宋体" w:cs="宋体"/>
                <w:sz w:val="18"/>
                <w:szCs w:val="18"/>
              </w:rPr>
            </w:pPr>
            <w:r>
              <w:rPr>
                <w:rFonts w:hint="eastAsia" w:ascii="宋体" w:hAnsi="宋体" w:eastAsia="宋体" w:cs="宋体"/>
                <w:sz w:val="18"/>
                <w:szCs w:val="18"/>
              </w:rPr>
              <w:t>（鸿途街东升路口 )</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5"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81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050102002027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1.种类：造型小叶女 贞</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3.高度：400-450cm   4.冠幅： 300-350cm   5.备注：全冠 ，姿佳 ,  枝叶茂盛 ，优质苗 ,  云片不少于10片</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82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050102001055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1.种类：造型黑松 2.胸径：/</w:t>
            </w:r>
          </w:p>
          <w:p>
            <w:pPr>
              <w:rPr>
                <w:rFonts w:hint="eastAsia" w:ascii="宋体" w:hAnsi="宋体" w:eastAsia="宋体" w:cs="宋体"/>
                <w:sz w:val="18"/>
                <w:szCs w:val="18"/>
              </w:rPr>
            </w:pPr>
            <w:r>
              <w:rPr>
                <w:rFonts w:hint="eastAsia" w:ascii="宋体" w:hAnsi="宋体" w:eastAsia="宋体" w:cs="宋体"/>
                <w:sz w:val="18"/>
                <w:szCs w:val="18"/>
              </w:rPr>
              <w:t>3.高度：400-450cm   4.冠幅： 300-350cm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83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050102001052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1.种类：鸡爪槭</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250-300cm   4.冠幅： 300-350cm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84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050102001053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圆柏</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 350-400cm   4.冠幅： 150-200cm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第1</w:t>
      </w:r>
      <w:r>
        <w:rPr>
          <w:rFonts w:hint="eastAsia" w:ascii="宋体" w:hAnsi="宋体" w:cs="宋体"/>
          <w:sz w:val="18"/>
          <w:szCs w:val="18"/>
          <w:lang w:val="en-US" w:eastAsia="zh-CN"/>
        </w:rPr>
        <w:t>3</w:t>
      </w:r>
      <w:r>
        <w:rPr>
          <w:rFonts w:hint="eastAsia" w:ascii="宋体" w:hAnsi="宋体" w:eastAsia="宋体" w:cs="宋体"/>
          <w:sz w:val="18"/>
          <w:szCs w:val="18"/>
        </w:rPr>
        <w:t>页  共34页</w:t>
      </w: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85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050102002028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大叶黄杨球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180cm</w:t>
            </w:r>
          </w:p>
          <w:p>
            <w:pPr>
              <w:rPr>
                <w:rFonts w:hint="eastAsia" w:ascii="宋体" w:hAnsi="宋体" w:eastAsia="宋体" w:cs="宋体"/>
                <w:sz w:val="18"/>
                <w:szCs w:val="18"/>
              </w:rPr>
            </w:pPr>
            <w:r>
              <w:rPr>
                <w:rFonts w:hint="eastAsia" w:ascii="宋体" w:hAnsi="宋体" w:eastAsia="宋体" w:cs="宋体"/>
                <w:sz w:val="18"/>
                <w:szCs w:val="18"/>
              </w:rPr>
              <w:t>4.冠幅： 180cm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8.000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86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050102002029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1.种类：瓜子黄杨球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120cm</w:t>
            </w:r>
          </w:p>
          <w:p>
            <w:pPr>
              <w:rPr>
                <w:rFonts w:hint="eastAsia" w:ascii="宋体" w:hAnsi="宋体" w:eastAsia="宋体" w:cs="宋体"/>
                <w:sz w:val="18"/>
                <w:szCs w:val="18"/>
              </w:rPr>
            </w:pPr>
            <w:r>
              <w:rPr>
                <w:rFonts w:hint="eastAsia" w:ascii="宋体" w:hAnsi="宋体" w:eastAsia="宋体" w:cs="宋体"/>
                <w:sz w:val="18"/>
                <w:szCs w:val="18"/>
              </w:rPr>
              <w:t>4.冠幅： 120cm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87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050102002030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红叶石楠球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150cm</w:t>
            </w:r>
          </w:p>
          <w:p>
            <w:pPr>
              <w:rPr>
                <w:rFonts w:hint="eastAsia" w:ascii="宋体" w:hAnsi="宋体" w:eastAsia="宋体" w:cs="宋体"/>
                <w:sz w:val="18"/>
                <w:szCs w:val="18"/>
              </w:rPr>
            </w:pPr>
            <w:r>
              <w:rPr>
                <w:rFonts w:hint="eastAsia" w:ascii="宋体" w:hAnsi="宋体" w:eastAsia="宋体" w:cs="宋体"/>
                <w:sz w:val="18"/>
                <w:szCs w:val="18"/>
              </w:rPr>
              <w:t>4.冠幅： 150cm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88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050102005010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1.种类：瓜子黄杨绿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89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050102005011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 大叶黄杨绿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9"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050102008009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栽植花卉</w:t>
            </w:r>
          </w:p>
          <w:p>
            <w:pPr>
              <w:rPr>
                <w:rFonts w:hint="eastAsia" w:ascii="宋体" w:hAnsi="宋体" w:eastAsia="宋体" w:cs="宋体"/>
                <w:sz w:val="18"/>
                <w:szCs w:val="18"/>
              </w:rPr>
            </w:pPr>
            <w:r>
              <w:rPr>
                <w:rFonts w:hint="eastAsia" w:ascii="宋体" w:hAnsi="宋体" w:eastAsia="宋体" w:cs="宋体"/>
                <w:sz w:val="18"/>
                <w:szCs w:val="18"/>
              </w:rPr>
              <w:t>1.类型：花镜</w:t>
            </w:r>
          </w:p>
          <w:p>
            <w:pPr>
              <w:rPr>
                <w:rFonts w:hint="eastAsia" w:ascii="宋体" w:hAnsi="宋体" w:eastAsia="宋体" w:cs="宋体"/>
                <w:sz w:val="18"/>
                <w:szCs w:val="18"/>
              </w:rPr>
            </w:pPr>
            <w:r>
              <w:rPr>
                <w:rFonts w:hint="eastAsia" w:ascii="宋体" w:hAnsi="宋体" w:eastAsia="宋体" w:cs="宋体"/>
                <w:sz w:val="18"/>
                <w:szCs w:val="18"/>
              </w:rPr>
              <w:t>2.备注： 由专业花境 公司施工</w:t>
            </w:r>
          </w:p>
          <w:p>
            <w:pPr>
              <w:rPr>
                <w:rFonts w:hint="eastAsia" w:ascii="宋体" w:hAnsi="宋体" w:eastAsia="宋体" w:cs="宋体"/>
                <w:sz w:val="18"/>
                <w:szCs w:val="18"/>
              </w:rPr>
            </w:pPr>
            <w:r>
              <w:rPr>
                <w:rFonts w:hint="eastAsia" w:ascii="宋体" w:hAnsi="宋体" w:eastAsia="宋体" w:cs="宋体"/>
                <w:sz w:val="18"/>
                <w:szCs w:val="18"/>
              </w:rPr>
              <w:t>（建议品种：狼尾草 、蛇鞭菊、八宝景天 、一串红、绣球花、 海石竹、佛甲草、细 叶芒、亮晶球、矾根 、络新妇、毛蕨、蓝 粉云杉、欧石竹等）</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270.000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91</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050102013011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喷播植草（灌木）籽 1.种类： 暖季型混播</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385.000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050301005004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龟纹石</w:t>
            </w:r>
          </w:p>
          <w:p>
            <w:pPr>
              <w:rPr>
                <w:rFonts w:hint="eastAsia" w:ascii="宋体" w:hAnsi="宋体" w:eastAsia="宋体" w:cs="宋体"/>
                <w:sz w:val="18"/>
                <w:szCs w:val="18"/>
              </w:rPr>
            </w:pPr>
            <w:r>
              <w:rPr>
                <w:rFonts w:hint="eastAsia" w:ascii="宋体" w:hAnsi="宋体" w:eastAsia="宋体" w:cs="宋体"/>
                <w:sz w:val="18"/>
                <w:szCs w:val="18"/>
              </w:rPr>
              <w:t>1.种类： 龟纹石</w:t>
            </w:r>
          </w:p>
          <w:p>
            <w:pPr>
              <w:rPr>
                <w:rFonts w:hint="eastAsia" w:ascii="宋体" w:hAnsi="宋体" w:eastAsia="宋体" w:cs="宋体"/>
                <w:sz w:val="18"/>
                <w:szCs w:val="18"/>
              </w:rPr>
            </w:pPr>
            <w:r>
              <w:rPr>
                <w:rFonts w:hint="eastAsia" w:ascii="宋体" w:hAnsi="宋体" w:eastAsia="宋体" w:cs="宋体"/>
                <w:sz w:val="18"/>
                <w:szCs w:val="18"/>
              </w:rPr>
              <w:t>2.高度： 30-50cm</w:t>
            </w:r>
          </w:p>
          <w:p>
            <w:pPr>
              <w:rPr>
                <w:rFonts w:hint="eastAsia" w:ascii="宋体" w:hAnsi="宋体" w:eastAsia="宋体" w:cs="宋体"/>
                <w:sz w:val="18"/>
                <w:szCs w:val="18"/>
              </w:rPr>
            </w:pPr>
            <w:r>
              <w:rPr>
                <w:rFonts w:hint="eastAsia" w:ascii="宋体" w:hAnsi="宋体" w:eastAsia="宋体" w:cs="宋体"/>
                <w:sz w:val="18"/>
                <w:szCs w:val="18"/>
              </w:rPr>
              <w:t>3.宽度：40-80cm</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t</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第1</w:t>
      </w:r>
      <w:r>
        <w:rPr>
          <w:rFonts w:hint="eastAsia" w:ascii="宋体" w:hAnsi="宋体" w:cs="宋体"/>
          <w:sz w:val="18"/>
          <w:szCs w:val="18"/>
          <w:lang w:val="en-US" w:eastAsia="zh-CN"/>
        </w:rPr>
        <w:t>4</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鸿途街五（东升路 -甘泉路）</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050102001056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北栾</w:t>
            </w:r>
          </w:p>
          <w:p>
            <w:pPr>
              <w:rPr>
                <w:rFonts w:hint="eastAsia" w:ascii="宋体" w:hAnsi="宋体" w:eastAsia="宋体" w:cs="宋体"/>
                <w:sz w:val="18"/>
                <w:szCs w:val="18"/>
              </w:rPr>
            </w:pPr>
            <w:r>
              <w:rPr>
                <w:rFonts w:hint="eastAsia" w:ascii="宋体" w:hAnsi="宋体" w:eastAsia="宋体" w:cs="宋体"/>
                <w:sz w:val="18"/>
                <w:szCs w:val="18"/>
              </w:rPr>
              <w:t>2.胸径： 12cm</w:t>
            </w:r>
          </w:p>
          <w:p>
            <w:pPr>
              <w:rPr>
                <w:rFonts w:hint="eastAsia" w:ascii="宋体" w:hAnsi="宋体" w:eastAsia="宋体" w:cs="宋体"/>
                <w:sz w:val="18"/>
                <w:szCs w:val="18"/>
              </w:rPr>
            </w:pPr>
            <w:r>
              <w:rPr>
                <w:rFonts w:hint="eastAsia" w:ascii="宋体" w:hAnsi="宋体" w:eastAsia="宋体" w:cs="宋体"/>
                <w:sz w:val="18"/>
                <w:szCs w:val="18"/>
              </w:rPr>
              <w:t>3.高度：600-700cm   4.冠幅：400-450cm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050102001057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西府海棠 2.胸径：D=8cm</w:t>
            </w:r>
          </w:p>
          <w:p>
            <w:pPr>
              <w:rPr>
                <w:rFonts w:hint="eastAsia" w:ascii="宋体" w:hAnsi="宋体" w:eastAsia="宋体" w:cs="宋体"/>
                <w:sz w:val="18"/>
                <w:szCs w:val="18"/>
              </w:rPr>
            </w:pPr>
            <w:r>
              <w:rPr>
                <w:rFonts w:hint="eastAsia" w:ascii="宋体" w:hAnsi="宋体" w:eastAsia="宋体" w:cs="宋体"/>
                <w:sz w:val="18"/>
                <w:szCs w:val="18"/>
              </w:rPr>
              <w:t>3.高度： 250-350cm   4.冠幅： 180-250cm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050102001058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1.种类：独杆紫薇 2.胸径：D=8cm</w:t>
            </w:r>
          </w:p>
          <w:p>
            <w:pPr>
              <w:rPr>
                <w:rFonts w:hint="eastAsia" w:ascii="宋体" w:hAnsi="宋体" w:eastAsia="宋体" w:cs="宋体"/>
                <w:sz w:val="18"/>
                <w:szCs w:val="18"/>
              </w:rPr>
            </w:pPr>
            <w:r>
              <w:rPr>
                <w:rFonts w:hint="eastAsia" w:ascii="宋体" w:hAnsi="宋体" w:eastAsia="宋体" w:cs="宋体"/>
                <w:sz w:val="18"/>
                <w:szCs w:val="18"/>
              </w:rPr>
              <w:t>3.高度： 250-300cm   4.冠幅： 220-300cm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050102001059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1.种类：金枝槐</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220-300cm   4.冠幅： 200-300cm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050102001060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紫荆</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300-350cm   4.冠幅： 250-300cm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050102001061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碧桃</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250-350cm   4.冠幅： 220-300cm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050102002031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高杆月季 2.胸径：D=8cm</w:t>
            </w:r>
          </w:p>
          <w:p>
            <w:pPr>
              <w:rPr>
                <w:rFonts w:hint="eastAsia" w:ascii="宋体" w:hAnsi="宋体" w:eastAsia="宋体" w:cs="宋体"/>
                <w:sz w:val="18"/>
                <w:szCs w:val="18"/>
              </w:rPr>
            </w:pPr>
            <w:r>
              <w:rPr>
                <w:rFonts w:hint="eastAsia" w:ascii="宋体" w:hAnsi="宋体" w:eastAsia="宋体" w:cs="宋体"/>
                <w:sz w:val="18"/>
                <w:szCs w:val="18"/>
              </w:rPr>
              <w:t>3.高度： 200-250cm   4.冠幅： 150-200cm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第1</w:t>
      </w:r>
      <w:r>
        <w:rPr>
          <w:rFonts w:hint="eastAsia" w:ascii="宋体" w:hAnsi="宋体" w:cs="宋体"/>
          <w:sz w:val="18"/>
          <w:szCs w:val="18"/>
          <w:lang w:val="en-US" w:eastAsia="zh-CN"/>
        </w:rPr>
        <w:t>5</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5"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050102002032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小龙柏绿篱 2.株高：40-50cm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，大 杯苗或毛球 ，密度可   根据采购苗情况调整   ,   以密植不漏土为原   则</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050102002033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1.种类：瓜子黄杨绿 篱A</w:t>
            </w:r>
          </w:p>
          <w:p>
            <w:pPr>
              <w:rPr>
                <w:rFonts w:hint="eastAsia" w:ascii="宋体" w:hAnsi="宋体" w:eastAsia="宋体" w:cs="宋体"/>
                <w:sz w:val="18"/>
                <w:szCs w:val="18"/>
              </w:rPr>
            </w:pPr>
            <w:r>
              <w:rPr>
                <w:rFonts w:hint="eastAsia" w:ascii="宋体" w:hAnsi="宋体" w:eastAsia="宋体" w:cs="宋体"/>
                <w:sz w:val="18"/>
                <w:szCs w:val="18"/>
              </w:rPr>
              <w:t>2.株高：40-50cm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，大 杯苗或毛球 ，密度可   根据采购苗情况调整   ,   以密植不漏土为原   则</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050102002034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大叶黄杨绿 篱A</w:t>
            </w:r>
          </w:p>
          <w:p>
            <w:pPr>
              <w:rPr>
                <w:rFonts w:hint="eastAsia" w:ascii="宋体" w:hAnsi="宋体" w:eastAsia="宋体" w:cs="宋体"/>
                <w:sz w:val="18"/>
                <w:szCs w:val="18"/>
              </w:rPr>
            </w:pPr>
            <w:r>
              <w:rPr>
                <w:rFonts w:hint="eastAsia" w:ascii="宋体" w:hAnsi="宋体" w:eastAsia="宋体" w:cs="宋体"/>
                <w:sz w:val="18"/>
                <w:szCs w:val="18"/>
              </w:rPr>
              <w:t>2.株高：40-50cm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，大 杯苗或毛球 ，密度可   根据采购苗情况调整   ,   以密植不漏土为原   则</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050102002035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红叶石楠绿 篱A</w:t>
            </w:r>
          </w:p>
          <w:p>
            <w:pPr>
              <w:rPr>
                <w:rFonts w:hint="eastAsia" w:ascii="宋体" w:hAnsi="宋体" w:eastAsia="宋体" w:cs="宋体"/>
                <w:sz w:val="18"/>
                <w:szCs w:val="18"/>
              </w:rPr>
            </w:pPr>
            <w:r>
              <w:rPr>
                <w:rFonts w:hint="eastAsia" w:ascii="宋体" w:hAnsi="宋体" w:eastAsia="宋体" w:cs="宋体"/>
                <w:sz w:val="18"/>
                <w:szCs w:val="18"/>
              </w:rPr>
              <w:t>2.株高：40-50cm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，大 杯苗或毛球 ，密度可   根据采购苗情况调整   ,   以密植不漏土为原   则</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450.000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104</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050102013003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喷播植草（灌木）籽 1.种类： 暖季型混播</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10800.000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节点五</w:t>
            </w:r>
          </w:p>
          <w:p>
            <w:pPr>
              <w:rPr>
                <w:rFonts w:hint="eastAsia" w:ascii="宋体" w:hAnsi="宋体" w:eastAsia="宋体" w:cs="宋体"/>
                <w:sz w:val="18"/>
                <w:szCs w:val="18"/>
              </w:rPr>
            </w:pPr>
            <w:r>
              <w:rPr>
                <w:rFonts w:hint="eastAsia" w:ascii="宋体" w:hAnsi="宋体" w:eastAsia="宋体" w:cs="宋体"/>
                <w:sz w:val="18"/>
                <w:szCs w:val="18"/>
              </w:rPr>
              <w:t>（鸿途街甘泉路口 )</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第1</w:t>
      </w:r>
      <w:r>
        <w:rPr>
          <w:rFonts w:hint="eastAsia" w:ascii="宋体" w:hAnsi="宋体" w:cs="宋体"/>
          <w:sz w:val="18"/>
          <w:szCs w:val="18"/>
          <w:lang w:val="en-US" w:eastAsia="zh-CN"/>
        </w:rPr>
        <w:t>6</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5"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050102002036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1.种类：造型小叶女 贞</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3.高度：400-450cm   4.冠幅： 300-350cm   5.备注：全冠 ，姿佳 ,  枝叶茂盛 ，优质苗 ,  云片不少于10片</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050102001062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1.种类：造型黑松 2.胸径：/</w:t>
            </w:r>
          </w:p>
          <w:p>
            <w:pPr>
              <w:rPr>
                <w:rFonts w:hint="eastAsia" w:ascii="宋体" w:hAnsi="宋体" w:eastAsia="宋体" w:cs="宋体"/>
                <w:sz w:val="18"/>
                <w:szCs w:val="18"/>
              </w:rPr>
            </w:pPr>
            <w:r>
              <w:rPr>
                <w:rFonts w:hint="eastAsia" w:ascii="宋体" w:hAnsi="宋体" w:eastAsia="宋体" w:cs="宋体"/>
                <w:sz w:val="18"/>
                <w:szCs w:val="18"/>
              </w:rPr>
              <w:t>3.高度：400-450cm   4.冠幅： 300-350cm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050102001068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五角枫</w:t>
            </w:r>
          </w:p>
          <w:p>
            <w:pPr>
              <w:rPr>
                <w:rFonts w:hint="eastAsia" w:ascii="宋体" w:hAnsi="宋体" w:eastAsia="宋体" w:cs="宋体"/>
                <w:sz w:val="18"/>
                <w:szCs w:val="18"/>
              </w:rPr>
            </w:pPr>
            <w:r>
              <w:rPr>
                <w:rFonts w:hint="eastAsia" w:ascii="宋体" w:hAnsi="宋体" w:eastAsia="宋体" w:cs="宋体"/>
                <w:sz w:val="18"/>
                <w:szCs w:val="18"/>
              </w:rPr>
              <w:t>2.胸径： 15cm</w:t>
            </w:r>
          </w:p>
          <w:p>
            <w:pPr>
              <w:rPr>
                <w:rFonts w:hint="eastAsia" w:ascii="宋体" w:hAnsi="宋体" w:eastAsia="宋体" w:cs="宋体"/>
                <w:sz w:val="18"/>
                <w:szCs w:val="18"/>
              </w:rPr>
            </w:pPr>
            <w:r>
              <w:rPr>
                <w:rFonts w:hint="eastAsia" w:ascii="宋体" w:hAnsi="宋体" w:eastAsia="宋体" w:cs="宋体"/>
                <w:sz w:val="18"/>
                <w:szCs w:val="18"/>
              </w:rPr>
              <w:t>3.高度：600-700cm   4.冠幅：450-500cm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050102001065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1.种类：鸡爪槭</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250-300cm   4.冠幅： 300-350cm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050102001066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圆柏</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 350-400cm   4.冠幅： 150-200cm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110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050102002037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大叶黄杨球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180cm</w:t>
            </w:r>
          </w:p>
          <w:p>
            <w:pPr>
              <w:rPr>
                <w:rFonts w:hint="eastAsia" w:ascii="宋体" w:hAnsi="宋体" w:eastAsia="宋体" w:cs="宋体"/>
                <w:sz w:val="18"/>
                <w:szCs w:val="18"/>
              </w:rPr>
            </w:pPr>
            <w:r>
              <w:rPr>
                <w:rFonts w:hint="eastAsia" w:ascii="宋体" w:hAnsi="宋体" w:eastAsia="宋体" w:cs="宋体"/>
                <w:sz w:val="18"/>
                <w:szCs w:val="18"/>
              </w:rPr>
              <w:t>4.冠幅： 180cm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8.000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111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050102002038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1.种类：瓜子黄杨球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120cm</w:t>
            </w:r>
          </w:p>
          <w:p>
            <w:pPr>
              <w:rPr>
                <w:rFonts w:hint="eastAsia" w:ascii="宋体" w:hAnsi="宋体" w:eastAsia="宋体" w:cs="宋体"/>
                <w:sz w:val="18"/>
                <w:szCs w:val="18"/>
              </w:rPr>
            </w:pPr>
            <w:r>
              <w:rPr>
                <w:rFonts w:hint="eastAsia" w:ascii="宋体" w:hAnsi="宋体" w:eastAsia="宋体" w:cs="宋体"/>
                <w:sz w:val="18"/>
                <w:szCs w:val="18"/>
              </w:rPr>
              <w:t>4.冠幅： 120cm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第1</w:t>
      </w:r>
      <w:r>
        <w:rPr>
          <w:rFonts w:hint="eastAsia" w:ascii="宋体" w:hAnsi="宋体" w:cs="宋体"/>
          <w:sz w:val="18"/>
          <w:szCs w:val="18"/>
          <w:lang w:val="en-US" w:eastAsia="zh-CN"/>
        </w:rPr>
        <w:t>7</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112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050102002039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红叶石楠球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150cm</w:t>
            </w:r>
          </w:p>
          <w:p>
            <w:pPr>
              <w:rPr>
                <w:rFonts w:hint="eastAsia" w:ascii="宋体" w:hAnsi="宋体" w:eastAsia="宋体" w:cs="宋体"/>
                <w:sz w:val="18"/>
                <w:szCs w:val="18"/>
              </w:rPr>
            </w:pPr>
            <w:r>
              <w:rPr>
                <w:rFonts w:hint="eastAsia" w:ascii="宋体" w:hAnsi="宋体" w:eastAsia="宋体" w:cs="宋体"/>
                <w:sz w:val="18"/>
                <w:szCs w:val="18"/>
              </w:rPr>
              <w:t>4.冠幅： 150cm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113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050102005013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1.种类：瓜子黄杨绿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114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050102005014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 大叶黄杨绿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9"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115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050102008010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栽植花卉</w:t>
            </w:r>
          </w:p>
          <w:p>
            <w:pPr>
              <w:rPr>
                <w:rFonts w:hint="eastAsia" w:ascii="宋体" w:hAnsi="宋体" w:eastAsia="宋体" w:cs="宋体"/>
                <w:sz w:val="18"/>
                <w:szCs w:val="18"/>
              </w:rPr>
            </w:pPr>
            <w:r>
              <w:rPr>
                <w:rFonts w:hint="eastAsia" w:ascii="宋体" w:hAnsi="宋体" w:eastAsia="宋体" w:cs="宋体"/>
                <w:sz w:val="18"/>
                <w:szCs w:val="18"/>
              </w:rPr>
              <w:t>1.类型：花镜</w:t>
            </w:r>
          </w:p>
          <w:p>
            <w:pPr>
              <w:rPr>
                <w:rFonts w:hint="eastAsia" w:ascii="宋体" w:hAnsi="宋体" w:eastAsia="宋体" w:cs="宋体"/>
                <w:sz w:val="18"/>
                <w:szCs w:val="18"/>
              </w:rPr>
            </w:pPr>
            <w:r>
              <w:rPr>
                <w:rFonts w:hint="eastAsia" w:ascii="宋体" w:hAnsi="宋体" w:eastAsia="宋体" w:cs="宋体"/>
                <w:sz w:val="18"/>
                <w:szCs w:val="18"/>
              </w:rPr>
              <w:t>2.备注： 由专业花境 公司施工</w:t>
            </w:r>
          </w:p>
          <w:p>
            <w:pPr>
              <w:rPr>
                <w:rFonts w:hint="eastAsia" w:ascii="宋体" w:hAnsi="宋体" w:eastAsia="宋体" w:cs="宋体"/>
                <w:sz w:val="18"/>
                <w:szCs w:val="18"/>
              </w:rPr>
            </w:pPr>
            <w:r>
              <w:rPr>
                <w:rFonts w:hint="eastAsia" w:ascii="宋体" w:hAnsi="宋体" w:eastAsia="宋体" w:cs="宋体"/>
                <w:sz w:val="18"/>
                <w:szCs w:val="18"/>
              </w:rPr>
              <w:t>（建议品种：狼尾草 、蛇鞭菊、八宝景天 、一串红、绣球花、 海石竹、佛甲草、细 叶芒、亮晶球、矾根 、络新妇、毛蕨、蓝 粉云杉、欧石竹等）</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140.000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116</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050102013012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喷播植草（灌木）籽 1.种类： 暖季型混播</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420.000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117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050301005005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龟纹石</w:t>
            </w:r>
          </w:p>
          <w:p>
            <w:pPr>
              <w:rPr>
                <w:rFonts w:hint="eastAsia" w:ascii="宋体" w:hAnsi="宋体" w:eastAsia="宋体" w:cs="宋体"/>
                <w:sz w:val="18"/>
                <w:szCs w:val="18"/>
              </w:rPr>
            </w:pPr>
            <w:r>
              <w:rPr>
                <w:rFonts w:hint="eastAsia" w:ascii="宋体" w:hAnsi="宋体" w:eastAsia="宋体" w:cs="宋体"/>
                <w:sz w:val="18"/>
                <w:szCs w:val="18"/>
              </w:rPr>
              <w:t>1.种类： 龟纹石</w:t>
            </w:r>
          </w:p>
          <w:p>
            <w:pPr>
              <w:rPr>
                <w:rFonts w:hint="eastAsia" w:ascii="宋体" w:hAnsi="宋体" w:eastAsia="宋体" w:cs="宋体"/>
                <w:sz w:val="18"/>
                <w:szCs w:val="18"/>
              </w:rPr>
            </w:pPr>
            <w:r>
              <w:rPr>
                <w:rFonts w:hint="eastAsia" w:ascii="宋体" w:hAnsi="宋体" w:eastAsia="宋体" w:cs="宋体"/>
                <w:sz w:val="18"/>
                <w:szCs w:val="18"/>
              </w:rPr>
              <w:t>2.高度： 30-50cm</w:t>
            </w:r>
          </w:p>
          <w:p>
            <w:pPr>
              <w:rPr>
                <w:rFonts w:hint="eastAsia" w:ascii="宋体" w:hAnsi="宋体" w:eastAsia="宋体" w:cs="宋体"/>
                <w:sz w:val="18"/>
                <w:szCs w:val="18"/>
              </w:rPr>
            </w:pPr>
            <w:r>
              <w:rPr>
                <w:rFonts w:hint="eastAsia" w:ascii="宋体" w:hAnsi="宋体" w:eastAsia="宋体" w:cs="宋体"/>
                <w:sz w:val="18"/>
                <w:szCs w:val="18"/>
              </w:rPr>
              <w:t>3.宽度：40-80cm</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t</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节点六</w:t>
            </w:r>
          </w:p>
          <w:p>
            <w:pPr>
              <w:rPr>
                <w:rFonts w:hint="eastAsia" w:ascii="宋体" w:hAnsi="宋体" w:eastAsia="宋体" w:cs="宋体"/>
                <w:sz w:val="18"/>
                <w:szCs w:val="18"/>
              </w:rPr>
            </w:pPr>
            <w:r>
              <w:rPr>
                <w:rFonts w:hint="eastAsia" w:ascii="宋体" w:hAnsi="宋体" w:eastAsia="宋体" w:cs="宋体"/>
                <w:sz w:val="18"/>
                <w:szCs w:val="18"/>
              </w:rPr>
              <w:t>（鸿途街甘泉路口 )</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CellMar>
            <w:top w:w="0" w:type="dxa"/>
            <w:left w:w="0" w:type="dxa"/>
            <w:bottom w:w="0" w:type="dxa"/>
            <w:right w:w="0" w:type="dxa"/>
          </w:tblCellMar>
        </w:tblPrEx>
        <w:trPr>
          <w:trHeight w:val="2095"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118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050102002040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1.种类：造型小叶女 贞</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3.高度：400-450cm   4.冠幅： 300-350cm   5.备注：全冠 ，姿佳 ,  枝叶茂盛 ，优质苗 ,  云片不少于10片</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第1</w:t>
      </w:r>
      <w:r>
        <w:rPr>
          <w:rFonts w:hint="eastAsia" w:ascii="宋体" w:hAnsi="宋体" w:cs="宋体"/>
          <w:sz w:val="18"/>
          <w:szCs w:val="18"/>
          <w:lang w:val="en-US" w:eastAsia="zh-CN"/>
        </w:rPr>
        <w:t>8</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119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050102001069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1.种类：造型黑松 2.胸径：/</w:t>
            </w:r>
          </w:p>
          <w:p>
            <w:pPr>
              <w:rPr>
                <w:rFonts w:hint="eastAsia" w:ascii="宋体" w:hAnsi="宋体" w:eastAsia="宋体" w:cs="宋体"/>
                <w:sz w:val="18"/>
                <w:szCs w:val="18"/>
              </w:rPr>
            </w:pPr>
            <w:r>
              <w:rPr>
                <w:rFonts w:hint="eastAsia" w:ascii="宋体" w:hAnsi="宋体" w:eastAsia="宋体" w:cs="宋体"/>
                <w:sz w:val="18"/>
                <w:szCs w:val="18"/>
              </w:rPr>
              <w:t>3.高度：400-450cm   4.冠幅： 300-350cm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120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050102001071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五角枫</w:t>
            </w:r>
          </w:p>
          <w:p>
            <w:pPr>
              <w:rPr>
                <w:rFonts w:hint="eastAsia" w:ascii="宋体" w:hAnsi="宋体" w:eastAsia="宋体" w:cs="宋体"/>
                <w:sz w:val="18"/>
                <w:szCs w:val="18"/>
              </w:rPr>
            </w:pPr>
            <w:r>
              <w:rPr>
                <w:rFonts w:hint="eastAsia" w:ascii="宋体" w:hAnsi="宋体" w:eastAsia="宋体" w:cs="宋体"/>
                <w:sz w:val="18"/>
                <w:szCs w:val="18"/>
              </w:rPr>
              <w:t>2.胸径： 15cm</w:t>
            </w:r>
          </w:p>
          <w:p>
            <w:pPr>
              <w:rPr>
                <w:rFonts w:hint="eastAsia" w:ascii="宋体" w:hAnsi="宋体" w:eastAsia="宋体" w:cs="宋体"/>
                <w:sz w:val="18"/>
                <w:szCs w:val="18"/>
              </w:rPr>
            </w:pPr>
            <w:r>
              <w:rPr>
                <w:rFonts w:hint="eastAsia" w:ascii="宋体" w:hAnsi="宋体" w:eastAsia="宋体" w:cs="宋体"/>
                <w:sz w:val="18"/>
                <w:szCs w:val="18"/>
              </w:rPr>
              <w:t>3.高度：600-700cm   4.冠幅：450-500cm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121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050102001073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1.种类：鸡爪槭</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250-300cm   4.冠幅： 300-350cm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122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050102001074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圆柏</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 350-400cm   4.冠幅： 150-200cm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123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050102002041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大叶黄杨球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180cm</w:t>
            </w:r>
          </w:p>
          <w:p>
            <w:pPr>
              <w:rPr>
                <w:rFonts w:hint="eastAsia" w:ascii="宋体" w:hAnsi="宋体" w:eastAsia="宋体" w:cs="宋体"/>
                <w:sz w:val="18"/>
                <w:szCs w:val="18"/>
              </w:rPr>
            </w:pPr>
            <w:r>
              <w:rPr>
                <w:rFonts w:hint="eastAsia" w:ascii="宋体" w:hAnsi="宋体" w:eastAsia="宋体" w:cs="宋体"/>
                <w:sz w:val="18"/>
                <w:szCs w:val="18"/>
              </w:rPr>
              <w:t>4.冠幅： 180cm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8.000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124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050102002042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1.种类：瓜子黄杨球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120cm</w:t>
            </w:r>
          </w:p>
          <w:p>
            <w:pPr>
              <w:rPr>
                <w:rFonts w:hint="eastAsia" w:ascii="宋体" w:hAnsi="宋体" w:eastAsia="宋体" w:cs="宋体"/>
                <w:sz w:val="18"/>
                <w:szCs w:val="18"/>
              </w:rPr>
            </w:pPr>
            <w:r>
              <w:rPr>
                <w:rFonts w:hint="eastAsia" w:ascii="宋体" w:hAnsi="宋体" w:eastAsia="宋体" w:cs="宋体"/>
                <w:sz w:val="18"/>
                <w:szCs w:val="18"/>
              </w:rPr>
              <w:t>4.冠幅： 120cm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125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050102002043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红叶石楠球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150cm</w:t>
            </w:r>
          </w:p>
          <w:p>
            <w:pPr>
              <w:rPr>
                <w:rFonts w:hint="eastAsia" w:ascii="宋体" w:hAnsi="宋体" w:eastAsia="宋体" w:cs="宋体"/>
                <w:sz w:val="18"/>
                <w:szCs w:val="18"/>
              </w:rPr>
            </w:pPr>
            <w:r>
              <w:rPr>
                <w:rFonts w:hint="eastAsia" w:ascii="宋体" w:hAnsi="宋体" w:eastAsia="宋体" w:cs="宋体"/>
                <w:sz w:val="18"/>
                <w:szCs w:val="18"/>
              </w:rPr>
              <w:t>4.冠幅： 150cm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第1</w:t>
      </w:r>
      <w:r>
        <w:rPr>
          <w:rFonts w:hint="eastAsia" w:ascii="宋体" w:hAnsi="宋体" w:cs="宋体"/>
          <w:sz w:val="18"/>
          <w:szCs w:val="18"/>
          <w:lang w:val="en-US" w:eastAsia="zh-CN"/>
        </w:rPr>
        <w:t>9</w:t>
      </w:r>
      <w:r>
        <w:rPr>
          <w:rFonts w:hint="eastAsia" w:ascii="宋体" w:hAnsi="宋体" w:eastAsia="宋体" w:cs="宋体"/>
          <w:sz w:val="18"/>
          <w:szCs w:val="18"/>
        </w:rPr>
        <w:t>页  共34页</w:t>
      </w: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126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050102005015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1.种类：瓜子黄杨绿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127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050102005016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 大叶黄杨绿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9"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128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050102008011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栽植花卉</w:t>
            </w:r>
          </w:p>
          <w:p>
            <w:pPr>
              <w:rPr>
                <w:rFonts w:hint="eastAsia" w:ascii="宋体" w:hAnsi="宋体" w:eastAsia="宋体" w:cs="宋体"/>
                <w:sz w:val="18"/>
                <w:szCs w:val="18"/>
              </w:rPr>
            </w:pPr>
            <w:r>
              <w:rPr>
                <w:rFonts w:hint="eastAsia" w:ascii="宋体" w:hAnsi="宋体" w:eastAsia="宋体" w:cs="宋体"/>
                <w:sz w:val="18"/>
                <w:szCs w:val="18"/>
              </w:rPr>
              <w:t>1.类型：花镜</w:t>
            </w:r>
          </w:p>
          <w:p>
            <w:pPr>
              <w:rPr>
                <w:rFonts w:hint="eastAsia" w:ascii="宋体" w:hAnsi="宋体" w:eastAsia="宋体" w:cs="宋体"/>
                <w:sz w:val="18"/>
                <w:szCs w:val="18"/>
              </w:rPr>
            </w:pPr>
            <w:r>
              <w:rPr>
                <w:rFonts w:hint="eastAsia" w:ascii="宋体" w:hAnsi="宋体" w:eastAsia="宋体" w:cs="宋体"/>
                <w:sz w:val="18"/>
                <w:szCs w:val="18"/>
              </w:rPr>
              <w:t>2.备注： 由专业花境 公司施工</w:t>
            </w:r>
          </w:p>
          <w:p>
            <w:pPr>
              <w:rPr>
                <w:rFonts w:hint="eastAsia" w:ascii="宋体" w:hAnsi="宋体" w:eastAsia="宋体" w:cs="宋体"/>
                <w:sz w:val="18"/>
                <w:szCs w:val="18"/>
              </w:rPr>
            </w:pPr>
            <w:r>
              <w:rPr>
                <w:rFonts w:hint="eastAsia" w:ascii="宋体" w:hAnsi="宋体" w:eastAsia="宋体" w:cs="宋体"/>
                <w:sz w:val="18"/>
                <w:szCs w:val="18"/>
              </w:rPr>
              <w:t>（建议品种：狼尾草 、蛇鞭菊、八宝景天 、一串红、绣球花、 海石竹、佛甲草、细 叶芒、亮晶球、矾根 、络新妇、毛蕨、蓝 粉云杉、欧石竹等）</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364.000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129</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050102013013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喷播植草（灌木）籽 1.种类： 暖季型混播</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315.000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130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050301005006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龟纹石</w:t>
            </w:r>
          </w:p>
          <w:p>
            <w:pPr>
              <w:rPr>
                <w:rFonts w:hint="eastAsia" w:ascii="宋体" w:hAnsi="宋体" w:eastAsia="宋体" w:cs="宋体"/>
                <w:sz w:val="18"/>
                <w:szCs w:val="18"/>
              </w:rPr>
            </w:pPr>
            <w:r>
              <w:rPr>
                <w:rFonts w:hint="eastAsia" w:ascii="宋体" w:hAnsi="宋体" w:eastAsia="宋体" w:cs="宋体"/>
                <w:sz w:val="18"/>
                <w:szCs w:val="18"/>
              </w:rPr>
              <w:t>1.种类： 龟纹石</w:t>
            </w:r>
          </w:p>
          <w:p>
            <w:pPr>
              <w:rPr>
                <w:rFonts w:hint="eastAsia" w:ascii="宋体" w:hAnsi="宋体" w:eastAsia="宋体" w:cs="宋体"/>
                <w:sz w:val="18"/>
                <w:szCs w:val="18"/>
              </w:rPr>
            </w:pPr>
            <w:r>
              <w:rPr>
                <w:rFonts w:hint="eastAsia" w:ascii="宋体" w:hAnsi="宋体" w:eastAsia="宋体" w:cs="宋体"/>
                <w:sz w:val="18"/>
                <w:szCs w:val="18"/>
              </w:rPr>
              <w:t>2.高度： 30-50cm</w:t>
            </w:r>
          </w:p>
          <w:p>
            <w:pPr>
              <w:rPr>
                <w:rFonts w:hint="eastAsia" w:ascii="宋体" w:hAnsi="宋体" w:eastAsia="宋体" w:cs="宋体"/>
                <w:sz w:val="18"/>
                <w:szCs w:val="18"/>
              </w:rPr>
            </w:pPr>
            <w:r>
              <w:rPr>
                <w:rFonts w:hint="eastAsia" w:ascii="宋体" w:hAnsi="宋体" w:eastAsia="宋体" w:cs="宋体"/>
                <w:sz w:val="18"/>
                <w:szCs w:val="18"/>
              </w:rPr>
              <w:t>3.宽度：40-80cm</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t</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甘泉路（鸿途街</w:t>
            </w:r>
          </w:p>
          <w:p>
            <w:pPr>
              <w:rPr>
                <w:rFonts w:hint="eastAsia" w:ascii="宋体" w:hAnsi="宋体" w:eastAsia="宋体" w:cs="宋体"/>
                <w:sz w:val="18"/>
                <w:szCs w:val="18"/>
              </w:rPr>
            </w:pPr>
            <w:r>
              <w:rPr>
                <w:rFonts w:hint="eastAsia" w:ascii="宋体" w:hAnsi="宋体" w:eastAsia="宋体" w:cs="宋体"/>
                <w:sz w:val="18"/>
                <w:szCs w:val="18"/>
              </w:rPr>
              <w:t>-耕莘街）</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131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050102001144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白蜡</w:t>
            </w:r>
          </w:p>
          <w:p>
            <w:pPr>
              <w:rPr>
                <w:rFonts w:hint="eastAsia" w:ascii="宋体" w:hAnsi="宋体" w:eastAsia="宋体" w:cs="宋体"/>
                <w:sz w:val="18"/>
                <w:szCs w:val="18"/>
              </w:rPr>
            </w:pPr>
            <w:r>
              <w:rPr>
                <w:rFonts w:hint="eastAsia" w:ascii="宋体" w:hAnsi="宋体" w:eastAsia="宋体" w:cs="宋体"/>
                <w:sz w:val="18"/>
                <w:szCs w:val="18"/>
              </w:rPr>
              <w:t>2.胸径： 15cm</w:t>
            </w:r>
          </w:p>
          <w:p>
            <w:pPr>
              <w:rPr>
                <w:rFonts w:hint="eastAsia" w:ascii="宋体" w:hAnsi="宋体" w:eastAsia="宋体" w:cs="宋体"/>
                <w:sz w:val="18"/>
                <w:szCs w:val="18"/>
              </w:rPr>
            </w:pPr>
            <w:r>
              <w:rPr>
                <w:rFonts w:hint="eastAsia" w:ascii="宋体" w:hAnsi="宋体" w:eastAsia="宋体" w:cs="宋体"/>
                <w:sz w:val="18"/>
                <w:szCs w:val="18"/>
              </w:rPr>
              <w:t>3.高度：650-750cm   4.冠幅：400-500cm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107.000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132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050102001076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1.种类：榉树</w:t>
            </w:r>
          </w:p>
          <w:p>
            <w:pPr>
              <w:rPr>
                <w:rFonts w:hint="eastAsia" w:ascii="宋体" w:hAnsi="宋体" w:eastAsia="宋体" w:cs="宋体"/>
                <w:sz w:val="18"/>
                <w:szCs w:val="18"/>
              </w:rPr>
            </w:pPr>
            <w:r>
              <w:rPr>
                <w:rFonts w:hint="eastAsia" w:ascii="宋体" w:hAnsi="宋体" w:eastAsia="宋体" w:cs="宋体"/>
                <w:sz w:val="18"/>
                <w:szCs w:val="18"/>
              </w:rPr>
              <w:t>2.胸径： 15cm</w:t>
            </w:r>
          </w:p>
          <w:p>
            <w:pPr>
              <w:rPr>
                <w:rFonts w:hint="eastAsia" w:ascii="宋体" w:hAnsi="宋体" w:eastAsia="宋体" w:cs="宋体"/>
                <w:sz w:val="18"/>
                <w:szCs w:val="18"/>
              </w:rPr>
            </w:pPr>
            <w:r>
              <w:rPr>
                <w:rFonts w:hint="eastAsia" w:ascii="宋体" w:hAnsi="宋体" w:eastAsia="宋体" w:cs="宋体"/>
                <w:sz w:val="18"/>
                <w:szCs w:val="18"/>
              </w:rPr>
              <w:t>3.高度：650-750cm   4.冠幅：400-500cm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189.000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20</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133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050102001077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西府海棠 2.胸径：D=8cm</w:t>
            </w:r>
          </w:p>
          <w:p>
            <w:pPr>
              <w:rPr>
                <w:rFonts w:hint="eastAsia" w:ascii="宋体" w:hAnsi="宋体" w:eastAsia="宋体" w:cs="宋体"/>
                <w:sz w:val="18"/>
                <w:szCs w:val="18"/>
              </w:rPr>
            </w:pPr>
            <w:r>
              <w:rPr>
                <w:rFonts w:hint="eastAsia" w:ascii="宋体" w:hAnsi="宋体" w:eastAsia="宋体" w:cs="宋体"/>
                <w:sz w:val="18"/>
                <w:szCs w:val="18"/>
              </w:rPr>
              <w:t>3.高度： 250-350cm   4.冠幅： 180-250cm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134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050102001078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1.种类：独杆紫薇 2.胸径：D=8cm</w:t>
            </w:r>
          </w:p>
          <w:p>
            <w:pPr>
              <w:rPr>
                <w:rFonts w:hint="eastAsia" w:ascii="宋体" w:hAnsi="宋体" w:eastAsia="宋体" w:cs="宋体"/>
                <w:sz w:val="18"/>
                <w:szCs w:val="18"/>
              </w:rPr>
            </w:pPr>
            <w:r>
              <w:rPr>
                <w:rFonts w:hint="eastAsia" w:ascii="宋体" w:hAnsi="宋体" w:eastAsia="宋体" w:cs="宋体"/>
                <w:sz w:val="18"/>
                <w:szCs w:val="18"/>
              </w:rPr>
              <w:t>3.高度： 250-300cm   4.冠幅： 220-300cm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135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050102001079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1.种类：金枝槐</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220-300cm   4.冠幅： 200-300cm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136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050102001080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日本晚樱 2.胸径：D=8cm</w:t>
            </w:r>
          </w:p>
          <w:p>
            <w:pPr>
              <w:rPr>
                <w:rFonts w:hint="eastAsia" w:ascii="宋体" w:hAnsi="宋体" w:eastAsia="宋体" w:cs="宋体"/>
                <w:sz w:val="18"/>
                <w:szCs w:val="18"/>
              </w:rPr>
            </w:pPr>
            <w:r>
              <w:rPr>
                <w:rFonts w:hint="eastAsia" w:ascii="宋体" w:hAnsi="宋体" w:eastAsia="宋体" w:cs="宋体"/>
                <w:sz w:val="18"/>
                <w:szCs w:val="18"/>
              </w:rPr>
              <w:t>3.高度： 300-350cm   4.冠幅： 250-300cm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137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050102001081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碧桃</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250-350cm   4.冠幅： 220-300cm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138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050102002044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高杆月季 2.胸径：D=8cm</w:t>
            </w:r>
          </w:p>
          <w:p>
            <w:pPr>
              <w:rPr>
                <w:rFonts w:hint="eastAsia" w:ascii="宋体" w:hAnsi="宋体" w:eastAsia="宋体" w:cs="宋体"/>
                <w:sz w:val="18"/>
                <w:szCs w:val="18"/>
              </w:rPr>
            </w:pPr>
            <w:r>
              <w:rPr>
                <w:rFonts w:hint="eastAsia" w:ascii="宋体" w:hAnsi="宋体" w:eastAsia="宋体" w:cs="宋体"/>
                <w:sz w:val="18"/>
                <w:szCs w:val="18"/>
              </w:rPr>
              <w:t>3.高度： 200-250cm   4.冠幅： 150-200cm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139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050102002045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1.种类：金森女贞绿 篱A</w:t>
            </w:r>
          </w:p>
          <w:p>
            <w:pPr>
              <w:rPr>
                <w:rFonts w:hint="eastAsia" w:ascii="宋体" w:hAnsi="宋体" w:eastAsia="宋体" w:cs="宋体"/>
                <w:sz w:val="18"/>
                <w:szCs w:val="18"/>
              </w:rPr>
            </w:pPr>
            <w:r>
              <w:rPr>
                <w:rFonts w:hint="eastAsia" w:ascii="宋体" w:hAnsi="宋体" w:eastAsia="宋体" w:cs="宋体"/>
                <w:sz w:val="18"/>
                <w:szCs w:val="18"/>
              </w:rPr>
              <w:t>2.株高：40-50cm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，大 杯苗或毛球 ，密度可   根据采购苗情况调整   ,   以密植不漏土为原   则</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720.000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21</w:t>
      </w:r>
      <w:r>
        <w:rPr>
          <w:rFonts w:hint="eastAsia" w:ascii="宋体" w:hAnsi="宋体" w:eastAsia="宋体" w:cs="宋体"/>
          <w:sz w:val="18"/>
          <w:szCs w:val="18"/>
        </w:rPr>
        <w:t>页  共34页</w:t>
      </w: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140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050102002046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红叶石楠绿 篱A</w:t>
            </w:r>
          </w:p>
          <w:p>
            <w:pPr>
              <w:rPr>
                <w:rFonts w:hint="eastAsia" w:ascii="宋体" w:hAnsi="宋体" w:eastAsia="宋体" w:cs="宋体"/>
                <w:sz w:val="18"/>
                <w:szCs w:val="18"/>
              </w:rPr>
            </w:pPr>
            <w:r>
              <w:rPr>
                <w:rFonts w:hint="eastAsia" w:ascii="宋体" w:hAnsi="宋体" w:eastAsia="宋体" w:cs="宋体"/>
                <w:sz w:val="18"/>
                <w:szCs w:val="18"/>
              </w:rPr>
              <w:t>2.株高：40-50cm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，大 杯苗或毛球 ，密度可   根据采购苗情况调整   ,   以密植不漏土为原   则</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1080.000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141</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050102013004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喷播植草（灌木）籽 1.种类： 暖季型混播</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12000.000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节点七</w:t>
            </w:r>
          </w:p>
          <w:p>
            <w:pPr>
              <w:rPr>
                <w:rFonts w:hint="eastAsia" w:ascii="宋体" w:hAnsi="宋体" w:eastAsia="宋体" w:cs="宋体"/>
                <w:sz w:val="18"/>
                <w:szCs w:val="18"/>
              </w:rPr>
            </w:pPr>
            <w:r>
              <w:rPr>
                <w:rFonts w:hint="eastAsia" w:ascii="宋体" w:hAnsi="宋体" w:eastAsia="宋体" w:cs="宋体"/>
                <w:sz w:val="18"/>
                <w:szCs w:val="18"/>
              </w:rPr>
              <w:t>（甘泉路耕莘街路 口）</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5"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142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050102002047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1.种类：造型小叶女 贞</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3.高度：400-450cm   4.冠幅： 300-350cm   5.备注：全冠 ，姿佳 ,  枝叶茂盛 ，优质苗 ,  云片不少于10片</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143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050102001082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1.种类：造型黑松 2.胸径：/</w:t>
            </w:r>
          </w:p>
          <w:p>
            <w:pPr>
              <w:rPr>
                <w:rFonts w:hint="eastAsia" w:ascii="宋体" w:hAnsi="宋体" w:eastAsia="宋体" w:cs="宋体"/>
                <w:sz w:val="18"/>
                <w:szCs w:val="18"/>
              </w:rPr>
            </w:pPr>
            <w:r>
              <w:rPr>
                <w:rFonts w:hint="eastAsia" w:ascii="宋体" w:hAnsi="宋体" w:eastAsia="宋体" w:cs="宋体"/>
                <w:sz w:val="18"/>
                <w:szCs w:val="18"/>
              </w:rPr>
              <w:t>3.高度：400-450cm   4.冠幅： 300-350cm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144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050102001084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五角枫</w:t>
            </w:r>
          </w:p>
          <w:p>
            <w:pPr>
              <w:rPr>
                <w:rFonts w:hint="eastAsia" w:ascii="宋体" w:hAnsi="宋体" w:eastAsia="宋体" w:cs="宋体"/>
                <w:sz w:val="18"/>
                <w:szCs w:val="18"/>
              </w:rPr>
            </w:pPr>
            <w:r>
              <w:rPr>
                <w:rFonts w:hint="eastAsia" w:ascii="宋体" w:hAnsi="宋体" w:eastAsia="宋体" w:cs="宋体"/>
                <w:sz w:val="18"/>
                <w:szCs w:val="18"/>
              </w:rPr>
              <w:t>2.胸径： 15cm</w:t>
            </w:r>
          </w:p>
          <w:p>
            <w:pPr>
              <w:rPr>
                <w:rFonts w:hint="eastAsia" w:ascii="宋体" w:hAnsi="宋体" w:eastAsia="宋体" w:cs="宋体"/>
                <w:sz w:val="18"/>
                <w:szCs w:val="18"/>
              </w:rPr>
            </w:pPr>
            <w:r>
              <w:rPr>
                <w:rFonts w:hint="eastAsia" w:ascii="宋体" w:hAnsi="宋体" w:eastAsia="宋体" w:cs="宋体"/>
                <w:sz w:val="18"/>
                <w:szCs w:val="18"/>
              </w:rPr>
              <w:t>3.高度：600-700cm   4.冠幅：450-500cm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145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050102001086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1.种类：鸡爪槭</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250-300cm   4.冠幅： 300-350cm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146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050102001087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圆柏</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 350-400cm   4.冠幅： 150-200cm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22</w:t>
      </w:r>
      <w:r>
        <w:rPr>
          <w:rFonts w:hint="eastAsia" w:ascii="宋体" w:hAnsi="宋体" w:eastAsia="宋体" w:cs="宋体"/>
          <w:sz w:val="18"/>
          <w:szCs w:val="18"/>
        </w:rPr>
        <w:t>页  共34页</w:t>
      </w: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147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050102002048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大叶黄杨球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180cm</w:t>
            </w:r>
          </w:p>
          <w:p>
            <w:pPr>
              <w:rPr>
                <w:rFonts w:hint="eastAsia" w:ascii="宋体" w:hAnsi="宋体" w:eastAsia="宋体" w:cs="宋体"/>
                <w:sz w:val="18"/>
                <w:szCs w:val="18"/>
              </w:rPr>
            </w:pPr>
            <w:r>
              <w:rPr>
                <w:rFonts w:hint="eastAsia" w:ascii="宋体" w:hAnsi="宋体" w:eastAsia="宋体" w:cs="宋体"/>
                <w:sz w:val="18"/>
                <w:szCs w:val="18"/>
              </w:rPr>
              <w:t>4.冠幅： 180cm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8.000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148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050102002049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1.种类：瓜子黄杨球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120cm</w:t>
            </w:r>
          </w:p>
          <w:p>
            <w:pPr>
              <w:rPr>
                <w:rFonts w:hint="eastAsia" w:ascii="宋体" w:hAnsi="宋体" w:eastAsia="宋体" w:cs="宋体"/>
                <w:sz w:val="18"/>
                <w:szCs w:val="18"/>
              </w:rPr>
            </w:pPr>
            <w:r>
              <w:rPr>
                <w:rFonts w:hint="eastAsia" w:ascii="宋体" w:hAnsi="宋体" w:eastAsia="宋体" w:cs="宋体"/>
                <w:sz w:val="18"/>
                <w:szCs w:val="18"/>
              </w:rPr>
              <w:t>4.冠幅： 120cm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149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050102002050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红叶石楠球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150cm</w:t>
            </w:r>
          </w:p>
          <w:p>
            <w:pPr>
              <w:rPr>
                <w:rFonts w:hint="eastAsia" w:ascii="宋体" w:hAnsi="宋体" w:eastAsia="宋体" w:cs="宋体"/>
                <w:sz w:val="18"/>
                <w:szCs w:val="18"/>
              </w:rPr>
            </w:pPr>
            <w:r>
              <w:rPr>
                <w:rFonts w:hint="eastAsia" w:ascii="宋体" w:hAnsi="宋体" w:eastAsia="宋体" w:cs="宋体"/>
                <w:sz w:val="18"/>
                <w:szCs w:val="18"/>
              </w:rPr>
              <w:t>4.冠幅： 150cm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150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050102005017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1.种类：瓜子黄杨绿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270.000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151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050102005018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 大叶黄杨绿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9"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152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050102008012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栽植花卉</w:t>
            </w:r>
          </w:p>
          <w:p>
            <w:pPr>
              <w:rPr>
                <w:rFonts w:hint="eastAsia" w:ascii="宋体" w:hAnsi="宋体" w:eastAsia="宋体" w:cs="宋体"/>
                <w:sz w:val="18"/>
                <w:szCs w:val="18"/>
              </w:rPr>
            </w:pPr>
            <w:r>
              <w:rPr>
                <w:rFonts w:hint="eastAsia" w:ascii="宋体" w:hAnsi="宋体" w:eastAsia="宋体" w:cs="宋体"/>
                <w:sz w:val="18"/>
                <w:szCs w:val="18"/>
              </w:rPr>
              <w:t>1.类型：花镜</w:t>
            </w:r>
          </w:p>
          <w:p>
            <w:pPr>
              <w:rPr>
                <w:rFonts w:hint="eastAsia" w:ascii="宋体" w:hAnsi="宋体" w:eastAsia="宋体" w:cs="宋体"/>
                <w:sz w:val="18"/>
                <w:szCs w:val="18"/>
              </w:rPr>
            </w:pPr>
            <w:r>
              <w:rPr>
                <w:rFonts w:hint="eastAsia" w:ascii="宋体" w:hAnsi="宋体" w:eastAsia="宋体" w:cs="宋体"/>
                <w:sz w:val="18"/>
                <w:szCs w:val="18"/>
              </w:rPr>
              <w:t>2.备注： 由专业花境 公司施工</w:t>
            </w:r>
          </w:p>
          <w:p>
            <w:pPr>
              <w:rPr>
                <w:rFonts w:hint="eastAsia" w:ascii="宋体" w:hAnsi="宋体" w:eastAsia="宋体" w:cs="宋体"/>
                <w:sz w:val="18"/>
                <w:szCs w:val="18"/>
              </w:rPr>
            </w:pPr>
            <w:r>
              <w:rPr>
                <w:rFonts w:hint="eastAsia" w:ascii="宋体" w:hAnsi="宋体" w:eastAsia="宋体" w:cs="宋体"/>
                <w:sz w:val="18"/>
                <w:szCs w:val="18"/>
              </w:rPr>
              <w:t>（建议品种：狼尾草 、蛇鞭菊、八宝景天 、一串红、绣球花、 海石竹、佛甲草、细 叶芒、亮晶球、矾根 、络新妇、毛蕨、蓝 粉云杉、欧石竹等）</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153</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050102013014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喷播植草（灌木）籽 1.种类： 暖季型混播</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560.000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154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050301005007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龟纹石</w:t>
            </w:r>
          </w:p>
          <w:p>
            <w:pPr>
              <w:rPr>
                <w:rFonts w:hint="eastAsia" w:ascii="宋体" w:hAnsi="宋体" w:eastAsia="宋体" w:cs="宋体"/>
                <w:sz w:val="18"/>
                <w:szCs w:val="18"/>
              </w:rPr>
            </w:pPr>
            <w:r>
              <w:rPr>
                <w:rFonts w:hint="eastAsia" w:ascii="宋体" w:hAnsi="宋体" w:eastAsia="宋体" w:cs="宋体"/>
                <w:sz w:val="18"/>
                <w:szCs w:val="18"/>
              </w:rPr>
              <w:t>1.种类： 龟纹石</w:t>
            </w:r>
          </w:p>
          <w:p>
            <w:pPr>
              <w:rPr>
                <w:rFonts w:hint="eastAsia" w:ascii="宋体" w:hAnsi="宋体" w:eastAsia="宋体" w:cs="宋体"/>
                <w:sz w:val="18"/>
                <w:szCs w:val="18"/>
              </w:rPr>
            </w:pPr>
            <w:r>
              <w:rPr>
                <w:rFonts w:hint="eastAsia" w:ascii="宋体" w:hAnsi="宋体" w:eastAsia="宋体" w:cs="宋体"/>
                <w:sz w:val="18"/>
                <w:szCs w:val="18"/>
              </w:rPr>
              <w:t>2.高度： 30-50cm</w:t>
            </w:r>
          </w:p>
          <w:p>
            <w:pPr>
              <w:rPr>
                <w:rFonts w:hint="eastAsia" w:ascii="宋体" w:hAnsi="宋体" w:eastAsia="宋体" w:cs="宋体"/>
                <w:sz w:val="18"/>
                <w:szCs w:val="18"/>
              </w:rPr>
            </w:pPr>
            <w:r>
              <w:rPr>
                <w:rFonts w:hint="eastAsia" w:ascii="宋体" w:hAnsi="宋体" w:eastAsia="宋体" w:cs="宋体"/>
                <w:sz w:val="18"/>
                <w:szCs w:val="18"/>
              </w:rPr>
              <w:t>3.宽度：40-80cm</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t</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23</w:t>
      </w:r>
      <w:r>
        <w:rPr>
          <w:rFonts w:hint="eastAsia" w:ascii="宋体" w:hAnsi="宋体" w:eastAsia="宋体" w:cs="宋体"/>
          <w:sz w:val="18"/>
          <w:szCs w:val="18"/>
        </w:rPr>
        <w:t>页  共34页</w:t>
      </w: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节点八</w:t>
            </w:r>
          </w:p>
          <w:p>
            <w:pPr>
              <w:rPr>
                <w:rFonts w:hint="eastAsia" w:ascii="宋体" w:hAnsi="宋体" w:eastAsia="宋体" w:cs="宋体"/>
                <w:sz w:val="18"/>
                <w:szCs w:val="18"/>
              </w:rPr>
            </w:pPr>
            <w:r>
              <w:rPr>
                <w:rFonts w:hint="eastAsia" w:ascii="宋体" w:hAnsi="宋体" w:eastAsia="宋体" w:cs="宋体"/>
                <w:sz w:val="18"/>
                <w:szCs w:val="18"/>
              </w:rPr>
              <w:t>（莘亭路耕莘街路 口）</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5"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155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050102002051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1.种类：造型小叶女 贞</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3.高度：400-450cm   4.冠幅： 300-350cm   5.备注：全冠 ，姿佳 ,  枝叶茂盛 ，优质苗 ,  云片不少于10片</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156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050102001089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1.种类：造型黑松 2.胸径：/</w:t>
            </w:r>
          </w:p>
          <w:p>
            <w:pPr>
              <w:rPr>
                <w:rFonts w:hint="eastAsia" w:ascii="宋体" w:hAnsi="宋体" w:eastAsia="宋体" w:cs="宋体"/>
                <w:sz w:val="18"/>
                <w:szCs w:val="18"/>
              </w:rPr>
            </w:pPr>
            <w:r>
              <w:rPr>
                <w:rFonts w:hint="eastAsia" w:ascii="宋体" w:hAnsi="宋体" w:eastAsia="宋体" w:cs="宋体"/>
                <w:sz w:val="18"/>
                <w:szCs w:val="18"/>
              </w:rPr>
              <w:t>3.高度：400-450cm   4.冠幅： 300-350cm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157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050102001091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五角枫</w:t>
            </w:r>
          </w:p>
          <w:p>
            <w:pPr>
              <w:rPr>
                <w:rFonts w:hint="eastAsia" w:ascii="宋体" w:hAnsi="宋体" w:eastAsia="宋体" w:cs="宋体"/>
                <w:sz w:val="18"/>
                <w:szCs w:val="18"/>
              </w:rPr>
            </w:pPr>
            <w:r>
              <w:rPr>
                <w:rFonts w:hint="eastAsia" w:ascii="宋体" w:hAnsi="宋体" w:eastAsia="宋体" w:cs="宋体"/>
                <w:sz w:val="18"/>
                <w:szCs w:val="18"/>
              </w:rPr>
              <w:t>2.胸径： 15cm</w:t>
            </w:r>
          </w:p>
          <w:p>
            <w:pPr>
              <w:rPr>
                <w:rFonts w:hint="eastAsia" w:ascii="宋体" w:hAnsi="宋体" w:eastAsia="宋体" w:cs="宋体"/>
                <w:sz w:val="18"/>
                <w:szCs w:val="18"/>
              </w:rPr>
            </w:pPr>
            <w:r>
              <w:rPr>
                <w:rFonts w:hint="eastAsia" w:ascii="宋体" w:hAnsi="宋体" w:eastAsia="宋体" w:cs="宋体"/>
                <w:sz w:val="18"/>
                <w:szCs w:val="18"/>
              </w:rPr>
              <w:t>3.高度：600-700cm   4.冠幅：450-500cm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158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050102001093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1.种类：鸡爪槭</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250-300cm   4.冠幅： 300-350cm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159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050102001094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圆柏</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 350-400cm   4.冠幅： 150-200cm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160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050102001096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雪松</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 350-400cm   4.冠幅： 250-300cm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24</w:t>
      </w:r>
      <w:r>
        <w:rPr>
          <w:rFonts w:hint="eastAsia" w:ascii="宋体" w:hAnsi="宋体" w:eastAsia="宋体" w:cs="宋体"/>
          <w:sz w:val="18"/>
          <w:szCs w:val="18"/>
        </w:rPr>
        <w:t>页  共34页</w:t>
      </w: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161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050102002052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大叶黄杨球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180cm</w:t>
            </w:r>
          </w:p>
          <w:p>
            <w:pPr>
              <w:rPr>
                <w:rFonts w:hint="eastAsia" w:ascii="宋体" w:hAnsi="宋体" w:eastAsia="宋体" w:cs="宋体"/>
                <w:sz w:val="18"/>
                <w:szCs w:val="18"/>
              </w:rPr>
            </w:pPr>
            <w:r>
              <w:rPr>
                <w:rFonts w:hint="eastAsia" w:ascii="宋体" w:hAnsi="宋体" w:eastAsia="宋体" w:cs="宋体"/>
                <w:sz w:val="18"/>
                <w:szCs w:val="18"/>
              </w:rPr>
              <w:t>4.冠幅： 180cm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162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050102002053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1.种类：瓜子黄杨球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120cm</w:t>
            </w:r>
          </w:p>
          <w:p>
            <w:pPr>
              <w:rPr>
                <w:rFonts w:hint="eastAsia" w:ascii="宋体" w:hAnsi="宋体" w:eastAsia="宋体" w:cs="宋体"/>
                <w:sz w:val="18"/>
                <w:szCs w:val="18"/>
              </w:rPr>
            </w:pPr>
            <w:r>
              <w:rPr>
                <w:rFonts w:hint="eastAsia" w:ascii="宋体" w:hAnsi="宋体" w:eastAsia="宋体" w:cs="宋体"/>
                <w:sz w:val="18"/>
                <w:szCs w:val="18"/>
              </w:rPr>
              <w:t>4.冠幅： 120cm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163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050102002054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红叶石楠球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150cm</w:t>
            </w:r>
          </w:p>
          <w:p>
            <w:pPr>
              <w:rPr>
                <w:rFonts w:hint="eastAsia" w:ascii="宋体" w:hAnsi="宋体" w:eastAsia="宋体" w:cs="宋体"/>
                <w:sz w:val="18"/>
                <w:szCs w:val="18"/>
              </w:rPr>
            </w:pPr>
            <w:r>
              <w:rPr>
                <w:rFonts w:hint="eastAsia" w:ascii="宋体" w:hAnsi="宋体" w:eastAsia="宋体" w:cs="宋体"/>
                <w:sz w:val="18"/>
                <w:szCs w:val="18"/>
              </w:rPr>
              <w:t>4.冠幅： 150cm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164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050102005019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1.种类：瓜子黄杨绿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315.000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165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050102005020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 大叶黄杨绿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315.000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9"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166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050102008013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栽植花卉</w:t>
            </w:r>
          </w:p>
          <w:p>
            <w:pPr>
              <w:rPr>
                <w:rFonts w:hint="eastAsia" w:ascii="宋体" w:hAnsi="宋体" w:eastAsia="宋体" w:cs="宋体"/>
                <w:sz w:val="18"/>
                <w:szCs w:val="18"/>
              </w:rPr>
            </w:pPr>
            <w:r>
              <w:rPr>
                <w:rFonts w:hint="eastAsia" w:ascii="宋体" w:hAnsi="宋体" w:eastAsia="宋体" w:cs="宋体"/>
                <w:sz w:val="18"/>
                <w:szCs w:val="18"/>
              </w:rPr>
              <w:t>1.类型：花镜</w:t>
            </w:r>
          </w:p>
          <w:p>
            <w:pPr>
              <w:rPr>
                <w:rFonts w:hint="eastAsia" w:ascii="宋体" w:hAnsi="宋体" w:eastAsia="宋体" w:cs="宋体"/>
                <w:sz w:val="18"/>
                <w:szCs w:val="18"/>
              </w:rPr>
            </w:pPr>
            <w:r>
              <w:rPr>
                <w:rFonts w:hint="eastAsia" w:ascii="宋体" w:hAnsi="宋体" w:eastAsia="宋体" w:cs="宋体"/>
                <w:sz w:val="18"/>
                <w:szCs w:val="18"/>
              </w:rPr>
              <w:t>2.备注： 由专业花境 公司施工</w:t>
            </w:r>
          </w:p>
          <w:p>
            <w:pPr>
              <w:rPr>
                <w:rFonts w:hint="eastAsia" w:ascii="宋体" w:hAnsi="宋体" w:eastAsia="宋体" w:cs="宋体"/>
                <w:sz w:val="18"/>
                <w:szCs w:val="18"/>
              </w:rPr>
            </w:pPr>
            <w:r>
              <w:rPr>
                <w:rFonts w:hint="eastAsia" w:ascii="宋体" w:hAnsi="宋体" w:eastAsia="宋体" w:cs="宋体"/>
                <w:sz w:val="18"/>
                <w:szCs w:val="18"/>
              </w:rPr>
              <w:t>（建议品种：狼尾草 、蛇鞭菊、八宝景天 、一串红、绣球花、 海石竹、佛甲草、细 叶芒、亮晶球、矾根 、络新妇、毛蕨、蓝 粉云杉、欧石竹等）</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167</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050102013015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喷播植草（灌木）籽 1.种类： 暖季型混播</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630.000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168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050301005008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龟纹石</w:t>
            </w:r>
          </w:p>
          <w:p>
            <w:pPr>
              <w:rPr>
                <w:rFonts w:hint="eastAsia" w:ascii="宋体" w:hAnsi="宋体" w:eastAsia="宋体" w:cs="宋体"/>
                <w:sz w:val="18"/>
                <w:szCs w:val="18"/>
              </w:rPr>
            </w:pPr>
            <w:r>
              <w:rPr>
                <w:rFonts w:hint="eastAsia" w:ascii="宋体" w:hAnsi="宋体" w:eastAsia="宋体" w:cs="宋体"/>
                <w:sz w:val="18"/>
                <w:szCs w:val="18"/>
              </w:rPr>
              <w:t>1.种类： 龟纹石</w:t>
            </w:r>
          </w:p>
          <w:p>
            <w:pPr>
              <w:rPr>
                <w:rFonts w:hint="eastAsia" w:ascii="宋体" w:hAnsi="宋体" w:eastAsia="宋体" w:cs="宋体"/>
                <w:sz w:val="18"/>
                <w:szCs w:val="18"/>
              </w:rPr>
            </w:pPr>
            <w:r>
              <w:rPr>
                <w:rFonts w:hint="eastAsia" w:ascii="宋体" w:hAnsi="宋体" w:eastAsia="宋体" w:cs="宋体"/>
                <w:sz w:val="18"/>
                <w:szCs w:val="18"/>
              </w:rPr>
              <w:t>2.高度： 30-50cm</w:t>
            </w:r>
          </w:p>
          <w:p>
            <w:pPr>
              <w:rPr>
                <w:rFonts w:hint="eastAsia" w:ascii="宋体" w:hAnsi="宋体" w:eastAsia="宋体" w:cs="宋体"/>
                <w:sz w:val="18"/>
                <w:szCs w:val="18"/>
              </w:rPr>
            </w:pPr>
            <w:r>
              <w:rPr>
                <w:rFonts w:hint="eastAsia" w:ascii="宋体" w:hAnsi="宋体" w:eastAsia="宋体" w:cs="宋体"/>
                <w:sz w:val="18"/>
                <w:szCs w:val="18"/>
              </w:rPr>
              <w:t>3.宽度：40-80cm</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t</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25</w:t>
      </w:r>
      <w:r>
        <w:rPr>
          <w:rFonts w:hint="eastAsia" w:ascii="宋体" w:hAnsi="宋体" w:eastAsia="宋体" w:cs="宋体"/>
          <w:sz w:val="18"/>
          <w:szCs w:val="18"/>
        </w:rPr>
        <w:t>页  共34页</w:t>
      </w: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耕莘街一（转盘</w:t>
            </w:r>
          </w:p>
          <w:p>
            <w:pPr>
              <w:rPr>
                <w:rFonts w:hint="eastAsia" w:ascii="宋体" w:hAnsi="宋体" w:eastAsia="宋体" w:cs="宋体"/>
                <w:sz w:val="18"/>
                <w:szCs w:val="18"/>
              </w:rPr>
            </w:pPr>
            <w:r>
              <w:rPr>
                <w:rFonts w:hint="eastAsia" w:ascii="宋体" w:hAnsi="宋体" w:eastAsia="宋体" w:cs="宋体"/>
                <w:sz w:val="18"/>
                <w:szCs w:val="18"/>
              </w:rPr>
              <w:t>- 莘亭路）</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169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050102001139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1.种类：法桐</w:t>
            </w:r>
          </w:p>
          <w:p>
            <w:pPr>
              <w:rPr>
                <w:rFonts w:hint="eastAsia" w:ascii="宋体" w:hAnsi="宋体" w:eastAsia="宋体" w:cs="宋体"/>
                <w:sz w:val="18"/>
                <w:szCs w:val="18"/>
              </w:rPr>
            </w:pPr>
            <w:r>
              <w:rPr>
                <w:rFonts w:hint="eastAsia" w:ascii="宋体" w:hAnsi="宋体" w:eastAsia="宋体" w:cs="宋体"/>
                <w:sz w:val="18"/>
                <w:szCs w:val="18"/>
              </w:rPr>
              <w:t>2.胸径： 15cm</w:t>
            </w:r>
          </w:p>
          <w:p>
            <w:pPr>
              <w:rPr>
                <w:rFonts w:hint="eastAsia" w:ascii="宋体" w:hAnsi="宋体" w:eastAsia="宋体" w:cs="宋体"/>
                <w:sz w:val="18"/>
                <w:szCs w:val="18"/>
              </w:rPr>
            </w:pPr>
            <w:r>
              <w:rPr>
                <w:rFonts w:hint="eastAsia" w:ascii="宋体" w:hAnsi="宋体" w:eastAsia="宋体" w:cs="宋体"/>
                <w:sz w:val="18"/>
                <w:szCs w:val="18"/>
              </w:rPr>
              <w:t>3.高度：650-750cm   4.冠幅：400-500cm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131.000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170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050102001097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西府海棠 2.胸径：D=8cm</w:t>
            </w:r>
          </w:p>
          <w:p>
            <w:pPr>
              <w:rPr>
                <w:rFonts w:hint="eastAsia" w:ascii="宋体" w:hAnsi="宋体" w:eastAsia="宋体" w:cs="宋体"/>
                <w:sz w:val="18"/>
                <w:szCs w:val="18"/>
              </w:rPr>
            </w:pPr>
            <w:r>
              <w:rPr>
                <w:rFonts w:hint="eastAsia" w:ascii="宋体" w:hAnsi="宋体" w:eastAsia="宋体" w:cs="宋体"/>
                <w:sz w:val="18"/>
                <w:szCs w:val="18"/>
              </w:rPr>
              <w:t>3.高度： 250-350cm   4.冠幅： 180-250cm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108.000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171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050102001098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1.种类：独杆紫薇 2.胸径：D=8cm</w:t>
            </w:r>
          </w:p>
          <w:p>
            <w:pPr>
              <w:rPr>
                <w:rFonts w:hint="eastAsia" w:ascii="宋体" w:hAnsi="宋体" w:eastAsia="宋体" w:cs="宋体"/>
                <w:sz w:val="18"/>
                <w:szCs w:val="18"/>
              </w:rPr>
            </w:pPr>
            <w:r>
              <w:rPr>
                <w:rFonts w:hint="eastAsia" w:ascii="宋体" w:hAnsi="宋体" w:eastAsia="宋体" w:cs="宋体"/>
                <w:sz w:val="18"/>
                <w:szCs w:val="18"/>
              </w:rPr>
              <w:t>3.高度： 250-300cm   4.冠幅： 220-300cm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108.000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172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050102001099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1.种类：金枝槐</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220-300cm   4.冠幅： 200-300cm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108.000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173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050102001100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日本晚樱 2.胸径：D=8cm</w:t>
            </w:r>
          </w:p>
          <w:p>
            <w:pPr>
              <w:rPr>
                <w:rFonts w:hint="eastAsia" w:ascii="宋体" w:hAnsi="宋体" w:eastAsia="宋体" w:cs="宋体"/>
                <w:sz w:val="18"/>
                <w:szCs w:val="18"/>
              </w:rPr>
            </w:pPr>
            <w:r>
              <w:rPr>
                <w:rFonts w:hint="eastAsia" w:ascii="宋体" w:hAnsi="宋体" w:eastAsia="宋体" w:cs="宋体"/>
                <w:sz w:val="18"/>
                <w:szCs w:val="18"/>
              </w:rPr>
              <w:t>3.高度： 300-350cm   4.冠幅： 250-300cm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108.000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174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050102001101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碧桃</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250-350cm   4.冠幅： 220-300cm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108.000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175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050102002055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大叶黄杨球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180cm</w:t>
            </w:r>
          </w:p>
          <w:p>
            <w:pPr>
              <w:rPr>
                <w:rFonts w:hint="eastAsia" w:ascii="宋体" w:hAnsi="宋体" w:eastAsia="宋体" w:cs="宋体"/>
                <w:sz w:val="18"/>
                <w:szCs w:val="18"/>
              </w:rPr>
            </w:pPr>
            <w:r>
              <w:rPr>
                <w:rFonts w:hint="eastAsia" w:ascii="宋体" w:hAnsi="宋体" w:eastAsia="宋体" w:cs="宋体"/>
                <w:sz w:val="18"/>
                <w:szCs w:val="18"/>
              </w:rPr>
              <w:t>4.冠幅： 180cm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108.000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26</w:t>
      </w:r>
      <w:r>
        <w:rPr>
          <w:rFonts w:hint="eastAsia" w:ascii="宋体" w:hAnsi="宋体" w:eastAsia="宋体" w:cs="宋体"/>
          <w:sz w:val="18"/>
          <w:szCs w:val="18"/>
        </w:rPr>
        <w:t>页  共34页</w:t>
      </w: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176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050102002057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红叶石楠球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150cm</w:t>
            </w:r>
          </w:p>
          <w:p>
            <w:pPr>
              <w:rPr>
                <w:rFonts w:hint="eastAsia" w:ascii="宋体" w:hAnsi="宋体" w:eastAsia="宋体" w:cs="宋体"/>
                <w:sz w:val="18"/>
                <w:szCs w:val="18"/>
              </w:rPr>
            </w:pPr>
            <w:r>
              <w:rPr>
                <w:rFonts w:hint="eastAsia" w:ascii="宋体" w:hAnsi="宋体" w:eastAsia="宋体" w:cs="宋体"/>
                <w:sz w:val="18"/>
                <w:szCs w:val="18"/>
              </w:rPr>
              <w:t>4.冠幅： 150cm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108.000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177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050102005022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1.种类：瓜子黄杨绿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1350.000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178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050102005021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 大叶黄杨绿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179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050102005023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 红叶石楠绿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1350.000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180</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050102013005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喷播植草（灌木）籽 1.种类： 暖季型混播</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30000.000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节点九</w:t>
            </w:r>
          </w:p>
          <w:p>
            <w:pPr>
              <w:rPr>
                <w:rFonts w:hint="eastAsia" w:ascii="宋体" w:hAnsi="宋体" w:eastAsia="宋体" w:cs="宋体"/>
                <w:sz w:val="18"/>
                <w:szCs w:val="18"/>
              </w:rPr>
            </w:pPr>
            <w:r>
              <w:rPr>
                <w:rFonts w:hint="eastAsia" w:ascii="宋体" w:hAnsi="宋体" w:eastAsia="宋体" w:cs="宋体"/>
                <w:sz w:val="18"/>
                <w:szCs w:val="18"/>
              </w:rPr>
              <w:t>（耕莘街阳平路口 )</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5"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050102002058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1.种类：造型小叶女 贞</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3.高度：400-450cm   4.冠幅： 300-350cm   5.备注：全冠 ，姿佳 ,  枝叶茂盛 ，优质苗 ,  云片不少于10片</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050102001103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1.种类：造型黑松 2.胸径：/</w:t>
            </w:r>
          </w:p>
          <w:p>
            <w:pPr>
              <w:rPr>
                <w:rFonts w:hint="eastAsia" w:ascii="宋体" w:hAnsi="宋体" w:eastAsia="宋体" w:cs="宋体"/>
                <w:sz w:val="18"/>
                <w:szCs w:val="18"/>
              </w:rPr>
            </w:pPr>
            <w:r>
              <w:rPr>
                <w:rFonts w:hint="eastAsia" w:ascii="宋体" w:hAnsi="宋体" w:eastAsia="宋体" w:cs="宋体"/>
                <w:sz w:val="18"/>
                <w:szCs w:val="18"/>
              </w:rPr>
              <w:t>3.高度：400-450cm   4.冠幅： 300-350cm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27</w:t>
      </w:r>
      <w:r>
        <w:rPr>
          <w:rFonts w:hint="eastAsia" w:ascii="宋体" w:hAnsi="宋体" w:eastAsia="宋体" w:cs="宋体"/>
          <w:sz w:val="18"/>
          <w:szCs w:val="18"/>
        </w:rPr>
        <w:t>页  共34页</w:t>
      </w: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050102001105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五角枫</w:t>
            </w:r>
          </w:p>
          <w:p>
            <w:pPr>
              <w:rPr>
                <w:rFonts w:hint="eastAsia" w:ascii="宋体" w:hAnsi="宋体" w:eastAsia="宋体" w:cs="宋体"/>
                <w:sz w:val="18"/>
                <w:szCs w:val="18"/>
              </w:rPr>
            </w:pPr>
            <w:r>
              <w:rPr>
                <w:rFonts w:hint="eastAsia" w:ascii="宋体" w:hAnsi="宋体" w:eastAsia="宋体" w:cs="宋体"/>
                <w:sz w:val="18"/>
                <w:szCs w:val="18"/>
              </w:rPr>
              <w:t>2.胸径： 15cm</w:t>
            </w:r>
          </w:p>
          <w:p>
            <w:pPr>
              <w:rPr>
                <w:rFonts w:hint="eastAsia" w:ascii="宋体" w:hAnsi="宋体" w:eastAsia="宋体" w:cs="宋体"/>
                <w:sz w:val="18"/>
                <w:szCs w:val="18"/>
              </w:rPr>
            </w:pPr>
            <w:r>
              <w:rPr>
                <w:rFonts w:hint="eastAsia" w:ascii="宋体" w:hAnsi="宋体" w:eastAsia="宋体" w:cs="宋体"/>
                <w:sz w:val="18"/>
                <w:szCs w:val="18"/>
              </w:rPr>
              <w:t>3.高度：600-700cm   4.冠幅：450-500cm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050102001107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1.种类：鸡爪槭</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250-300cm   4.冠幅： 300-350cm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050102001108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圆柏</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 350-400cm   4.冠幅： 150-200cm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050102001111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日本晚樱 2.胸径：D=8cm</w:t>
            </w:r>
          </w:p>
          <w:p>
            <w:pPr>
              <w:rPr>
                <w:rFonts w:hint="eastAsia" w:ascii="宋体" w:hAnsi="宋体" w:eastAsia="宋体" w:cs="宋体"/>
                <w:sz w:val="18"/>
                <w:szCs w:val="18"/>
              </w:rPr>
            </w:pPr>
            <w:r>
              <w:rPr>
                <w:rFonts w:hint="eastAsia" w:ascii="宋体" w:hAnsi="宋体" w:eastAsia="宋体" w:cs="宋体"/>
                <w:sz w:val="18"/>
                <w:szCs w:val="18"/>
              </w:rPr>
              <w:t>3.高度： 300-350cm   4.冠幅： 250-300cm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050102002059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大叶黄杨球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180cm</w:t>
            </w:r>
          </w:p>
          <w:p>
            <w:pPr>
              <w:rPr>
                <w:rFonts w:hint="eastAsia" w:ascii="宋体" w:hAnsi="宋体" w:eastAsia="宋体" w:cs="宋体"/>
                <w:sz w:val="18"/>
                <w:szCs w:val="18"/>
              </w:rPr>
            </w:pPr>
            <w:r>
              <w:rPr>
                <w:rFonts w:hint="eastAsia" w:ascii="宋体" w:hAnsi="宋体" w:eastAsia="宋体" w:cs="宋体"/>
                <w:sz w:val="18"/>
                <w:szCs w:val="18"/>
              </w:rPr>
              <w:t>4.冠幅： 180cm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8.000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050102002060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1.种类：瓜子黄杨球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120cm</w:t>
            </w:r>
          </w:p>
          <w:p>
            <w:pPr>
              <w:rPr>
                <w:rFonts w:hint="eastAsia" w:ascii="宋体" w:hAnsi="宋体" w:eastAsia="宋体" w:cs="宋体"/>
                <w:sz w:val="18"/>
                <w:szCs w:val="18"/>
              </w:rPr>
            </w:pPr>
            <w:r>
              <w:rPr>
                <w:rFonts w:hint="eastAsia" w:ascii="宋体" w:hAnsi="宋体" w:eastAsia="宋体" w:cs="宋体"/>
                <w:sz w:val="18"/>
                <w:szCs w:val="18"/>
              </w:rPr>
              <w:t>4.冠幅： 120cm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050102002061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红叶石楠球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150cm</w:t>
            </w:r>
          </w:p>
          <w:p>
            <w:pPr>
              <w:rPr>
                <w:rFonts w:hint="eastAsia" w:ascii="宋体" w:hAnsi="宋体" w:eastAsia="宋体" w:cs="宋体"/>
                <w:sz w:val="18"/>
                <w:szCs w:val="18"/>
              </w:rPr>
            </w:pPr>
            <w:r>
              <w:rPr>
                <w:rFonts w:hint="eastAsia" w:ascii="宋体" w:hAnsi="宋体" w:eastAsia="宋体" w:cs="宋体"/>
                <w:sz w:val="18"/>
                <w:szCs w:val="18"/>
              </w:rPr>
              <w:t>4.冠幅： 150cm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28</w:t>
      </w:r>
      <w:r>
        <w:rPr>
          <w:rFonts w:hint="eastAsia" w:ascii="宋体" w:hAnsi="宋体" w:eastAsia="宋体" w:cs="宋体"/>
          <w:sz w:val="18"/>
          <w:szCs w:val="18"/>
        </w:rPr>
        <w:t>页  共34页</w:t>
      </w: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190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050102005024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1.种类：瓜子黄杨绿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270.000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191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050102005025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 大叶黄杨绿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9"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192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050102008014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栽植花卉</w:t>
            </w:r>
          </w:p>
          <w:p>
            <w:pPr>
              <w:rPr>
                <w:rFonts w:hint="eastAsia" w:ascii="宋体" w:hAnsi="宋体" w:eastAsia="宋体" w:cs="宋体"/>
                <w:sz w:val="18"/>
                <w:szCs w:val="18"/>
              </w:rPr>
            </w:pPr>
            <w:r>
              <w:rPr>
                <w:rFonts w:hint="eastAsia" w:ascii="宋体" w:hAnsi="宋体" w:eastAsia="宋体" w:cs="宋体"/>
                <w:sz w:val="18"/>
                <w:szCs w:val="18"/>
              </w:rPr>
              <w:t>1.类型：花镜</w:t>
            </w:r>
          </w:p>
          <w:p>
            <w:pPr>
              <w:rPr>
                <w:rFonts w:hint="eastAsia" w:ascii="宋体" w:hAnsi="宋体" w:eastAsia="宋体" w:cs="宋体"/>
                <w:sz w:val="18"/>
                <w:szCs w:val="18"/>
              </w:rPr>
            </w:pPr>
            <w:r>
              <w:rPr>
                <w:rFonts w:hint="eastAsia" w:ascii="宋体" w:hAnsi="宋体" w:eastAsia="宋体" w:cs="宋体"/>
                <w:sz w:val="18"/>
                <w:szCs w:val="18"/>
              </w:rPr>
              <w:t>2.备注： 由专业花境 公司施工</w:t>
            </w:r>
          </w:p>
          <w:p>
            <w:pPr>
              <w:rPr>
                <w:rFonts w:hint="eastAsia" w:ascii="宋体" w:hAnsi="宋体" w:eastAsia="宋体" w:cs="宋体"/>
                <w:sz w:val="18"/>
                <w:szCs w:val="18"/>
              </w:rPr>
            </w:pPr>
            <w:r>
              <w:rPr>
                <w:rFonts w:hint="eastAsia" w:ascii="宋体" w:hAnsi="宋体" w:eastAsia="宋体" w:cs="宋体"/>
                <w:sz w:val="18"/>
                <w:szCs w:val="18"/>
              </w:rPr>
              <w:t>（建议品种：狼尾草 、蛇鞭菊、八宝景天 、一串红、绣球花、 海石竹、佛甲草、细 叶芒、亮晶球、矾根 、络新妇、毛蕨、蓝 粉云杉、欧石竹等）</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180.000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193</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050102013016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喷播植草（灌木）籽 1.种类： 暖季型混播</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560.000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194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050301005009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龟纹石</w:t>
            </w:r>
          </w:p>
          <w:p>
            <w:pPr>
              <w:rPr>
                <w:rFonts w:hint="eastAsia" w:ascii="宋体" w:hAnsi="宋体" w:eastAsia="宋体" w:cs="宋体"/>
                <w:sz w:val="18"/>
                <w:szCs w:val="18"/>
              </w:rPr>
            </w:pPr>
            <w:r>
              <w:rPr>
                <w:rFonts w:hint="eastAsia" w:ascii="宋体" w:hAnsi="宋体" w:eastAsia="宋体" w:cs="宋体"/>
                <w:sz w:val="18"/>
                <w:szCs w:val="18"/>
              </w:rPr>
              <w:t>1.种类： 龟纹石</w:t>
            </w:r>
          </w:p>
          <w:p>
            <w:pPr>
              <w:rPr>
                <w:rFonts w:hint="eastAsia" w:ascii="宋体" w:hAnsi="宋体" w:eastAsia="宋体" w:cs="宋体"/>
                <w:sz w:val="18"/>
                <w:szCs w:val="18"/>
              </w:rPr>
            </w:pPr>
            <w:r>
              <w:rPr>
                <w:rFonts w:hint="eastAsia" w:ascii="宋体" w:hAnsi="宋体" w:eastAsia="宋体" w:cs="宋体"/>
                <w:sz w:val="18"/>
                <w:szCs w:val="18"/>
              </w:rPr>
              <w:t>2.高度： 30-50cm</w:t>
            </w:r>
          </w:p>
          <w:p>
            <w:pPr>
              <w:rPr>
                <w:rFonts w:hint="eastAsia" w:ascii="宋体" w:hAnsi="宋体" w:eastAsia="宋体" w:cs="宋体"/>
                <w:sz w:val="18"/>
                <w:szCs w:val="18"/>
              </w:rPr>
            </w:pPr>
            <w:r>
              <w:rPr>
                <w:rFonts w:hint="eastAsia" w:ascii="宋体" w:hAnsi="宋体" w:eastAsia="宋体" w:cs="宋体"/>
                <w:sz w:val="18"/>
                <w:szCs w:val="18"/>
              </w:rPr>
              <w:t>3.宽度：40-80cm</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t</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耕莘街二（莘亭路 - 阳平路）</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195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050102001112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1.种类：法桐</w:t>
            </w:r>
          </w:p>
          <w:p>
            <w:pPr>
              <w:rPr>
                <w:rFonts w:hint="eastAsia" w:ascii="宋体" w:hAnsi="宋体" w:eastAsia="宋体" w:cs="宋体"/>
                <w:sz w:val="18"/>
                <w:szCs w:val="18"/>
              </w:rPr>
            </w:pPr>
            <w:r>
              <w:rPr>
                <w:rFonts w:hint="eastAsia" w:ascii="宋体" w:hAnsi="宋体" w:eastAsia="宋体" w:cs="宋体"/>
                <w:sz w:val="18"/>
                <w:szCs w:val="18"/>
              </w:rPr>
              <w:t>2.胸径： 15cm</w:t>
            </w:r>
          </w:p>
          <w:p>
            <w:pPr>
              <w:rPr>
                <w:rFonts w:hint="eastAsia" w:ascii="宋体" w:hAnsi="宋体" w:eastAsia="宋体" w:cs="宋体"/>
                <w:sz w:val="18"/>
                <w:szCs w:val="18"/>
              </w:rPr>
            </w:pPr>
            <w:r>
              <w:rPr>
                <w:rFonts w:hint="eastAsia" w:ascii="宋体" w:hAnsi="宋体" w:eastAsia="宋体" w:cs="宋体"/>
                <w:sz w:val="18"/>
                <w:szCs w:val="18"/>
              </w:rPr>
              <w:t>3.高度：650-750cm   4.冠幅：400-500cm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125.000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196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050102001140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白蜡</w:t>
            </w:r>
          </w:p>
          <w:p>
            <w:pPr>
              <w:rPr>
                <w:rFonts w:hint="eastAsia" w:ascii="宋体" w:hAnsi="宋体" w:eastAsia="宋体" w:cs="宋体"/>
                <w:sz w:val="18"/>
                <w:szCs w:val="18"/>
              </w:rPr>
            </w:pPr>
            <w:r>
              <w:rPr>
                <w:rFonts w:hint="eastAsia" w:ascii="宋体" w:hAnsi="宋体" w:eastAsia="宋体" w:cs="宋体"/>
                <w:sz w:val="18"/>
                <w:szCs w:val="18"/>
              </w:rPr>
              <w:t>2.胸径： 15cm</w:t>
            </w:r>
          </w:p>
          <w:p>
            <w:pPr>
              <w:rPr>
                <w:rFonts w:hint="eastAsia" w:ascii="宋体" w:hAnsi="宋体" w:eastAsia="宋体" w:cs="宋体"/>
                <w:sz w:val="18"/>
                <w:szCs w:val="18"/>
              </w:rPr>
            </w:pPr>
            <w:r>
              <w:rPr>
                <w:rFonts w:hint="eastAsia" w:ascii="宋体" w:hAnsi="宋体" w:eastAsia="宋体" w:cs="宋体"/>
                <w:sz w:val="18"/>
                <w:szCs w:val="18"/>
              </w:rPr>
              <w:t>3.高度：650-750cm   4.冠幅：400-500cm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89.000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29</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197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050102001113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西府海棠 2.胸径：D=8cm</w:t>
            </w:r>
          </w:p>
          <w:p>
            <w:pPr>
              <w:rPr>
                <w:rFonts w:hint="eastAsia" w:ascii="宋体" w:hAnsi="宋体" w:eastAsia="宋体" w:cs="宋体"/>
                <w:sz w:val="18"/>
                <w:szCs w:val="18"/>
              </w:rPr>
            </w:pPr>
            <w:r>
              <w:rPr>
                <w:rFonts w:hint="eastAsia" w:ascii="宋体" w:hAnsi="宋体" w:eastAsia="宋体" w:cs="宋体"/>
                <w:sz w:val="18"/>
                <w:szCs w:val="18"/>
              </w:rPr>
              <w:t>3.高度： 250-350cm   4.冠幅： 180-250cm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108.000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198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050102001115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1.种类：金枝槐</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220-300cm   4.冠幅： 200-300cm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108.000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199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050102001116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日本晚樱 2.胸径：D=8cm</w:t>
            </w:r>
          </w:p>
          <w:p>
            <w:pPr>
              <w:rPr>
                <w:rFonts w:hint="eastAsia" w:ascii="宋体" w:hAnsi="宋体" w:eastAsia="宋体" w:cs="宋体"/>
                <w:sz w:val="18"/>
                <w:szCs w:val="18"/>
              </w:rPr>
            </w:pPr>
            <w:r>
              <w:rPr>
                <w:rFonts w:hint="eastAsia" w:ascii="宋体" w:hAnsi="宋体" w:eastAsia="宋体" w:cs="宋体"/>
                <w:sz w:val="18"/>
                <w:szCs w:val="18"/>
              </w:rPr>
              <w:t>3.高度： 300-350cm   4.冠幅： 250-300cm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108.000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050102002062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1.种类：瓜子黄杨球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120cm</w:t>
            </w:r>
          </w:p>
          <w:p>
            <w:pPr>
              <w:rPr>
                <w:rFonts w:hint="eastAsia" w:ascii="宋体" w:hAnsi="宋体" w:eastAsia="宋体" w:cs="宋体"/>
                <w:sz w:val="18"/>
                <w:szCs w:val="18"/>
              </w:rPr>
            </w:pPr>
            <w:r>
              <w:rPr>
                <w:rFonts w:hint="eastAsia" w:ascii="宋体" w:hAnsi="宋体" w:eastAsia="宋体" w:cs="宋体"/>
                <w:sz w:val="18"/>
                <w:szCs w:val="18"/>
              </w:rPr>
              <w:t>4.冠幅： 120cm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050102002063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1.种类：金森女贞球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150cm</w:t>
            </w:r>
          </w:p>
          <w:p>
            <w:pPr>
              <w:rPr>
                <w:rFonts w:hint="eastAsia" w:ascii="宋体" w:hAnsi="宋体" w:eastAsia="宋体" w:cs="宋体"/>
                <w:sz w:val="18"/>
                <w:szCs w:val="18"/>
              </w:rPr>
            </w:pPr>
            <w:r>
              <w:rPr>
                <w:rFonts w:hint="eastAsia" w:ascii="宋体" w:hAnsi="宋体" w:eastAsia="宋体" w:cs="宋体"/>
                <w:sz w:val="18"/>
                <w:szCs w:val="18"/>
              </w:rPr>
              <w:t>4.冠幅： 150cm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5"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050102002064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小龙柏绿篱 2.株高：40-50cm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，大 杯苗或毛球 ，密度可   根据采购苗情况调整   ,   以密植不漏土为原   则</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203</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050102013006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喷播植草（灌木）籽 1.种类： 暖季型混播</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18000.000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204</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050307006002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铁艺栏杆</w:t>
            </w:r>
          </w:p>
          <w:p>
            <w:pPr>
              <w:rPr>
                <w:rFonts w:hint="eastAsia" w:ascii="宋体" w:hAnsi="宋体" w:eastAsia="宋体" w:cs="宋体"/>
                <w:sz w:val="18"/>
                <w:szCs w:val="18"/>
              </w:rPr>
            </w:pPr>
            <w:r>
              <w:rPr>
                <w:rFonts w:hint="eastAsia" w:ascii="宋体" w:hAnsi="宋体" w:eastAsia="宋体" w:cs="宋体"/>
                <w:sz w:val="18"/>
                <w:szCs w:val="18"/>
              </w:rPr>
              <w:t>1.类型：村庄设置铁 丝网及爬藤蔷薇</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720.000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阳平路</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30</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050102001117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国槐</w:t>
            </w:r>
          </w:p>
          <w:p>
            <w:pPr>
              <w:rPr>
                <w:rFonts w:hint="eastAsia" w:ascii="宋体" w:hAnsi="宋体" w:eastAsia="宋体" w:cs="宋体"/>
                <w:sz w:val="18"/>
                <w:szCs w:val="18"/>
              </w:rPr>
            </w:pPr>
            <w:r>
              <w:rPr>
                <w:rFonts w:hint="eastAsia" w:ascii="宋体" w:hAnsi="宋体" w:eastAsia="宋体" w:cs="宋体"/>
                <w:sz w:val="18"/>
                <w:szCs w:val="18"/>
              </w:rPr>
              <w:t>2.胸径： 15cm</w:t>
            </w:r>
          </w:p>
          <w:p>
            <w:pPr>
              <w:rPr>
                <w:rFonts w:hint="eastAsia" w:ascii="宋体" w:hAnsi="宋体" w:eastAsia="宋体" w:cs="宋体"/>
                <w:sz w:val="18"/>
                <w:szCs w:val="18"/>
              </w:rPr>
            </w:pPr>
            <w:r>
              <w:rPr>
                <w:rFonts w:hint="eastAsia" w:ascii="宋体" w:hAnsi="宋体" w:eastAsia="宋体" w:cs="宋体"/>
                <w:sz w:val="18"/>
                <w:szCs w:val="18"/>
              </w:rPr>
              <w:t>3.高度：600-700cm   4.冠幅：450-500cm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90.000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050102001118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西府海棠 2.胸径：D=8cm</w:t>
            </w:r>
          </w:p>
          <w:p>
            <w:pPr>
              <w:rPr>
                <w:rFonts w:hint="eastAsia" w:ascii="宋体" w:hAnsi="宋体" w:eastAsia="宋体" w:cs="宋体"/>
                <w:sz w:val="18"/>
                <w:szCs w:val="18"/>
              </w:rPr>
            </w:pPr>
            <w:r>
              <w:rPr>
                <w:rFonts w:hint="eastAsia" w:ascii="宋体" w:hAnsi="宋体" w:eastAsia="宋体" w:cs="宋体"/>
                <w:sz w:val="18"/>
                <w:szCs w:val="18"/>
              </w:rPr>
              <w:t>3.高度： 250-350cm   4.冠幅： 180-250cm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54.000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050102001119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1.种类：独杆紫薇 2.胸径：D=8cm</w:t>
            </w:r>
          </w:p>
          <w:p>
            <w:pPr>
              <w:rPr>
                <w:rFonts w:hint="eastAsia" w:ascii="宋体" w:hAnsi="宋体" w:eastAsia="宋体" w:cs="宋体"/>
                <w:sz w:val="18"/>
                <w:szCs w:val="18"/>
              </w:rPr>
            </w:pPr>
            <w:r>
              <w:rPr>
                <w:rFonts w:hint="eastAsia" w:ascii="宋体" w:hAnsi="宋体" w:eastAsia="宋体" w:cs="宋体"/>
                <w:sz w:val="18"/>
                <w:szCs w:val="18"/>
              </w:rPr>
              <w:t>3.高度： 250-300cm   4.冠幅： 220-300cm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050102001121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日本晚樱 2.胸径：D=8cm</w:t>
            </w:r>
          </w:p>
          <w:p>
            <w:pPr>
              <w:rPr>
                <w:rFonts w:hint="eastAsia" w:ascii="宋体" w:hAnsi="宋体" w:eastAsia="宋体" w:cs="宋体"/>
                <w:sz w:val="18"/>
                <w:szCs w:val="18"/>
              </w:rPr>
            </w:pPr>
            <w:r>
              <w:rPr>
                <w:rFonts w:hint="eastAsia" w:ascii="宋体" w:hAnsi="宋体" w:eastAsia="宋体" w:cs="宋体"/>
                <w:sz w:val="18"/>
                <w:szCs w:val="18"/>
              </w:rPr>
              <w:t>3.高度： 300-350cm   4.冠幅： 250-300cm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209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050102001120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1.种类：金枝槐</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220-300cm   4.冠幅： 200-300cm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54.000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210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050102001123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紫叶李</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300-350cm   4.冠幅： 250-300cm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212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050102002067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红叶石楠球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150cm</w:t>
            </w:r>
          </w:p>
          <w:p>
            <w:pPr>
              <w:rPr>
                <w:rFonts w:hint="eastAsia" w:ascii="宋体" w:hAnsi="宋体" w:eastAsia="宋体" w:cs="宋体"/>
                <w:sz w:val="18"/>
                <w:szCs w:val="18"/>
              </w:rPr>
            </w:pPr>
            <w:r>
              <w:rPr>
                <w:rFonts w:hint="eastAsia" w:ascii="宋体" w:hAnsi="宋体" w:eastAsia="宋体" w:cs="宋体"/>
                <w:sz w:val="18"/>
                <w:szCs w:val="18"/>
              </w:rPr>
              <w:t>4.冠幅： 150cm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108.000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31</w:t>
      </w:r>
      <w:r>
        <w:rPr>
          <w:rFonts w:hint="eastAsia" w:ascii="宋体" w:hAnsi="宋体" w:eastAsia="宋体" w:cs="宋体"/>
          <w:sz w:val="18"/>
          <w:szCs w:val="18"/>
        </w:rPr>
        <w:t>页  共34页</w:t>
      </w: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213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050102002065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大叶黄杨球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180cm</w:t>
            </w:r>
          </w:p>
          <w:p>
            <w:pPr>
              <w:rPr>
                <w:rFonts w:hint="eastAsia" w:ascii="宋体" w:hAnsi="宋体" w:eastAsia="宋体" w:cs="宋体"/>
                <w:sz w:val="18"/>
                <w:szCs w:val="18"/>
              </w:rPr>
            </w:pPr>
            <w:r>
              <w:rPr>
                <w:rFonts w:hint="eastAsia" w:ascii="宋体" w:hAnsi="宋体" w:eastAsia="宋体" w:cs="宋体"/>
                <w:sz w:val="18"/>
                <w:szCs w:val="18"/>
              </w:rPr>
              <w:t>4.冠幅： 180cm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108.000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214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050102005028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 红叶石楠绿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215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050102005026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 大叶黄杨绿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216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050102005029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栽植绿篱</w:t>
            </w:r>
          </w:p>
          <w:p>
            <w:pPr>
              <w:rPr>
                <w:rFonts w:hint="eastAsia" w:ascii="宋体" w:hAnsi="宋体" w:eastAsia="宋体" w:cs="宋体"/>
                <w:sz w:val="18"/>
                <w:szCs w:val="18"/>
              </w:rPr>
            </w:pPr>
            <w:r>
              <w:rPr>
                <w:rFonts w:hint="eastAsia" w:ascii="宋体" w:hAnsi="宋体" w:eastAsia="宋体" w:cs="宋体"/>
                <w:sz w:val="18"/>
                <w:szCs w:val="18"/>
              </w:rPr>
              <w:t>1.种类：金森女贞绿 篱B</w:t>
            </w:r>
          </w:p>
          <w:p>
            <w:pPr>
              <w:rPr>
                <w:rFonts w:hint="eastAsia" w:ascii="宋体" w:hAnsi="宋体" w:eastAsia="宋体" w:cs="宋体"/>
                <w:sz w:val="18"/>
                <w:szCs w:val="18"/>
              </w:rPr>
            </w:pPr>
            <w:r>
              <w:rPr>
                <w:rFonts w:hint="eastAsia" w:ascii="宋体" w:hAnsi="宋体" w:eastAsia="宋体" w:cs="宋体"/>
                <w:sz w:val="18"/>
                <w:szCs w:val="18"/>
              </w:rPr>
              <w:t>2.株高： 30-40cm</w:t>
            </w:r>
          </w:p>
          <w:p>
            <w:pPr>
              <w:rPr>
                <w:rFonts w:hint="eastAsia" w:ascii="宋体" w:hAnsi="宋体" w:eastAsia="宋体" w:cs="宋体"/>
                <w:sz w:val="18"/>
                <w:szCs w:val="18"/>
              </w:rPr>
            </w:pPr>
            <w:r>
              <w:rPr>
                <w:rFonts w:hint="eastAsia" w:ascii="宋体" w:hAnsi="宋体" w:eastAsia="宋体" w:cs="宋体"/>
                <w:sz w:val="18"/>
                <w:szCs w:val="18"/>
              </w:rPr>
              <w:t>3.冠幅： 25-30cm</w:t>
            </w:r>
          </w:p>
          <w:p>
            <w:pPr>
              <w:rPr>
                <w:rFonts w:hint="eastAsia" w:ascii="宋体" w:hAnsi="宋体" w:eastAsia="宋体" w:cs="宋体"/>
                <w:sz w:val="18"/>
                <w:szCs w:val="18"/>
              </w:rPr>
            </w:pPr>
            <w:r>
              <w:rPr>
                <w:rFonts w:hint="eastAsia" w:ascii="宋体" w:hAnsi="宋体" w:eastAsia="宋体" w:cs="宋体"/>
                <w:sz w:val="18"/>
                <w:szCs w:val="18"/>
              </w:rPr>
              <w:t>4.备注： 25株/m2 ，密 实不露土</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217</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050102013007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喷播植草（灌木）籽 1.种类： 暖季型草坪</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30000.000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节点十</w:t>
            </w:r>
          </w:p>
          <w:p>
            <w:pPr>
              <w:rPr>
                <w:rFonts w:hint="eastAsia" w:ascii="宋体" w:hAnsi="宋体" w:eastAsia="宋体" w:cs="宋体"/>
                <w:sz w:val="18"/>
                <w:szCs w:val="18"/>
              </w:rPr>
            </w:pPr>
            <w:r>
              <w:rPr>
                <w:rFonts w:hint="eastAsia" w:ascii="宋体" w:hAnsi="宋体" w:eastAsia="宋体" w:cs="宋体"/>
                <w:sz w:val="18"/>
                <w:szCs w:val="18"/>
              </w:rPr>
              <w:t>（嘉年华门口）</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5"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218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050102002068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1.种类：造型小叶女 贞</w:t>
            </w:r>
          </w:p>
          <w:p>
            <w:pPr>
              <w:rPr>
                <w:rFonts w:hint="eastAsia" w:ascii="宋体" w:hAnsi="宋体" w:eastAsia="宋体" w:cs="宋体"/>
                <w:sz w:val="18"/>
                <w:szCs w:val="18"/>
              </w:rPr>
            </w:pPr>
            <w:r>
              <w:rPr>
                <w:rFonts w:hint="eastAsia" w:ascii="宋体" w:hAnsi="宋体" w:eastAsia="宋体" w:cs="宋体"/>
                <w:sz w:val="18"/>
                <w:szCs w:val="18"/>
              </w:rPr>
              <w:t>2.胸径：/</w:t>
            </w:r>
          </w:p>
          <w:p>
            <w:pPr>
              <w:rPr>
                <w:rFonts w:hint="eastAsia" w:ascii="宋体" w:hAnsi="宋体" w:eastAsia="宋体" w:cs="宋体"/>
                <w:sz w:val="18"/>
                <w:szCs w:val="18"/>
              </w:rPr>
            </w:pPr>
            <w:r>
              <w:rPr>
                <w:rFonts w:hint="eastAsia" w:ascii="宋体" w:hAnsi="宋体" w:eastAsia="宋体" w:cs="宋体"/>
                <w:sz w:val="18"/>
                <w:szCs w:val="18"/>
              </w:rPr>
              <w:t>3.高度：400-450cm   4.冠幅： 300-350cm   5.备注：全冠 ，姿佳 ,  枝叶茂盛 ，优质苗 ,  云片不少于10片</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4.000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9"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219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050102008015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栽植花卉</w:t>
            </w:r>
          </w:p>
          <w:p>
            <w:pPr>
              <w:rPr>
                <w:rFonts w:hint="eastAsia" w:ascii="宋体" w:hAnsi="宋体" w:eastAsia="宋体" w:cs="宋体"/>
                <w:sz w:val="18"/>
                <w:szCs w:val="18"/>
              </w:rPr>
            </w:pPr>
            <w:r>
              <w:rPr>
                <w:rFonts w:hint="eastAsia" w:ascii="宋体" w:hAnsi="宋体" w:eastAsia="宋体" w:cs="宋体"/>
                <w:sz w:val="18"/>
                <w:szCs w:val="18"/>
              </w:rPr>
              <w:t>1.类型：花镜</w:t>
            </w:r>
          </w:p>
          <w:p>
            <w:pPr>
              <w:rPr>
                <w:rFonts w:hint="eastAsia" w:ascii="宋体" w:hAnsi="宋体" w:eastAsia="宋体" w:cs="宋体"/>
                <w:sz w:val="18"/>
                <w:szCs w:val="18"/>
              </w:rPr>
            </w:pPr>
            <w:r>
              <w:rPr>
                <w:rFonts w:hint="eastAsia" w:ascii="宋体" w:hAnsi="宋体" w:eastAsia="宋体" w:cs="宋体"/>
                <w:sz w:val="18"/>
                <w:szCs w:val="18"/>
              </w:rPr>
              <w:t>2.备注： 由专业花境 公司施工</w:t>
            </w:r>
          </w:p>
          <w:p>
            <w:pPr>
              <w:rPr>
                <w:rFonts w:hint="eastAsia" w:ascii="宋体" w:hAnsi="宋体" w:eastAsia="宋体" w:cs="宋体"/>
                <w:sz w:val="18"/>
                <w:szCs w:val="18"/>
              </w:rPr>
            </w:pPr>
            <w:r>
              <w:rPr>
                <w:rFonts w:hint="eastAsia" w:ascii="宋体" w:hAnsi="宋体" w:eastAsia="宋体" w:cs="宋体"/>
                <w:sz w:val="18"/>
                <w:szCs w:val="18"/>
              </w:rPr>
              <w:t>（建议品种：狼尾草 、蛇鞭菊、八宝景天 、一串红、绣球花、 海石竹、佛甲草、细 叶芒、亮晶球、矾根 、络新妇、毛蕨、蓝 粉云杉、欧石竹等）</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210.000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32</w:t>
      </w:r>
      <w:r>
        <w:rPr>
          <w:rFonts w:hint="eastAsia" w:ascii="宋体" w:hAnsi="宋体" w:eastAsia="宋体" w:cs="宋体"/>
          <w:sz w:val="18"/>
          <w:szCs w:val="18"/>
        </w:rPr>
        <w:t>页  共34页</w:t>
      </w:r>
    </w:p>
    <w:p>
      <w:pPr>
        <w:rPr>
          <w:rFonts w:hint="eastAsia" w:ascii="宋体" w:hAnsi="宋体" w:eastAsia="宋体" w:cs="宋体"/>
          <w:sz w:val="18"/>
          <w:szCs w:val="18"/>
        </w:rPr>
      </w:pP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220</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050102012010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铺种草皮</w:t>
            </w:r>
          </w:p>
          <w:p>
            <w:pPr>
              <w:rPr>
                <w:rFonts w:hint="eastAsia" w:ascii="宋体" w:hAnsi="宋体" w:eastAsia="宋体" w:cs="宋体"/>
                <w:sz w:val="18"/>
                <w:szCs w:val="18"/>
              </w:rPr>
            </w:pPr>
            <w:r>
              <w:rPr>
                <w:rFonts w:hint="eastAsia" w:ascii="宋体" w:hAnsi="宋体" w:eastAsia="宋体" w:cs="宋体"/>
                <w:sz w:val="18"/>
                <w:szCs w:val="18"/>
              </w:rPr>
              <w:t>1.种类： 马尼拉</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150.000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221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050301005010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龟纹石</w:t>
            </w:r>
          </w:p>
          <w:p>
            <w:pPr>
              <w:rPr>
                <w:rFonts w:hint="eastAsia" w:ascii="宋体" w:hAnsi="宋体" w:eastAsia="宋体" w:cs="宋体"/>
                <w:sz w:val="18"/>
                <w:szCs w:val="18"/>
              </w:rPr>
            </w:pPr>
            <w:r>
              <w:rPr>
                <w:rFonts w:hint="eastAsia" w:ascii="宋体" w:hAnsi="宋体" w:eastAsia="宋体" w:cs="宋体"/>
                <w:sz w:val="18"/>
                <w:szCs w:val="18"/>
              </w:rPr>
              <w:t>1.种类： 龟纹石</w:t>
            </w:r>
          </w:p>
          <w:p>
            <w:pPr>
              <w:rPr>
                <w:rFonts w:hint="eastAsia" w:ascii="宋体" w:hAnsi="宋体" w:eastAsia="宋体" w:cs="宋体"/>
                <w:sz w:val="18"/>
                <w:szCs w:val="18"/>
              </w:rPr>
            </w:pPr>
            <w:r>
              <w:rPr>
                <w:rFonts w:hint="eastAsia" w:ascii="宋体" w:hAnsi="宋体" w:eastAsia="宋体" w:cs="宋体"/>
                <w:sz w:val="18"/>
                <w:szCs w:val="18"/>
              </w:rPr>
              <w:t>2.高度： 30-50cm</w:t>
            </w:r>
          </w:p>
          <w:p>
            <w:pPr>
              <w:rPr>
                <w:rFonts w:hint="eastAsia" w:ascii="宋体" w:hAnsi="宋体" w:eastAsia="宋体" w:cs="宋体"/>
                <w:sz w:val="18"/>
                <w:szCs w:val="18"/>
              </w:rPr>
            </w:pPr>
            <w:r>
              <w:rPr>
                <w:rFonts w:hint="eastAsia" w:ascii="宋体" w:hAnsi="宋体" w:eastAsia="宋体" w:cs="宋体"/>
                <w:sz w:val="18"/>
                <w:szCs w:val="18"/>
              </w:rPr>
              <w:t>3.宽度：40-80cm</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t</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东升路</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222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050102001126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西府海棠 2.胸径：D=8cm</w:t>
            </w:r>
          </w:p>
          <w:p>
            <w:pPr>
              <w:rPr>
                <w:rFonts w:hint="eastAsia" w:ascii="宋体" w:hAnsi="宋体" w:eastAsia="宋体" w:cs="宋体"/>
                <w:sz w:val="18"/>
                <w:szCs w:val="18"/>
              </w:rPr>
            </w:pPr>
            <w:r>
              <w:rPr>
                <w:rFonts w:hint="eastAsia" w:ascii="宋体" w:hAnsi="宋体" w:eastAsia="宋体" w:cs="宋体"/>
                <w:sz w:val="18"/>
                <w:szCs w:val="18"/>
              </w:rPr>
              <w:t>3.高度： 250-350cm   4.冠幅： 180-250cm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54.000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223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050102001127</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日本晚樱 2.胸径：D=8cm</w:t>
            </w:r>
          </w:p>
          <w:p>
            <w:pPr>
              <w:rPr>
                <w:rFonts w:hint="eastAsia" w:ascii="宋体" w:hAnsi="宋体" w:eastAsia="宋体" w:cs="宋体"/>
                <w:sz w:val="18"/>
                <w:szCs w:val="18"/>
              </w:rPr>
            </w:pPr>
            <w:r>
              <w:rPr>
                <w:rFonts w:hint="eastAsia" w:ascii="宋体" w:hAnsi="宋体" w:eastAsia="宋体" w:cs="宋体"/>
                <w:sz w:val="18"/>
                <w:szCs w:val="18"/>
              </w:rPr>
              <w:t>3.高度： 300-350cm   4.冠幅： 250-300cm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224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050102001128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1.种类：金枝槐</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220-300cm   4.冠幅： 200-300cm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225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050102001129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碧桃</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300-350cm   4.冠幅： 250-300cm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226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050102002069</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大叶黄杨球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180cm</w:t>
            </w:r>
          </w:p>
          <w:p>
            <w:pPr>
              <w:rPr>
                <w:rFonts w:hint="eastAsia" w:ascii="宋体" w:hAnsi="宋体" w:eastAsia="宋体" w:cs="宋体"/>
                <w:sz w:val="18"/>
                <w:szCs w:val="18"/>
              </w:rPr>
            </w:pPr>
            <w:r>
              <w:rPr>
                <w:rFonts w:hint="eastAsia" w:ascii="宋体" w:hAnsi="宋体" w:eastAsia="宋体" w:cs="宋体"/>
                <w:sz w:val="18"/>
                <w:szCs w:val="18"/>
              </w:rPr>
              <w:t>4.冠幅： 180cm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227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050102002070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1.种类：瓜子黄杨球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120cm</w:t>
            </w:r>
          </w:p>
          <w:p>
            <w:pPr>
              <w:rPr>
                <w:rFonts w:hint="eastAsia" w:ascii="宋体" w:hAnsi="宋体" w:eastAsia="宋体" w:cs="宋体"/>
                <w:sz w:val="18"/>
                <w:szCs w:val="18"/>
              </w:rPr>
            </w:pPr>
            <w:r>
              <w:rPr>
                <w:rFonts w:hint="eastAsia" w:ascii="宋体" w:hAnsi="宋体" w:eastAsia="宋体" w:cs="宋体"/>
                <w:sz w:val="18"/>
                <w:szCs w:val="18"/>
              </w:rPr>
              <w:t>4.冠幅： 120cm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33</w:t>
      </w:r>
      <w:r>
        <w:rPr>
          <w:rFonts w:hint="eastAsia" w:ascii="宋体" w:hAnsi="宋体" w:eastAsia="宋体" w:cs="宋体"/>
          <w:sz w:val="18"/>
          <w:szCs w:val="18"/>
        </w:rPr>
        <w:t>页  共34页</w:t>
      </w: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231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050102008016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栽植花卉</w:t>
            </w:r>
          </w:p>
          <w:p>
            <w:pPr>
              <w:rPr>
                <w:rFonts w:hint="eastAsia" w:ascii="宋体" w:hAnsi="宋体" w:eastAsia="宋体" w:cs="宋体"/>
                <w:sz w:val="18"/>
                <w:szCs w:val="18"/>
              </w:rPr>
            </w:pPr>
            <w:r>
              <w:rPr>
                <w:rFonts w:hint="eastAsia" w:ascii="宋体" w:hAnsi="宋体" w:eastAsia="宋体" w:cs="宋体"/>
                <w:sz w:val="18"/>
                <w:szCs w:val="18"/>
              </w:rPr>
              <w:t>1.类型： 时令花卉</w:t>
            </w:r>
          </w:p>
          <w:p>
            <w:pPr>
              <w:rPr>
                <w:rFonts w:hint="eastAsia" w:ascii="宋体" w:hAnsi="宋体" w:eastAsia="宋体" w:cs="宋体"/>
                <w:sz w:val="18"/>
                <w:szCs w:val="18"/>
              </w:rPr>
            </w:pPr>
            <w:r>
              <w:rPr>
                <w:rFonts w:hint="eastAsia" w:ascii="宋体" w:hAnsi="宋体" w:eastAsia="宋体" w:cs="宋体"/>
                <w:sz w:val="18"/>
                <w:szCs w:val="18"/>
              </w:rPr>
              <w:t>2.备注： 建议品种： 波斯菊、黄金菊、蛇 鞭菊、福禄考、木茼 蒿、绣球花、月季、 石竹</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70.000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232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050301005011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龟纹石</w:t>
            </w:r>
          </w:p>
          <w:p>
            <w:pPr>
              <w:rPr>
                <w:rFonts w:hint="eastAsia" w:ascii="宋体" w:hAnsi="宋体" w:eastAsia="宋体" w:cs="宋体"/>
                <w:sz w:val="18"/>
                <w:szCs w:val="18"/>
              </w:rPr>
            </w:pPr>
            <w:r>
              <w:rPr>
                <w:rFonts w:hint="eastAsia" w:ascii="宋体" w:hAnsi="宋体" w:eastAsia="宋体" w:cs="宋体"/>
                <w:sz w:val="18"/>
                <w:szCs w:val="18"/>
              </w:rPr>
              <w:t>1.种类： 龟纹石</w:t>
            </w:r>
          </w:p>
          <w:p>
            <w:pPr>
              <w:rPr>
                <w:rFonts w:hint="eastAsia" w:ascii="宋体" w:hAnsi="宋体" w:eastAsia="宋体" w:cs="宋体"/>
                <w:sz w:val="18"/>
                <w:szCs w:val="18"/>
              </w:rPr>
            </w:pPr>
            <w:r>
              <w:rPr>
                <w:rFonts w:hint="eastAsia" w:ascii="宋体" w:hAnsi="宋体" w:eastAsia="宋体" w:cs="宋体"/>
                <w:sz w:val="18"/>
                <w:szCs w:val="18"/>
              </w:rPr>
              <w:t>2.高度： 30-50cm</w:t>
            </w:r>
          </w:p>
          <w:p>
            <w:pPr>
              <w:rPr>
                <w:rFonts w:hint="eastAsia" w:ascii="宋体" w:hAnsi="宋体" w:eastAsia="宋体" w:cs="宋体"/>
                <w:sz w:val="18"/>
                <w:szCs w:val="18"/>
              </w:rPr>
            </w:pPr>
            <w:r>
              <w:rPr>
                <w:rFonts w:hint="eastAsia" w:ascii="宋体" w:hAnsi="宋体" w:eastAsia="宋体" w:cs="宋体"/>
                <w:sz w:val="18"/>
                <w:szCs w:val="18"/>
              </w:rPr>
              <w:t>3.宽度：40-80cm</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t</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10.000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南高速口</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233</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050102001130</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1.种类：造型黑松 2.胸径：/</w:t>
            </w:r>
          </w:p>
          <w:p>
            <w:pPr>
              <w:rPr>
                <w:rFonts w:hint="eastAsia" w:ascii="宋体" w:hAnsi="宋体" w:eastAsia="宋体" w:cs="宋体"/>
                <w:sz w:val="18"/>
                <w:szCs w:val="18"/>
              </w:rPr>
            </w:pPr>
            <w:r>
              <w:rPr>
                <w:rFonts w:hint="eastAsia" w:ascii="宋体" w:hAnsi="宋体" w:eastAsia="宋体" w:cs="宋体"/>
                <w:sz w:val="18"/>
                <w:szCs w:val="18"/>
              </w:rPr>
              <w:t>3.高度：400-450cm   4.冠幅： 300-350cm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5.000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234</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050102001132</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国槐</w:t>
            </w:r>
          </w:p>
          <w:p>
            <w:pPr>
              <w:rPr>
                <w:rFonts w:hint="eastAsia" w:ascii="宋体" w:hAnsi="宋体" w:eastAsia="宋体" w:cs="宋体"/>
                <w:sz w:val="18"/>
                <w:szCs w:val="18"/>
              </w:rPr>
            </w:pPr>
            <w:r>
              <w:rPr>
                <w:rFonts w:hint="eastAsia" w:ascii="宋体" w:hAnsi="宋体" w:eastAsia="宋体" w:cs="宋体"/>
                <w:sz w:val="18"/>
                <w:szCs w:val="18"/>
              </w:rPr>
              <w:t>2.胸径： 15cm</w:t>
            </w:r>
          </w:p>
          <w:p>
            <w:pPr>
              <w:rPr>
                <w:rFonts w:hint="eastAsia" w:ascii="宋体" w:hAnsi="宋体" w:eastAsia="宋体" w:cs="宋体"/>
                <w:sz w:val="18"/>
                <w:szCs w:val="18"/>
              </w:rPr>
            </w:pPr>
            <w:r>
              <w:rPr>
                <w:rFonts w:hint="eastAsia" w:ascii="宋体" w:hAnsi="宋体" w:eastAsia="宋体" w:cs="宋体"/>
                <w:sz w:val="18"/>
                <w:szCs w:val="18"/>
              </w:rPr>
              <w:t>3.高度：600-700cm   4.冠幅：450-500cm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235</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050102001131</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白蜡</w:t>
            </w:r>
          </w:p>
          <w:p>
            <w:pPr>
              <w:rPr>
                <w:rFonts w:hint="eastAsia" w:ascii="宋体" w:hAnsi="宋体" w:eastAsia="宋体" w:cs="宋体"/>
                <w:sz w:val="18"/>
                <w:szCs w:val="18"/>
              </w:rPr>
            </w:pPr>
            <w:r>
              <w:rPr>
                <w:rFonts w:hint="eastAsia" w:ascii="宋体" w:hAnsi="宋体" w:eastAsia="宋体" w:cs="宋体"/>
                <w:sz w:val="18"/>
                <w:szCs w:val="18"/>
              </w:rPr>
              <w:t>2.胸径： 15cm</w:t>
            </w:r>
          </w:p>
          <w:p>
            <w:pPr>
              <w:rPr>
                <w:rFonts w:hint="eastAsia" w:ascii="宋体" w:hAnsi="宋体" w:eastAsia="宋体" w:cs="宋体"/>
                <w:sz w:val="18"/>
                <w:szCs w:val="18"/>
              </w:rPr>
            </w:pPr>
            <w:r>
              <w:rPr>
                <w:rFonts w:hint="eastAsia" w:ascii="宋体" w:hAnsi="宋体" w:eastAsia="宋体" w:cs="宋体"/>
                <w:sz w:val="18"/>
                <w:szCs w:val="18"/>
              </w:rPr>
              <w:t>3.高度：650-750cm   4.冠幅：400-500cm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236</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050102001133</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北栾</w:t>
            </w:r>
          </w:p>
          <w:p>
            <w:pPr>
              <w:rPr>
                <w:rFonts w:hint="eastAsia" w:ascii="宋体" w:hAnsi="宋体" w:eastAsia="宋体" w:cs="宋体"/>
                <w:sz w:val="18"/>
                <w:szCs w:val="18"/>
              </w:rPr>
            </w:pPr>
            <w:r>
              <w:rPr>
                <w:rFonts w:hint="eastAsia" w:ascii="宋体" w:hAnsi="宋体" w:eastAsia="宋体" w:cs="宋体"/>
                <w:sz w:val="18"/>
                <w:szCs w:val="18"/>
              </w:rPr>
              <w:t>2.胸径： 15cm</w:t>
            </w:r>
          </w:p>
          <w:p>
            <w:pPr>
              <w:rPr>
                <w:rFonts w:hint="eastAsia" w:ascii="宋体" w:hAnsi="宋体" w:eastAsia="宋体" w:cs="宋体"/>
                <w:sz w:val="18"/>
                <w:szCs w:val="18"/>
              </w:rPr>
            </w:pPr>
            <w:r>
              <w:rPr>
                <w:rFonts w:hint="eastAsia" w:ascii="宋体" w:hAnsi="宋体" w:eastAsia="宋体" w:cs="宋体"/>
                <w:sz w:val="18"/>
                <w:szCs w:val="18"/>
              </w:rPr>
              <w:t>3.高度：600-700cm   4.冠幅：400-450cm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32.000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237</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050102001134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西府海棠 2.胸径：D=8cm</w:t>
            </w:r>
          </w:p>
          <w:p>
            <w:pPr>
              <w:rPr>
                <w:rFonts w:hint="eastAsia" w:ascii="宋体" w:hAnsi="宋体" w:eastAsia="宋体" w:cs="宋体"/>
                <w:sz w:val="18"/>
                <w:szCs w:val="18"/>
              </w:rPr>
            </w:pPr>
            <w:r>
              <w:rPr>
                <w:rFonts w:hint="eastAsia" w:ascii="宋体" w:hAnsi="宋体" w:eastAsia="宋体" w:cs="宋体"/>
                <w:sz w:val="18"/>
                <w:szCs w:val="18"/>
              </w:rPr>
              <w:t>3.高度： 250-350cm   4.冠幅： 180-250cm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rPr>
        <w:t>分部分项工程量清单与计价表</w:t>
      </w:r>
    </w:p>
    <w:p>
      <w:pPr>
        <w:rPr>
          <w:rFonts w:hint="eastAsia" w:ascii="宋体" w:hAnsi="宋体" w:eastAsia="宋体" w:cs="宋体"/>
          <w:sz w:val="18"/>
          <w:szCs w:val="18"/>
        </w:rPr>
        <w:sectPr>
          <w:type w:val="continuous"/>
          <w:pgSz w:w="11906" w:h="16838"/>
          <w:pgMar w:top="673" w:right="553" w:bottom="0" w:left="837" w:header="0" w:footer="0" w:gutter="0"/>
          <w:cols w:equalWidth="0" w:num="1">
            <w:col w:w="10515"/>
          </w:cols>
        </w:sectPr>
      </w:pPr>
    </w:p>
    <w:p>
      <w:pPr>
        <w:jc w:val="left"/>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881" w:space="100"/>
            <w:col w:w="1256"/>
          </w:cols>
        </w:sectPr>
      </w:pP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第</w:t>
      </w:r>
      <w:r>
        <w:rPr>
          <w:rFonts w:hint="eastAsia" w:ascii="宋体" w:hAnsi="宋体" w:cs="宋体"/>
          <w:sz w:val="18"/>
          <w:szCs w:val="18"/>
          <w:lang w:val="en-US" w:eastAsia="zh-CN"/>
        </w:rPr>
        <w:t>34</w:t>
      </w:r>
      <w:r>
        <w:rPr>
          <w:rFonts w:hint="eastAsia" w:ascii="宋体" w:hAnsi="宋体" w:eastAsia="宋体" w:cs="宋体"/>
          <w:sz w:val="18"/>
          <w:szCs w:val="18"/>
        </w:rPr>
        <w:t>页  共34页</w:t>
      </w:r>
    </w:p>
    <w:p>
      <w:pPr>
        <w:rPr>
          <w:rFonts w:hint="eastAsia" w:ascii="宋体" w:hAnsi="宋体" w:eastAsia="宋体" w:cs="宋体"/>
          <w:sz w:val="18"/>
          <w:szCs w:val="18"/>
        </w:rPr>
        <w:sectPr>
          <w:type w:val="continuous"/>
          <w:pgSz w:w="11906" w:h="16838"/>
          <w:pgMar w:top="673" w:right="553" w:bottom="0" w:left="837" w:header="0" w:footer="0" w:gutter="0"/>
          <w:cols w:equalWidth="0" w:num="3">
            <w:col w:w="5179" w:space="100"/>
            <w:col w:w="3781" w:space="100"/>
            <w:col w:w="1356"/>
          </w:cols>
        </w:sectPr>
      </w:pPr>
    </w:p>
    <w:p>
      <w:pPr>
        <w:rPr>
          <w:rFonts w:hint="eastAsia" w:ascii="宋体" w:hAnsi="宋体" w:eastAsia="宋体" w:cs="宋体"/>
          <w:sz w:val="18"/>
          <w:szCs w:val="18"/>
        </w:rPr>
      </w:pPr>
    </w:p>
    <w:tbl>
      <w:tblPr>
        <w:tblStyle w:val="722"/>
        <w:tblW w:w="1048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855"/>
        <w:gridCol w:w="1985"/>
        <w:gridCol w:w="798"/>
        <w:gridCol w:w="1193"/>
        <w:gridCol w:w="1193"/>
        <w:gridCol w:w="1459"/>
        <w:gridCol w:w="13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675" w:type="dxa"/>
            <w:vMerge w:val="restart"/>
            <w:tcBorders>
              <w:top w:val="single" w:color="000000" w:sz="10" w:space="0"/>
              <w:left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序号</w:t>
            </w:r>
          </w:p>
        </w:tc>
        <w:tc>
          <w:tcPr>
            <w:tcW w:w="1855"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项目编码</w:t>
            </w:r>
          </w:p>
        </w:tc>
        <w:tc>
          <w:tcPr>
            <w:tcW w:w="1985"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项目名称</w:t>
            </w:r>
          </w:p>
          <w:p>
            <w:pPr>
              <w:rPr>
                <w:rFonts w:hint="eastAsia" w:ascii="宋体" w:hAnsi="宋体" w:eastAsia="宋体" w:cs="宋体"/>
                <w:sz w:val="18"/>
                <w:szCs w:val="18"/>
              </w:rPr>
            </w:pPr>
            <w:r>
              <w:rPr>
                <w:rFonts w:hint="eastAsia" w:ascii="宋体" w:hAnsi="宋体" w:eastAsia="宋体" w:cs="宋体"/>
                <w:sz w:val="18"/>
                <w:szCs w:val="18"/>
              </w:rPr>
              <w:t>项目特征</w:t>
            </w:r>
          </w:p>
        </w:tc>
        <w:tc>
          <w:tcPr>
            <w:tcW w:w="798" w:type="dxa"/>
            <w:vMerge w:val="restart"/>
            <w:tcBorders>
              <w:top w:val="single" w:color="000000" w:sz="10" w:space="0"/>
              <w:bottom w:val="nil"/>
            </w:tcBorders>
            <w:vAlign w:val="top"/>
          </w:tcPr>
          <w:p>
            <w:pPr>
              <w:rPr>
                <w:rFonts w:hint="eastAsia" w:ascii="宋体" w:hAnsi="宋体" w:eastAsia="宋体" w:cs="宋体"/>
                <w:sz w:val="18"/>
                <w:szCs w:val="18"/>
              </w:rPr>
            </w:pPr>
            <w:r>
              <w:rPr>
                <w:rFonts w:hint="eastAsia" w:ascii="宋体" w:hAnsi="宋体" w:eastAsia="宋体" w:cs="宋体"/>
                <w:sz w:val="18"/>
                <w:szCs w:val="18"/>
              </w:rPr>
              <w:t>计量</w:t>
            </w:r>
          </w:p>
          <w:p>
            <w:pPr>
              <w:rPr>
                <w:rFonts w:hint="eastAsia" w:ascii="宋体" w:hAnsi="宋体" w:eastAsia="宋体" w:cs="宋体"/>
                <w:sz w:val="18"/>
                <w:szCs w:val="18"/>
              </w:rPr>
            </w:pPr>
            <w:r>
              <w:rPr>
                <w:rFonts w:hint="eastAsia" w:ascii="宋体" w:hAnsi="宋体" w:eastAsia="宋体" w:cs="宋体"/>
                <w:sz w:val="18"/>
                <w:szCs w:val="18"/>
              </w:rPr>
              <w:t>单位</w:t>
            </w:r>
          </w:p>
        </w:tc>
        <w:tc>
          <w:tcPr>
            <w:tcW w:w="1193" w:type="dxa"/>
            <w:vMerge w:val="restart"/>
            <w:tcBorders>
              <w:top w:val="single" w:color="000000" w:sz="10" w:space="0"/>
              <w:bottom w:val="nil"/>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工程数量</w:t>
            </w:r>
          </w:p>
        </w:tc>
        <w:tc>
          <w:tcPr>
            <w:tcW w:w="3983" w:type="dxa"/>
            <w:gridSpan w:val="3"/>
            <w:tcBorders>
              <w:top w:val="single" w:color="000000" w:sz="10" w:space="0"/>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vMerge w:val="continue"/>
            <w:tcBorders>
              <w:top w:val="nil"/>
              <w:left w:val="single" w:color="000000" w:sz="10" w:space="0"/>
            </w:tcBorders>
            <w:vAlign w:val="top"/>
          </w:tcPr>
          <w:p>
            <w:pPr>
              <w:rPr>
                <w:rFonts w:hint="eastAsia" w:ascii="宋体" w:hAnsi="宋体" w:eastAsia="宋体" w:cs="宋体"/>
                <w:sz w:val="18"/>
                <w:szCs w:val="18"/>
              </w:rPr>
            </w:pPr>
          </w:p>
        </w:tc>
        <w:tc>
          <w:tcPr>
            <w:tcW w:w="1855" w:type="dxa"/>
            <w:vMerge w:val="continue"/>
            <w:tcBorders>
              <w:top w:val="nil"/>
            </w:tcBorders>
            <w:vAlign w:val="top"/>
          </w:tcPr>
          <w:p>
            <w:pPr>
              <w:rPr>
                <w:rFonts w:hint="eastAsia" w:ascii="宋体" w:hAnsi="宋体" w:eastAsia="宋体" w:cs="宋体"/>
                <w:sz w:val="18"/>
                <w:szCs w:val="18"/>
              </w:rPr>
            </w:pPr>
          </w:p>
        </w:tc>
        <w:tc>
          <w:tcPr>
            <w:tcW w:w="1985" w:type="dxa"/>
            <w:vMerge w:val="continue"/>
            <w:tcBorders>
              <w:top w:val="nil"/>
            </w:tcBorders>
            <w:vAlign w:val="top"/>
          </w:tcPr>
          <w:p>
            <w:pPr>
              <w:rPr>
                <w:rFonts w:hint="eastAsia" w:ascii="宋体" w:hAnsi="宋体" w:eastAsia="宋体" w:cs="宋体"/>
                <w:sz w:val="18"/>
                <w:szCs w:val="18"/>
              </w:rPr>
            </w:pPr>
          </w:p>
        </w:tc>
        <w:tc>
          <w:tcPr>
            <w:tcW w:w="798" w:type="dxa"/>
            <w:vMerge w:val="continue"/>
            <w:tcBorders>
              <w:top w:val="nil"/>
            </w:tcBorders>
            <w:vAlign w:val="top"/>
          </w:tcPr>
          <w:p>
            <w:pPr>
              <w:rPr>
                <w:rFonts w:hint="eastAsia" w:ascii="宋体" w:hAnsi="宋体" w:eastAsia="宋体" w:cs="宋体"/>
                <w:sz w:val="18"/>
                <w:szCs w:val="18"/>
              </w:rPr>
            </w:pPr>
          </w:p>
        </w:tc>
        <w:tc>
          <w:tcPr>
            <w:tcW w:w="1193" w:type="dxa"/>
            <w:vMerge w:val="continue"/>
            <w:tcBorders>
              <w:top w:val="nil"/>
            </w:tcBorders>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综合单价</w:t>
            </w:r>
          </w:p>
        </w:tc>
        <w:tc>
          <w:tcPr>
            <w:tcW w:w="1459" w:type="dxa"/>
            <w:vAlign w:val="top"/>
          </w:tcPr>
          <w:p>
            <w:pPr>
              <w:rPr>
                <w:rFonts w:hint="eastAsia" w:ascii="宋体" w:hAnsi="宋体" w:eastAsia="宋体" w:cs="宋体"/>
                <w:sz w:val="18"/>
                <w:szCs w:val="18"/>
              </w:rPr>
            </w:pPr>
            <w:r>
              <w:rPr>
                <w:rFonts w:hint="eastAsia" w:ascii="宋体" w:hAnsi="宋体" w:eastAsia="宋体" w:cs="宋体"/>
                <w:sz w:val="18"/>
                <w:szCs w:val="18"/>
              </w:rPr>
              <w:t>合价</w:t>
            </w:r>
          </w:p>
        </w:tc>
        <w:tc>
          <w:tcPr>
            <w:tcW w:w="1331" w:type="dxa"/>
            <w:tcBorders>
              <w:righ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其中：</w:t>
            </w:r>
          </w:p>
          <w:p>
            <w:pPr>
              <w:rPr>
                <w:rFonts w:hint="eastAsia" w:ascii="宋体" w:hAnsi="宋体" w:eastAsia="宋体" w:cs="宋体"/>
                <w:sz w:val="18"/>
                <w:szCs w:val="18"/>
              </w:rPr>
            </w:pPr>
            <w:r>
              <w:rPr>
                <w:rFonts w:hint="eastAsia" w:ascii="宋体" w:hAnsi="宋体" w:eastAsia="宋体" w:cs="宋体"/>
                <w:sz w:val="18"/>
                <w:szCs w:val="18"/>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238</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050102001136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1.种类：金枝槐</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220-300cm   4.冠幅： 200-300cm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239</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050102001138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栽植乔木</w:t>
            </w:r>
          </w:p>
          <w:p>
            <w:pPr>
              <w:rPr>
                <w:rFonts w:hint="eastAsia" w:ascii="宋体" w:hAnsi="宋体" w:eastAsia="宋体" w:cs="宋体"/>
                <w:sz w:val="18"/>
                <w:szCs w:val="18"/>
              </w:rPr>
            </w:pPr>
            <w:r>
              <w:rPr>
                <w:rFonts w:hint="eastAsia" w:ascii="宋体" w:hAnsi="宋体" w:eastAsia="宋体" w:cs="宋体"/>
                <w:sz w:val="18"/>
                <w:szCs w:val="18"/>
              </w:rPr>
              <w:t>1.种类： 紫叶李</w:t>
            </w:r>
          </w:p>
          <w:p>
            <w:pPr>
              <w:rPr>
                <w:rFonts w:hint="eastAsia" w:ascii="宋体" w:hAnsi="宋体" w:eastAsia="宋体" w:cs="宋体"/>
                <w:sz w:val="18"/>
                <w:szCs w:val="18"/>
              </w:rPr>
            </w:pPr>
            <w:r>
              <w:rPr>
                <w:rFonts w:hint="eastAsia" w:ascii="宋体" w:hAnsi="宋体" w:eastAsia="宋体" w:cs="宋体"/>
                <w:sz w:val="18"/>
                <w:szCs w:val="18"/>
              </w:rPr>
              <w:t>2.胸径：D=8cm</w:t>
            </w:r>
          </w:p>
          <w:p>
            <w:pPr>
              <w:rPr>
                <w:rFonts w:hint="eastAsia" w:ascii="宋体" w:hAnsi="宋体" w:eastAsia="宋体" w:cs="宋体"/>
                <w:sz w:val="18"/>
                <w:szCs w:val="18"/>
              </w:rPr>
            </w:pPr>
            <w:r>
              <w:rPr>
                <w:rFonts w:hint="eastAsia" w:ascii="宋体" w:hAnsi="宋体" w:eastAsia="宋体" w:cs="宋体"/>
                <w:sz w:val="18"/>
                <w:szCs w:val="18"/>
              </w:rPr>
              <w:t>3.高度： 300-350cm   4.冠幅： 250-300cm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240</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050102002074</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高杆月季 2.胸径：D=8cm</w:t>
            </w:r>
          </w:p>
          <w:p>
            <w:pPr>
              <w:rPr>
                <w:rFonts w:hint="eastAsia" w:ascii="宋体" w:hAnsi="宋体" w:eastAsia="宋体" w:cs="宋体"/>
                <w:sz w:val="18"/>
                <w:szCs w:val="18"/>
              </w:rPr>
            </w:pPr>
            <w:r>
              <w:rPr>
                <w:rFonts w:hint="eastAsia" w:ascii="宋体" w:hAnsi="宋体" w:eastAsia="宋体" w:cs="宋体"/>
                <w:sz w:val="18"/>
                <w:szCs w:val="18"/>
              </w:rPr>
              <w:t>3.高度： 200-250cm   4.冠幅： 150-200cm   5.备注：全冠 ，姿佳 ,  枝叶茂盛 ，优质苗</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241</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050102002076</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大叶黄杨球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180cm</w:t>
            </w:r>
          </w:p>
          <w:p>
            <w:pPr>
              <w:rPr>
                <w:rFonts w:hint="eastAsia" w:ascii="宋体" w:hAnsi="宋体" w:eastAsia="宋体" w:cs="宋体"/>
                <w:sz w:val="18"/>
                <w:szCs w:val="18"/>
              </w:rPr>
            </w:pPr>
            <w:r>
              <w:rPr>
                <w:rFonts w:hint="eastAsia" w:ascii="宋体" w:hAnsi="宋体" w:eastAsia="宋体" w:cs="宋体"/>
                <w:sz w:val="18"/>
                <w:szCs w:val="18"/>
              </w:rPr>
              <w:t>4.冠幅： 180cm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675" w:type="dxa"/>
            <w:tcBorders>
              <w:left w:val="single" w:color="000000" w:sz="10" w:space="0"/>
            </w:tcBorders>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242</w:t>
            </w:r>
          </w:p>
        </w:tc>
        <w:tc>
          <w:tcPr>
            <w:tcW w:w="1855"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050102002075</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栽植灌木</w:t>
            </w:r>
          </w:p>
          <w:p>
            <w:pPr>
              <w:rPr>
                <w:rFonts w:hint="eastAsia" w:ascii="宋体" w:hAnsi="宋体" w:eastAsia="宋体" w:cs="宋体"/>
                <w:sz w:val="18"/>
                <w:szCs w:val="18"/>
              </w:rPr>
            </w:pPr>
            <w:r>
              <w:rPr>
                <w:rFonts w:hint="eastAsia" w:ascii="宋体" w:hAnsi="宋体" w:eastAsia="宋体" w:cs="宋体"/>
                <w:sz w:val="18"/>
                <w:szCs w:val="18"/>
              </w:rPr>
              <w:t>1.种类： 红叶石楠球</w:t>
            </w:r>
          </w:p>
          <w:p>
            <w:pPr>
              <w:rPr>
                <w:rFonts w:hint="eastAsia" w:ascii="宋体" w:hAnsi="宋体" w:eastAsia="宋体" w:cs="宋体"/>
                <w:sz w:val="18"/>
                <w:szCs w:val="18"/>
              </w:rPr>
            </w:pPr>
            <w:r>
              <w:rPr>
                <w:rFonts w:hint="eastAsia" w:ascii="宋体" w:hAnsi="宋体" w:eastAsia="宋体" w:cs="宋体"/>
                <w:sz w:val="18"/>
                <w:szCs w:val="18"/>
              </w:rPr>
              <w:t>2.地径：/</w:t>
            </w:r>
          </w:p>
          <w:p>
            <w:pPr>
              <w:rPr>
                <w:rFonts w:hint="eastAsia" w:ascii="宋体" w:hAnsi="宋体" w:eastAsia="宋体" w:cs="宋体"/>
                <w:sz w:val="18"/>
                <w:szCs w:val="18"/>
              </w:rPr>
            </w:pPr>
            <w:r>
              <w:rPr>
                <w:rFonts w:hint="eastAsia" w:ascii="宋体" w:hAnsi="宋体" w:eastAsia="宋体" w:cs="宋体"/>
                <w:sz w:val="18"/>
                <w:szCs w:val="18"/>
              </w:rPr>
              <w:t>3.高度： 150cm</w:t>
            </w:r>
          </w:p>
          <w:p>
            <w:pPr>
              <w:rPr>
                <w:rFonts w:hint="eastAsia" w:ascii="宋体" w:hAnsi="宋体" w:eastAsia="宋体" w:cs="宋体"/>
                <w:sz w:val="18"/>
                <w:szCs w:val="18"/>
              </w:rPr>
            </w:pPr>
            <w:r>
              <w:rPr>
                <w:rFonts w:hint="eastAsia" w:ascii="宋体" w:hAnsi="宋体" w:eastAsia="宋体" w:cs="宋体"/>
                <w:sz w:val="18"/>
                <w:szCs w:val="18"/>
              </w:rPr>
              <w:t>4.冠幅： 150cm</w:t>
            </w:r>
          </w:p>
          <w:p>
            <w:pPr>
              <w:rPr>
                <w:rFonts w:hint="eastAsia" w:ascii="宋体" w:hAnsi="宋体" w:eastAsia="宋体" w:cs="宋体"/>
                <w:sz w:val="18"/>
                <w:szCs w:val="18"/>
              </w:rPr>
            </w:pPr>
            <w:r>
              <w:rPr>
                <w:rFonts w:hint="eastAsia" w:ascii="宋体" w:hAnsi="宋体" w:eastAsia="宋体" w:cs="宋体"/>
                <w:sz w:val="18"/>
                <w:szCs w:val="18"/>
              </w:rPr>
              <w:t>5.备注：光球 ，姿佳 ,  球形密实 ，不脱脚</w:t>
            </w:r>
          </w:p>
        </w:tc>
        <w:tc>
          <w:tcPr>
            <w:tcW w:w="798"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株</w:t>
            </w:r>
          </w:p>
        </w:tc>
        <w:tc>
          <w:tcPr>
            <w:tcW w:w="1193" w:type="dxa"/>
            <w:vAlign w:val="top"/>
          </w:tcPr>
          <w:p>
            <w:pPr>
              <w:rPr>
                <w:rFonts w:hint="eastAsia" w:ascii="宋体" w:hAnsi="宋体" w:eastAsia="宋体" w:cs="宋体"/>
                <w:sz w:val="18"/>
                <w:szCs w:val="18"/>
              </w:rPr>
            </w:pPr>
          </w:p>
          <w:p>
            <w:pPr>
              <w:rPr>
                <w:rFonts w:hint="eastAsia" w:ascii="宋体" w:hAnsi="宋体" w:eastAsia="宋体" w:cs="宋体"/>
                <w:sz w:val="18"/>
                <w:szCs w:val="18"/>
              </w:rPr>
            </w:pPr>
          </w:p>
          <w:p>
            <w:pPr>
              <w:rPr>
                <w:rFonts w:hint="eastAsia" w:ascii="宋体" w:hAnsi="宋体" w:eastAsia="宋体" w:cs="宋体"/>
                <w:sz w:val="18"/>
                <w:szCs w:val="18"/>
              </w:rPr>
            </w:pPr>
            <w:r>
              <w:rPr>
                <w:rFonts w:hint="eastAsia" w:ascii="宋体" w:hAnsi="宋体" w:eastAsia="宋体" w:cs="宋体"/>
                <w:sz w:val="18"/>
                <w:szCs w:val="18"/>
              </w:rPr>
              <w:t>36.000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5" w:type="dxa"/>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243</w:t>
            </w:r>
          </w:p>
        </w:tc>
        <w:tc>
          <w:tcPr>
            <w:tcW w:w="1855" w:type="dxa"/>
            <w:vAlign w:val="top"/>
          </w:tcPr>
          <w:p>
            <w:pPr>
              <w:rPr>
                <w:rFonts w:hint="eastAsia" w:ascii="宋体" w:hAnsi="宋体" w:eastAsia="宋体" w:cs="宋体"/>
                <w:sz w:val="18"/>
                <w:szCs w:val="18"/>
              </w:rPr>
            </w:pPr>
            <w:r>
              <w:rPr>
                <w:rFonts w:hint="eastAsia" w:ascii="宋体" w:hAnsi="宋体" w:eastAsia="宋体" w:cs="宋体"/>
                <w:sz w:val="18"/>
                <w:szCs w:val="18"/>
              </w:rPr>
              <w:t>050102013008</w:t>
            </w: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喷播植草（灌木）籽 1.种类： 暖季型混播</w:t>
            </w:r>
          </w:p>
        </w:tc>
        <w:tc>
          <w:tcPr>
            <w:tcW w:w="798" w:type="dxa"/>
            <w:vAlign w:val="top"/>
          </w:tcPr>
          <w:p>
            <w:pPr>
              <w:rPr>
                <w:rFonts w:hint="eastAsia" w:ascii="宋体" w:hAnsi="宋体" w:eastAsia="宋体" w:cs="宋体"/>
                <w:sz w:val="18"/>
                <w:szCs w:val="18"/>
              </w:rPr>
            </w:pPr>
            <w:r>
              <w:rPr>
                <w:rFonts w:hint="eastAsia" w:ascii="宋体" w:hAnsi="宋体" w:eastAsia="宋体" w:cs="宋体"/>
                <w:sz w:val="18"/>
                <w:szCs w:val="18"/>
              </w:rPr>
              <w:t>m2</w:t>
            </w:r>
          </w:p>
        </w:tc>
        <w:tc>
          <w:tcPr>
            <w:tcW w:w="1193" w:type="dxa"/>
            <w:vAlign w:val="top"/>
          </w:tcPr>
          <w:p>
            <w:pPr>
              <w:rPr>
                <w:rFonts w:hint="eastAsia" w:ascii="宋体" w:hAnsi="宋体" w:eastAsia="宋体" w:cs="宋体"/>
                <w:sz w:val="18"/>
                <w:szCs w:val="18"/>
              </w:rPr>
            </w:pPr>
            <w:r>
              <w:rPr>
                <w:rFonts w:hint="eastAsia" w:ascii="宋体" w:hAnsi="宋体" w:eastAsia="宋体" w:cs="宋体"/>
                <w:sz w:val="18"/>
                <w:szCs w:val="18"/>
              </w:rPr>
              <w:t>6300.000</w:t>
            </w: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r>
              <w:rPr>
                <w:rFonts w:hint="eastAsia" w:ascii="宋体" w:hAnsi="宋体" w:eastAsia="宋体" w:cs="宋体"/>
                <w:sz w:val="18"/>
                <w:szCs w:val="18"/>
              </w:rPr>
              <w:t>分部小计</w:t>
            </w: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75" w:type="dxa"/>
            <w:tcBorders>
              <w:left w:val="single" w:color="000000" w:sz="10" w:space="0"/>
            </w:tcBorders>
            <w:vAlign w:val="top"/>
          </w:tcPr>
          <w:p>
            <w:pPr>
              <w:rPr>
                <w:rFonts w:hint="eastAsia" w:ascii="宋体" w:hAnsi="宋体" w:eastAsia="宋体" w:cs="宋体"/>
                <w:sz w:val="18"/>
                <w:szCs w:val="18"/>
              </w:rPr>
            </w:pPr>
          </w:p>
        </w:tc>
        <w:tc>
          <w:tcPr>
            <w:tcW w:w="1855" w:type="dxa"/>
            <w:vAlign w:val="top"/>
          </w:tcPr>
          <w:p>
            <w:pPr>
              <w:rPr>
                <w:rFonts w:hint="eastAsia" w:ascii="宋体" w:hAnsi="宋体" w:eastAsia="宋体" w:cs="宋体"/>
                <w:sz w:val="18"/>
                <w:szCs w:val="18"/>
              </w:rPr>
            </w:pPr>
          </w:p>
        </w:tc>
        <w:tc>
          <w:tcPr>
            <w:tcW w:w="1985" w:type="dxa"/>
            <w:vAlign w:val="top"/>
          </w:tcPr>
          <w:p>
            <w:pPr>
              <w:rPr>
                <w:rFonts w:hint="eastAsia" w:ascii="宋体" w:hAnsi="宋体" w:eastAsia="宋体" w:cs="宋体"/>
                <w:sz w:val="18"/>
                <w:szCs w:val="18"/>
              </w:rPr>
            </w:pPr>
          </w:p>
        </w:tc>
        <w:tc>
          <w:tcPr>
            <w:tcW w:w="798"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193" w:type="dxa"/>
            <w:vAlign w:val="top"/>
          </w:tcPr>
          <w:p>
            <w:pPr>
              <w:rPr>
                <w:rFonts w:hint="eastAsia" w:ascii="宋体" w:hAnsi="宋体" w:eastAsia="宋体" w:cs="宋体"/>
                <w:sz w:val="18"/>
                <w:szCs w:val="18"/>
              </w:rPr>
            </w:pP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7699" w:type="dxa"/>
            <w:gridSpan w:val="6"/>
            <w:tcBorders>
              <w:left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本页小计</w:t>
            </w:r>
          </w:p>
        </w:tc>
        <w:tc>
          <w:tcPr>
            <w:tcW w:w="1459" w:type="dxa"/>
            <w:vAlign w:val="top"/>
          </w:tcPr>
          <w:p>
            <w:pPr>
              <w:rPr>
                <w:rFonts w:hint="eastAsia" w:ascii="宋体" w:hAnsi="宋体" w:eastAsia="宋体" w:cs="宋体"/>
                <w:sz w:val="18"/>
                <w:szCs w:val="18"/>
              </w:rPr>
            </w:pPr>
          </w:p>
        </w:tc>
        <w:tc>
          <w:tcPr>
            <w:tcW w:w="1331" w:type="dxa"/>
            <w:tcBorders>
              <w:right w:val="single" w:color="000000" w:sz="10" w:space="0"/>
            </w:tcBorders>
            <w:vAlign w:val="top"/>
          </w:tcPr>
          <w:p>
            <w:pPr>
              <w:rPr>
                <w:rFonts w:hint="eastAsia" w:ascii="宋体" w:hAnsi="宋体" w:eastAsia="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99" w:type="dxa"/>
            <w:gridSpan w:val="6"/>
            <w:tcBorders>
              <w:left w:val="single" w:color="000000" w:sz="10" w:space="0"/>
              <w:bottom w:val="single" w:color="000000" w:sz="10" w:space="0"/>
            </w:tcBorders>
            <w:vAlign w:val="top"/>
          </w:tcPr>
          <w:p>
            <w:pPr>
              <w:rPr>
                <w:rFonts w:hint="eastAsia" w:ascii="宋体" w:hAnsi="宋体" w:eastAsia="宋体" w:cs="宋体"/>
                <w:sz w:val="18"/>
                <w:szCs w:val="18"/>
              </w:rPr>
            </w:pPr>
            <w:r>
              <w:rPr>
                <w:rFonts w:hint="eastAsia" w:ascii="宋体" w:hAnsi="宋体" w:eastAsia="宋体" w:cs="宋体"/>
                <w:sz w:val="18"/>
                <w:szCs w:val="18"/>
              </w:rPr>
              <w:t>合       计</w:t>
            </w:r>
          </w:p>
        </w:tc>
        <w:tc>
          <w:tcPr>
            <w:tcW w:w="1459" w:type="dxa"/>
            <w:tcBorders>
              <w:bottom w:val="single" w:color="000000" w:sz="10" w:space="0"/>
            </w:tcBorders>
            <w:vAlign w:val="top"/>
          </w:tcPr>
          <w:p>
            <w:pPr>
              <w:rPr>
                <w:rFonts w:hint="eastAsia" w:ascii="宋体" w:hAnsi="宋体" w:eastAsia="宋体" w:cs="宋体"/>
                <w:sz w:val="18"/>
                <w:szCs w:val="18"/>
              </w:rPr>
            </w:pPr>
          </w:p>
        </w:tc>
        <w:tc>
          <w:tcPr>
            <w:tcW w:w="1331" w:type="dxa"/>
            <w:tcBorders>
              <w:bottom w:val="single" w:color="000000" w:sz="10" w:space="0"/>
              <w:right w:val="single" w:color="000000" w:sz="10" w:space="0"/>
            </w:tcBorders>
            <w:vAlign w:val="top"/>
          </w:tcPr>
          <w:p>
            <w:pPr>
              <w:rPr>
                <w:rFonts w:hint="eastAsia" w:ascii="宋体" w:hAnsi="宋体" w:eastAsia="宋体" w:cs="宋体"/>
                <w:sz w:val="18"/>
                <w:szCs w:val="18"/>
              </w:rPr>
            </w:pPr>
          </w:p>
        </w:tc>
      </w:tr>
    </w:tbl>
    <w:p>
      <w:pPr>
        <w:jc w:val="right"/>
        <w:rPr>
          <w:rFonts w:hint="eastAsia" w:ascii="宋体" w:hAnsi="宋体" w:eastAsia="宋体" w:cs="宋体"/>
          <w:sz w:val="18"/>
          <w:szCs w:val="18"/>
        </w:rPr>
      </w:pPr>
      <w:r>
        <w:rPr>
          <w:rFonts w:hint="eastAsia" w:ascii="宋体" w:hAnsi="宋体" w:eastAsia="宋体" w:cs="宋体"/>
          <w:sz w:val="18"/>
          <w:szCs w:val="18"/>
        </w:rPr>
        <w:t>【新点2013清 单 造 价 山 东 版  V10 . 3 . 6】</w:t>
      </w:r>
    </w:p>
    <w:p>
      <w:pPr>
        <w:rPr>
          <w:rFonts w:hint="eastAsia" w:ascii="宋体" w:hAnsi="宋体" w:eastAsia="宋体" w:cs="宋体"/>
          <w:sz w:val="18"/>
          <w:szCs w:val="18"/>
          <w:lang w:val="en-US" w:eastAsia="zh-CN"/>
        </w:rPr>
        <w:sectPr>
          <w:pgSz w:w="11905" w:h="16838"/>
          <w:pgMar w:top="567" w:right="567" w:bottom="567" w:left="567" w:header="1191" w:footer="1077" w:gutter="0"/>
          <w:pgNumType w:fmt="decimal"/>
          <w:cols w:space="0" w:num="1"/>
          <w:titlePg/>
          <w:rtlGutter w:val="0"/>
          <w:docGrid w:linePitch="312" w:charSpace="0"/>
        </w:sectPr>
      </w:pPr>
    </w:p>
    <w:p>
      <w:pPr>
        <w:pStyle w:val="463"/>
        <w:spacing w:line="360" w:lineRule="auto"/>
        <w:rPr>
          <w:rFonts w:hint="eastAsia" w:ascii="宋体" w:hAnsi="宋体" w:cs="宋体"/>
          <w:b/>
          <w:bCs w:val="0"/>
          <w:kern w:val="0"/>
          <w:sz w:val="24"/>
          <w:szCs w:val="24"/>
          <w:highlight w:val="none"/>
          <w:lang w:val="en-US" w:eastAsia="zh-CN" w:bidi="ar-SA"/>
        </w:rPr>
      </w:pPr>
    </w:p>
    <w:p>
      <w:pPr>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第四部分  开标、评标、定标</w:t>
      </w:r>
      <w:bookmarkEnd w:id="42"/>
      <w:bookmarkEnd w:id="43"/>
      <w:bookmarkEnd w:id="44"/>
    </w:p>
    <w:p>
      <w:pPr>
        <w:spacing w:before="60" w:after="60"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1、开标时间及地点</w:t>
      </w:r>
    </w:p>
    <w:p>
      <w:pPr>
        <w:keepNext w:val="0"/>
        <w:keepLines w:val="0"/>
        <w:pageBreakBefore w:val="0"/>
        <w:kinsoku/>
        <w:wordWrap/>
        <w:overflowPunct/>
        <w:topLinePunct w:val="0"/>
        <w:autoSpaceDE/>
        <w:autoSpaceDN/>
        <w:bidi w:val="0"/>
        <w:adjustRightInd/>
        <w:snapToGrid/>
        <w:spacing w:line="360" w:lineRule="auto"/>
        <w:ind w:firstLine="720" w:firstLineChars="300"/>
        <w:rPr>
          <w:rFonts w:hint="eastAsia" w:ascii="宋体" w:hAnsi="宋体" w:eastAsia="宋体" w:cs="宋体"/>
          <w:b/>
          <w:bCs/>
          <w:sz w:val="24"/>
          <w:szCs w:val="24"/>
          <w:highlight w:val="none"/>
          <w:lang w:eastAsia="zh-CN"/>
        </w:rPr>
      </w:pPr>
      <w:r>
        <w:rPr>
          <w:rFonts w:hint="eastAsia" w:ascii="宋体" w:hAnsi="宋体" w:cs="宋体"/>
          <w:color w:val="000000" w:themeColor="text1"/>
          <w:sz w:val="24"/>
          <w:szCs w:val="24"/>
          <w:highlight w:val="none"/>
          <w:lang w:eastAsia="zh-CN"/>
          <w14:textFill>
            <w14:solidFill>
              <w14:schemeClr w14:val="tx1"/>
            </w14:solidFill>
          </w14:textFill>
        </w:rPr>
        <w:t>详见招标公告</w:t>
      </w:r>
      <w:r>
        <w:rPr>
          <w:rFonts w:hint="eastAsia" w:ascii="宋体" w:hAnsi="宋体" w:eastAsia="宋体" w:cs="宋体"/>
          <w:b/>
          <w:bCs/>
          <w:sz w:val="24"/>
          <w:szCs w:val="24"/>
          <w:highlight w:val="none"/>
          <w:lang w:eastAsia="zh-CN"/>
        </w:rPr>
        <w:t>。</w:t>
      </w:r>
    </w:p>
    <w:p>
      <w:pPr>
        <w:spacing w:before="60" w:after="60"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2、开标时间、地点开标形式及解密时间</w:t>
      </w:r>
    </w:p>
    <w:p>
      <w:pPr>
        <w:spacing w:before="60" w:after="60" w:line="360" w:lineRule="auto"/>
        <w:ind w:left="0" w:leftChars="0" w:firstLine="420" w:firstLineChars="17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开标时间：同投标截止时间</w:t>
      </w:r>
    </w:p>
    <w:p>
      <w:pPr>
        <w:spacing w:before="60" w:after="60" w:line="360" w:lineRule="auto"/>
        <w:ind w:left="0" w:leftChars="0" w:firstLine="420" w:firstLineChars="17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开标地点：聊城市公共资源交易中心不见面网上开标大厅。</w:t>
      </w:r>
    </w:p>
    <w:p>
      <w:pPr>
        <w:spacing w:before="60" w:after="60" w:line="360" w:lineRule="auto"/>
        <w:ind w:left="0" w:leftChars="0" w:firstLine="420" w:firstLineChars="17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签到时间：投标企业需在开标前登录不见面开标大厅，并完成签到工作，未在开标前完成签到的投标被拒绝且投标文件被退回。</w:t>
      </w:r>
    </w:p>
    <w:p>
      <w:pPr>
        <w:spacing w:before="60" w:after="60" w:line="360" w:lineRule="auto"/>
        <w:ind w:left="0" w:leftChars="0" w:firstLine="420" w:firstLineChars="17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解密时间：投标企业需提前60分钟登录不见面开标大厅，因投标人自身原因导致在规定的解密时间（从投标人解密环节开始计时，每个投标人限30分钟）内解密失败的，其投标被拒绝且投标文件被退回。 </w:t>
      </w:r>
    </w:p>
    <w:p>
      <w:pPr>
        <w:spacing w:before="60" w:after="60" w:line="360" w:lineRule="auto"/>
        <w:ind w:left="0" w:leftChars="0" w:firstLine="420" w:firstLineChars="17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投标企业对线上</w:t>
      </w:r>
      <w:r>
        <w:rPr>
          <w:rFonts w:hint="eastAsia" w:ascii="宋体" w:hAnsi="宋体" w:cs="宋体"/>
          <w:sz w:val="24"/>
          <w:szCs w:val="24"/>
          <w:highlight w:val="none"/>
          <w:lang w:val="en-US" w:eastAsia="zh-CN"/>
        </w:rPr>
        <w:t>投标</w:t>
      </w:r>
      <w:r>
        <w:rPr>
          <w:rFonts w:hint="eastAsia" w:ascii="宋体" w:hAnsi="宋体" w:eastAsia="宋体" w:cs="宋体"/>
          <w:sz w:val="24"/>
          <w:szCs w:val="24"/>
          <w:highlight w:val="none"/>
          <w:lang w:val="en-US" w:eastAsia="zh-CN"/>
        </w:rPr>
        <w:t>文件开启过程和开标记录有异议的，可在不见面开标大厅互动交流板块提出并询问，如未提出异议视为认同开标结果。</w:t>
      </w:r>
    </w:p>
    <w:p>
      <w:pPr>
        <w:spacing w:before="60" w:after="60" w:line="360" w:lineRule="auto"/>
        <w:ind w:left="0" w:leftChars="0" w:firstLine="420" w:firstLineChars="17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其他要求：评标过程中产生的所有数值均保留2位小数，不四舍五入。无效标投标人的投标报价不计入评标基准价的计算。</w:t>
      </w:r>
    </w:p>
    <w:p>
      <w:pPr>
        <w:spacing w:before="60" w:after="60" w:line="360" w:lineRule="auto"/>
        <w:ind w:left="0" w:leftChars="0" w:firstLine="420" w:firstLineChars="17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3、电子招投标的应急措施</w:t>
      </w:r>
    </w:p>
    <w:p>
      <w:pPr>
        <w:pStyle w:val="128"/>
        <w:numPr>
          <w:ilvl w:val="0"/>
          <w:numId w:val="0"/>
        </w:numPr>
        <w:tabs>
          <w:tab w:val="left" w:pos="1262"/>
        </w:tabs>
        <w:spacing w:before="0" w:after="0" w:line="360" w:lineRule="auto"/>
        <w:ind w:right="0" w:righ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在不见面开标过程中，如出现下列原因，导致系统无法正常运行或无法正常评标时，应采取应急措施。</w:t>
      </w:r>
    </w:p>
    <w:p>
      <w:pPr>
        <w:pStyle w:val="128"/>
        <w:numPr>
          <w:ilvl w:val="0"/>
          <w:numId w:val="0"/>
        </w:numPr>
        <w:tabs>
          <w:tab w:val="left" w:pos="1262"/>
        </w:tabs>
        <w:spacing w:before="0" w:after="0" w:line="360" w:lineRule="auto"/>
        <w:ind w:right="0" w:righ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（1）系统服务器发生故障，无法访问或无法使用系统；</w:t>
      </w:r>
    </w:p>
    <w:p>
      <w:pPr>
        <w:pStyle w:val="128"/>
        <w:numPr>
          <w:ilvl w:val="0"/>
          <w:numId w:val="0"/>
        </w:numPr>
        <w:tabs>
          <w:tab w:val="left" w:pos="1262"/>
        </w:tabs>
        <w:spacing w:before="0" w:after="0" w:line="360" w:lineRule="auto"/>
        <w:ind w:right="0" w:righ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（2）系统的软件或数据库出现错误，不能进行正常操作；</w:t>
      </w:r>
    </w:p>
    <w:p>
      <w:pPr>
        <w:pStyle w:val="128"/>
        <w:numPr>
          <w:ilvl w:val="0"/>
          <w:numId w:val="0"/>
        </w:numPr>
        <w:tabs>
          <w:tab w:val="left" w:pos="1262"/>
        </w:tabs>
        <w:spacing w:before="0" w:after="0" w:line="360" w:lineRule="auto"/>
        <w:ind w:right="0" w:righ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（3）系统发现有安全漏洞，有潜在的泄密危险；</w:t>
      </w:r>
    </w:p>
    <w:p>
      <w:pPr>
        <w:pStyle w:val="128"/>
        <w:numPr>
          <w:ilvl w:val="0"/>
          <w:numId w:val="0"/>
        </w:numPr>
        <w:tabs>
          <w:tab w:val="left" w:pos="1262"/>
        </w:tabs>
        <w:spacing w:before="0" w:after="0" w:line="360" w:lineRule="auto"/>
        <w:ind w:right="0" w:righ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（4）病毒发作或受到外来病毒的攻击；</w:t>
      </w:r>
    </w:p>
    <w:p>
      <w:pPr>
        <w:pStyle w:val="128"/>
        <w:numPr>
          <w:ilvl w:val="0"/>
          <w:numId w:val="0"/>
        </w:numPr>
        <w:tabs>
          <w:tab w:val="left" w:pos="1262"/>
        </w:tabs>
        <w:spacing w:before="0" w:after="0" w:line="360" w:lineRule="auto"/>
        <w:ind w:right="0" w:righ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（5）电力系统发生故障导致交易系统无法运行的；</w:t>
      </w:r>
    </w:p>
    <w:p>
      <w:pPr>
        <w:pStyle w:val="128"/>
        <w:numPr>
          <w:ilvl w:val="0"/>
          <w:numId w:val="0"/>
        </w:numPr>
        <w:tabs>
          <w:tab w:val="left" w:pos="1262"/>
        </w:tabs>
        <w:spacing w:before="0" w:after="0" w:line="360" w:lineRule="auto"/>
        <w:ind w:right="0" w:rightChars="0" w:firstLine="482" w:firstLineChars="200"/>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（6）出现其他非投标人（</w:t>
      </w:r>
      <w:r>
        <w:rPr>
          <w:rFonts w:hint="eastAsia" w:ascii="宋体" w:hAnsi="宋体" w:cs="宋体"/>
          <w:b/>
          <w:bCs/>
          <w:sz w:val="24"/>
          <w:szCs w:val="24"/>
          <w:highlight w:val="none"/>
          <w:lang w:val="en-US" w:eastAsia="zh-CN"/>
        </w:rPr>
        <w:t>投标人</w:t>
      </w:r>
      <w:r>
        <w:rPr>
          <w:rFonts w:hint="eastAsia" w:ascii="宋体" w:hAnsi="宋体" w:eastAsia="宋体" w:cs="宋体"/>
          <w:b/>
          <w:bCs/>
          <w:sz w:val="24"/>
          <w:szCs w:val="24"/>
          <w:highlight w:val="none"/>
          <w:lang w:val="en-US" w:eastAsia="zh-CN"/>
        </w:rPr>
        <w:t>）原因导致开标活动无法正常进行的不可抗拒的客观原因造成开评标系统无法正常使用；</w:t>
      </w:r>
    </w:p>
    <w:p>
      <w:pPr>
        <w:pStyle w:val="128"/>
        <w:numPr>
          <w:ilvl w:val="0"/>
          <w:numId w:val="0"/>
        </w:numPr>
        <w:tabs>
          <w:tab w:val="left" w:pos="1262"/>
        </w:tabs>
        <w:spacing w:before="0" w:after="0" w:line="360" w:lineRule="auto"/>
        <w:ind w:right="0" w:righ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不能及时解决的，应由招标（采购）人、监管部门和交易中心及时进行协商。可以采取以下办法处理：</w:t>
      </w:r>
    </w:p>
    <w:p>
      <w:pPr>
        <w:pStyle w:val="128"/>
        <w:numPr>
          <w:ilvl w:val="0"/>
          <w:numId w:val="0"/>
        </w:numPr>
        <w:tabs>
          <w:tab w:val="left" w:pos="1262"/>
        </w:tabs>
        <w:spacing w:before="0" w:after="0" w:line="360" w:lineRule="auto"/>
        <w:ind w:right="0" w:righ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（1）项目暂停，系统或网络故障在三个小时内排除并通过可靠测试的，恢复系统运行并重新启动在系统中实施暂停的项目开标；</w:t>
      </w:r>
    </w:p>
    <w:p>
      <w:pPr>
        <w:spacing w:before="60" w:after="60" w:line="360" w:lineRule="auto"/>
        <w:ind w:left="0" w:leftChars="0" w:firstLine="420" w:firstLineChars="175"/>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（2）系统或网络故障在三个小时内未能排除的，已在线解密的，继续进行开标或视情况另行通知不见面开标时间；未解密的，另行通知不见面开标时间。</w:t>
      </w:r>
    </w:p>
    <w:p>
      <w:pPr>
        <w:pStyle w:val="45"/>
        <w:spacing w:line="360" w:lineRule="auto"/>
        <w:ind w:left="0" w:leftChars="0" w:firstLine="0" w:firstLineChars="0"/>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二、评标委员会</w:t>
      </w:r>
    </w:p>
    <w:p>
      <w:pPr>
        <w:pStyle w:val="45"/>
        <w:spacing w:line="360" w:lineRule="auto"/>
        <w:ind w:left="0" w:leftChars="0" w:firstLine="480" w:firstLineChars="200"/>
        <w:rPr>
          <w:rFonts w:hint="eastAsia"/>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招标人将依法根据本次招标的特点抽选专家并组建评标委员会。评标委员会由五人或以上单数组成，其中经济、技术等方面的专家不少于三分之二。评标委员会负责对投标文件进行审查、质疑、评审，确定合格的投标人、中标候选人。</w:t>
      </w:r>
    </w:p>
    <w:p>
      <w:pPr>
        <w:pStyle w:val="45"/>
        <w:spacing w:line="360" w:lineRule="auto"/>
        <w:ind w:left="0" w:leftChars="0" w:firstLine="0" w:firstLineChars="0"/>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参加过采购项目前期咨询论证的评审专家，不得再参加该采购项目的评审活动。各级财政部门政府采购监督管理在职工作人员、</w:t>
      </w:r>
      <w:r>
        <w:rPr>
          <w:rFonts w:hint="eastAsia"/>
          <w:b w:val="0"/>
          <w:bCs/>
          <w:color w:val="000000" w:themeColor="text1"/>
          <w:sz w:val="24"/>
          <w:szCs w:val="24"/>
          <w:highlight w:val="none"/>
          <w:lang w:eastAsia="zh-CN"/>
          <w14:textFill>
            <w14:solidFill>
              <w14:schemeClr w14:val="tx1"/>
            </w14:solidFill>
          </w14:textFill>
        </w:rPr>
        <w:t>招标代理机构</w:t>
      </w:r>
      <w:r>
        <w:rPr>
          <w:rFonts w:hint="eastAsia"/>
          <w:b w:val="0"/>
          <w:bCs/>
          <w:color w:val="000000" w:themeColor="text1"/>
          <w:sz w:val="24"/>
          <w:szCs w:val="24"/>
          <w:highlight w:val="none"/>
          <w14:textFill>
            <w14:solidFill>
              <w14:schemeClr w14:val="tx1"/>
            </w14:solidFill>
          </w14:textFill>
        </w:rPr>
        <w:t>在职工作人员不得以评审专家身份参与政府采购项目评审活动。</w:t>
      </w:r>
    </w:p>
    <w:p>
      <w:pPr>
        <w:pStyle w:val="45"/>
        <w:spacing w:line="360" w:lineRule="auto"/>
        <w:ind w:left="0" w:leftChars="0" w:firstLine="0" w:firstLineChars="0"/>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评标委员会成员有下列情形之一的，应当回避：</w:t>
      </w:r>
    </w:p>
    <w:p>
      <w:pPr>
        <w:pStyle w:val="45"/>
        <w:spacing w:line="360" w:lineRule="auto"/>
        <w:ind w:left="0" w:leftChars="0" w:firstLine="0" w:firstLineChars="0"/>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（1）参加采购活动前3年内与</w:t>
      </w:r>
      <w:r>
        <w:rPr>
          <w:rFonts w:hint="eastAsia"/>
          <w:b w:val="0"/>
          <w:bCs/>
          <w:color w:val="000000" w:themeColor="text1"/>
          <w:sz w:val="24"/>
          <w:szCs w:val="24"/>
          <w:highlight w:val="none"/>
          <w:lang w:val="en-US" w:eastAsia="zh-CN"/>
          <w14:textFill>
            <w14:solidFill>
              <w14:schemeClr w14:val="tx1"/>
            </w14:solidFill>
          </w14:textFill>
        </w:rPr>
        <w:t>投标人</w:t>
      </w:r>
      <w:r>
        <w:rPr>
          <w:rFonts w:hint="eastAsia"/>
          <w:b w:val="0"/>
          <w:bCs/>
          <w:color w:val="000000" w:themeColor="text1"/>
          <w:sz w:val="24"/>
          <w:szCs w:val="24"/>
          <w:highlight w:val="none"/>
          <w14:textFill>
            <w14:solidFill>
              <w14:schemeClr w14:val="tx1"/>
            </w14:solidFill>
          </w14:textFill>
        </w:rPr>
        <w:t>存在劳动关系，或担任过</w:t>
      </w:r>
      <w:r>
        <w:rPr>
          <w:rFonts w:hint="eastAsia"/>
          <w:b w:val="0"/>
          <w:bCs/>
          <w:color w:val="000000" w:themeColor="text1"/>
          <w:sz w:val="24"/>
          <w:szCs w:val="24"/>
          <w:highlight w:val="none"/>
          <w:lang w:val="en-US" w:eastAsia="zh-CN"/>
          <w14:textFill>
            <w14:solidFill>
              <w14:schemeClr w14:val="tx1"/>
            </w14:solidFill>
          </w14:textFill>
        </w:rPr>
        <w:t>投标人</w:t>
      </w:r>
      <w:r>
        <w:rPr>
          <w:rFonts w:hint="eastAsia"/>
          <w:b w:val="0"/>
          <w:bCs/>
          <w:color w:val="000000" w:themeColor="text1"/>
          <w:sz w:val="24"/>
          <w:szCs w:val="24"/>
          <w:highlight w:val="none"/>
          <w14:textFill>
            <w14:solidFill>
              <w14:schemeClr w14:val="tx1"/>
            </w14:solidFill>
          </w14:textFill>
        </w:rPr>
        <w:t>的董事、监事，或为</w:t>
      </w:r>
      <w:r>
        <w:rPr>
          <w:rFonts w:hint="eastAsia"/>
          <w:b w:val="0"/>
          <w:bCs/>
          <w:color w:val="000000" w:themeColor="text1"/>
          <w:sz w:val="24"/>
          <w:szCs w:val="24"/>
          <w:highlight w:val="none"/>
          <w:lang w:val="en-US" w:eastAsia="zh-CN"/>
          <w14:textFill>
            <w14:solidFill>
              <w14:schemeClr w14:val="tx1"/>
            </w14:solidFill>
          </w14:textFill>
        </w:rPr>
        <w:t>投标人</w:t>
      </w:r>
      <w:r>
        <w:rPr>
          <w:rFonts w:hint="eastAsia"/>
          <w:b w:val="0"/>
          <w:bCs/>
          <w:color w:val="000000" w:themeColor="text1"/>
          <w:sz w:val="24"/>
          <w:szCs w:val="24"/>
          <w:highlight w:val="none"/>
          <w14:textFill>
            <w14:solidFill>
              <w14:schemeClr w14:val="tx1"/>
            </w14:solidFill>
          </w14:textFill>
        </w:rPr>
        <w:t>的控股股东或实际控制人。</w:t>
      </w:r>
    </w:p>
    <w:p>
      <w:pPr>
        <w:pStyle w:val="45"/>
        <w:spacing w:line="360" w:lineRule="auto"/>
        <w:ind w:left="0" w:leftChars="0" w:firstLine="0" w:firstLineChars="0"/>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（2）与</w:t>
      </w:r>
      <w:r>
        <w:rPr>
          <w:rFonts w:hint="eastAsia"/>
          <w:b w:val="0"/>
          <w:bCs/>
          <w:color w:val="000000" w:themeColor="text1"/>
          <w:sz w:val="24"/>
          <w:szCs w:val="24"/>
          <w:highlight w:val="none"/>
          <w:lang w:val="en-US" w:eastAsia="zh-CN"/>
          <w14:textFill>
            <w14:solidFill>
              <w14:schemeClr w14:val="tx1"/>
            </w14:solidFill>
          </w14:textFill>
        </w:rPr>
        <w:t>投标人</w:t>
      </w:r>
      <w:r>
        <w:rPr>
          <w:rFonts w:hint="eastAsia"/>
          <w:b w:val="0"/>
          <w:bCs/>
          <w:color w:val="000000" w:themeColor="text1"/>
          <w:sz w:val="24"/>
          <w:szCs w:val="24"/>
          <w:highlight w:val="none"/>
          <w14:textFill>
            <w14:solidFill>
              <w14:schemeClr w14:val="tx1"/>
            </w14:solidFill>
          </w14:textFill>
        </w:rPr>
        <w:t>的法定代表人或负责人有夫妻关系、直系血亲、三代以内旁系血亲、近姻亲关系或有其他经济利益关系。</w:t>
      </w:r>
    </w:p>
    <w:p>
      <w:pPr>
        <w:pStyle w:val="45"/>
        <w:spacing w:line="360" w:lineRule="auto"/>
        <w:ind w:left="0" w:leftChars="0" w:firstLine="0" w:firstLineChars="0"/>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（3）与</w:t>
      </w:r>
      <w:r>
        <w:rPr>
          <w:rFonts w:hint="eastAsia"/>
          <w:b w:val="0"/>
          <w:bCs/>
          <w:color w:val="000000" w:themeColor="text1"/>
          <w:sz w:val="24"/>
          <w:szCs w:val="24"/>
          <w:highlight w:val="none"/>
          <w:lang w:val="en-US" w:eastAsia="zh-CN"/>
          <w14:textFill>
            <w14:solidFill>
              <w14:schemeClr w14:val="tx1"/>
            </w14:solidFill>
          </w14:textFill>
        </w:rPr>
        <w:t>投标人</w:t>
      </w:r>
      <w:r>
        <w:rPr>
          <w:rFonts w:hint="eastAsia"/>
          <w:b w:val="0"/>
          <w:bCs/>
          <w:color w:val="000000" w:themeColor="text1"/>
          <w:sz w:val="24"/>
          <w:szCs w:val="24"/>
          <w:highlight w:val="none"/>
          <w14:textFill>
            <w14:solidFill>
              <w14:schemeClr w14:val="tx1"/>
            </w14:solidFill>
          </w14:textFill>
        </w:rPr>
        <w:t>有其他影响或可能影响政府采购活动公平、公正进行的关系。</w:t>
      </w:r>
    </w:p>
    <w:p>
      <w:pPr>
        <w:pStyle w:val="45"/>
        <w:ind w:left="0" w:leftChars="0" w:firstLine="0" w:firstLineChars="0"/>
        <w:rPr>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三、评标方法</w:t>
      </w:r>
    </w:p>
    <w:p>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本次评标</w:t>
      </w:r>
      <w:r>
        <w:rPr>
          <w:rFonts w:hint="eastAsia" w:ascii="宋体" w:hAnsi="宋体"/>
          <w:color w:val="000000" w:themeColor="text1"/>
          <w:sz w:val="24"/>
          <w:szCs w:val="24"/>
          <w:highlight w:val="none"/>
          <w:lang w:val="en-US" w:eastAsia="zh-CN"/>
          <w14:textFill>
            <w14:solidFill>
              <w14:schemeClr w14:val="tx1"/>
            </w14:solidFill>
          </w14:textFill>
        </w:rPr>
        <w:t>采用综合评分法，</w:t>
      </w:r>
      <w:r>
        <w:rPr>
          <w:rFonts w:ascii="宋体" w:hAnsi="宋体"/>
          <w:color w:val="000000" w:themeColor="text1"/>
          <w:sz w:val="24"/>
          <w:szCs w:val="24"/>
          <w:highlight w:val="none"/>
          <w14:textFill>
            <w14:solidFill>
              <w14:schemeClr w14:val="tx1"/>
            </w14:solidFill>
          </w14:textFill>
        </w:rPr>
        <w:t>评标委员会成员综合评定各投标人提交的投标文件，由评标委员会成员按照招标文件规定的各项因素综合评定各投标人提交的投标文件并分别进行打分，确定中标候选人。</w:t>
      </w:r>
    </w:p>
    <w:p>
      <w:pPr>
        <w:spacing w:line="360" w:lineRule="auto"/>
        <w:ind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1、评标原则</w:t>
      </w:r>
    </w:p>
    <w:p>
      <w:pPr>
        <w:spacing w:line="360" w:lineRule="auto"/>
        <w:ind w:firstLine="480" w:firstLineChars="200"/>
        <w:rPr>
          <w:rFonts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依据《中华人民共和国政府采购法》，结合项目特点，评标严格按照招标文件的要求和条件进行。“公平、公正、科学、择优”为本次评标的基本原则，评标委员会将按照这一原则的要求，公正、平等地对待各投标人。同时，在评标时恪守以下原则：</w:t>
      </w:r>
    </w:p>
    <w:p>
      <w:pPr>
        <w:spacing w:line="360" w:lineRule="auto"/>
        <w:ind w:left="2" w:leftChars="1"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（1）客观性原则：评标委员会将按照招标文件的要求，对投标人的投标文件进行认真评审；对投标文件的评审仅依靠投标文件本身，而不依靠投标文件以外的任何因素。</w:t>
      </w:r>
    </w:p>
    <w:p>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（2）统一性原则：评标委员会将按照统一的评标原则和评标方法，用同一标准进行评标。</w:t>
      </w:r>
    </w:p>
    <w:p>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（3）独立性原则：评标工作在评标委员会内部独立进行，不受外界任何因素的干扰和影响。</w:t>
      </w:r>
    </w:p>
    <w:p>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（4）保密性原则：评委及熟知情况的有关工作人员将保守投标人的商业秘密。</w:t>
      </w:r>
    </w:p>
    <w:p>
      <w:pPr>
        <w:spacing w:line="360" w:lineRule="auto"/>
        <w:ind w:left="2" w:leftChars="1"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（5）综合性原则：评标委员会将综合比较、审查投标人的各项指标，而不以单项指标的优劣评定出中标候选人。</w:t>
      </w:r>
    </w:p>
    <w:p>
      <w:pPr>
        <w:spacing w:line="360" w:lineRule="auto"/>
        <w:ind w:firstLine="482"/>
        <w:textAlignment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6）少数服从多数原则：评标委员会成员应当依法独立评标，遵守评标工作纪律。对需要共同认定的事项存在争议的，应当按照少数服从多数的原则作出评审结论；持不同意见的评标委员会成员应当在评标报告上签署不同意见并说明理由；不签署不同意见的，视为同意。</w:t>
      </w:r>
    </w:p>
    <w:p>
      <w:pPr>
        <w:spacing w:line="360" w:lineRule="auto"/>
        <w:ind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2、评标过程保密</w:t>
      </w:r>
    </w:p>
    <w:p>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2.1 开标之后，直到授予投标人合同止，凡是属于审查、澄清、评价和比较投标的有关资料以及授标意向等，均不得向投标人或其他无关的人员透露。</w:t>
      </w:r>
    </w:p>
    <w:p>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2.2 在评标期间，投标人企图影响招标方的任何活动将导致投标被拒绝，并承担相应的法律责任。</w:t>
      </w:r>
    </w:p>
    <w:p>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2.3 中标人确定后，</w:t>
      </w:r>
      <w:r>
        <w:rPr>
          <w:rFonts w:hint="eastAsia" w:ascii="宋体" w:hAnsi="宋体"/>
          <w:color w:val="000000" w:themeColor="text1"/>
          <w:sz w:val="24"/>
          <w:szCs w:val="24"/>
          <w:highlight w:val="none"/>
          <w:lang w:eastAsia="zh-CN"/>
          <w14:textFill>
            <w14:solidFill>
              <w14:schemeClr w14:val="tx1"/>
            </w14:solidFill>
          </w14:textFill>
        </w:rPr>
        <w:t>招标人</w:t>
      </w:r>
      <w:r>
        <w:rPr>
          <w:rFonts w:ascii="宋体" w:hAnsi="宋体"/>
          <w:color w:val="000000" w:themeColor="text1"/>
          <w:sz w:val="24"/>
          <w:szCs w:val="24"/>
          <w:highlight w:val="none"/>
          <w14:textFill>
            <w14:solidFill>
              <w14:schemeClr w14:val="tx1"/>
            </w14:solidFill>
          </w14:textFill>
        </w:rPr>
        <w:t>不对未中标人就评标过程以及未能中标原因作出任何解释。未中标人不得向评标委员会组成人员或其他有关人员索问评标过程的情况和材料。</w:t>
      </w:r>
    </w:p>
    <w:p>
      <w:pPr>
        <w:spacing w:line="360" w:lineRule="auto"/>
        <w:ind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3、初步评审</w:t>
      </w:r>
    </w:p>
    <w:p>
      <w:pPr>
        <w:spacing w:line="360" w:lineRule="auto"/>
        <w:ind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3.1 资格审查</w:t>
      </w:r>
    </w:p>
    <w:p>
      <w:pPr>
        <w:spacing w:line="360" w:lineRule="auto"/>
        <w:ind w:right="57" w:rightChars="27"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开标结束后，</w:t>
      </w:r>
      <w:r>
        <w:rPr>
          <w:rFonts w:hint="eastAsia" w:ascii="宋体" w:hAnsi="宋体"/>
          <w:color w:val="000000" w:themeColor="text1"/>
          <w:sz w:val="24"/>
          <w:szCs w:val="24"/>
          <w:highlight w:val="none"/>
          <w:lang w:eastAsia="zh-CN"/>
          <w14:textFill>
            <w14:solidFill>
              <w14:schemeClr w14:val="tx1"/>
            </w14:solidFill>
          </w14:textFill>
        </w:rPr>
        <w:t>招标人</w:t>
      </w:r>
      <w:r>
        <w:rPr>
          <w:rFonts w:ascii="宋体" w:hAnsi="宋体"/>
          <w:color w:val="000000" w:themeColor="text1"/>
          <w:sz w:val="24"/>
          <w:szCs w:val="24"/>
          <w:highlight w:val="none"/>
          <w14:textFill>
            <w14:solidFill>
              <w14:schemeClr w14:val="tx1"/>
            </w14:solidFill>
          </w14:textFill>
        </w:rPr>
        <w:t>或者</w:t>
      </w:r>
      <w:r>
        <w:rPr>
          <w:rFonts w:hint="eastAsia" w:ascii="宋体" w:hAnsi="宋体"/>
          <w:color w:val="000000" w:themeColor="text1"/>
          <w:sz w:val="24"/>
          <w:szCs w:val="24"/>
          <w:highlight w:val="none"/>
          <w:lang w:eastAsia="zh-CN"/>
          <w14:textFill>
            <w14:solidFill>
              <w14:schemeClr w14:val="tx1"/>
            </w14:solidFill>
          </w14:textFill>
        </w:rPr>
        <w:t>招标代理机构</w:t>
      </w:r>
      <w:r>
        <w:rPr>
          <w:rFonts w:ascii="宋体" w:hAnsi="宋体"/>
          <w:color w:val="000000" w:themeColor="text1"/>
          <w:sz w:val="24"/>
          <w:szCs w:val="24"/>
          <w:highlight w:val="none"/>
          <w14:textFill>
            <w14:solidFill>
              <w14:schemeClr w14:val="tx1"/>
            </w14:solidFill>
          </w14:textFill>
        </w:rPr>
        <w:t>应当依法对投标人的资格进行审查。合格投标人不足3家的，不得评标。</w:t>
      </w:r>
    </w:p>
    <w:p>
      <w:pPr>
        <w:pStyle w:val="40"/>
        <w:spacing w:line="360" w:lineRule="auto"/>
        <w:ind w:firstLine="482"/>
        <w:textAlignment w:val="center"/>
        <w:rPr>
          <w:rFonts w:hAnsi="宋体"/>
          <w:color w:val="000000" w:themeColor="text1"/>
          <w:szCs w:val="24"/>
          <w:highlight w:val="none"/>
          <w14:textFill>
            <w14:solidFill>
              <w14:schemeClr w14:val="tx1"/>
            </w14:solidFill>
          </w14:textFill>
        </w:rPr>
      </w:pPr>
      <w:r>
        <w:rPr>
          <w:rFonts w:hAnsi="宋体"/>
          <w:b/>
          <w:color w:val="000000" w:themeColor="text1"/>
          <w:szCs w:val="24"/>
          <w:highlight w:val="none"/>
          <w14:textFill>
            <w14:solidFill>
              <w14:schemeClr w14:val="tx1"/>
            </w14:solidFill>
          </w14:textFill>
        </w:rPr>
        <w:t>3.2评标委员会应当对符合资格的投标人的投标文件进行符合性审查，以确定其是否满足招标文件的实质性要求。</w:t>
      </w:r>
      <w:r>
        <w:rPr>
          <w:rFonts w:hAnsi="宋体"/>
          <w:color w:val="000000" w:themeColor="text1"/>
          <w:szCs w:val="24"/>
          <w:highlight w:val="none"/>
          <w14:textFill>
            <w14:solidFill>
              <w14:schemeClr w14:val="tx1"/>
            </w14:solidFill>
          </w14:textFill>
        </w:rPr>
        <w:t>评标委员会将确定每一投标人是否对招标文件的要求做出了实质性的响应，而没有重大偏差。实质性响应的投标是指投标符合招标文件的所有条款、条件和规定且没有重大偏差或保留。重大偏差或保留是指影响到招标文件规定的招标范围和内容或限制了</w:t>
      </w:r>
      <w:r>
        <w:rPr>
          <w:rFonts w:hint="eastAsia" w:hAnsi="宋体"/>
          <w:color w:val="000000" w:themeColor="text1"/>
          <w:szCs w:val="24"/>
          <w:highlight w:val="none"/>
          <w:lang w:eastAsia="zh-CN"/>
          <w14:textFill>
            <w14:solidFill>
              <w14:schemeClr w14:val="tx1"/>
            </w14:solidFill>
          </w14:textFill>
        </w:rPr>
        <w:t>招标人</w:t>
      </w:r>
      <w:r>
        <w:rPr>
          <w:rFonts w:hAnsi="宋体"/>
          <w:color w:val="000000" w:themeColor="text1"/>
          <w:szCs w:val="24"/>
          <w:highlight w:val="none"/>
          <w14:textFill>
            <w14:solidFill>
              <w14:schemeClr w14:val="tx1"/>
            </w14:solidFill>
          </w14:textFill>
        </w:rPr>
        <w:t>的权利和投标人的义务规定，而纠正这些偏差将影响到其他提交实质性响应投标的投标人的公平竞争地位。</w:t>
      </w:r>
    </w:p>
    <w:p>
      <w:pPr>
        <w:pStyle w:val="40"/>
        <w:spacing w:line="360" w:lineRule="auto"/>
        <w:ind w:firstLine="482"/>
        <w:textAlignment w:val="center"/>
        <w:rPr>
          <w:rFonts w:hAnsi="宋体"/>
          <w:color w:val="000000" w:themeColor="text1"/>
          <w:szCs w:val="24"/>
          <w:highlight w:val="none"/>
          <w14:textFill>
            <w14:solidFill>
              <w14:schemeClr w14:val="tx1"/>
            </w14:solidFill>
          </w14:textFill>
        </w:rPr>
      </w:pPr>
      <w:r>
        <w:rPr>
          <w:rFonts w:hAnsi="宋体"/>
          <w:color w:val="000000" w:themeColor="text1"/>
          <w:szCs w:val="24"/>
          <w:highlight w:val="none"/>
          <w14:textFill>
            <w14:solidFill>
              <w14:schemeClr w14:val="tx1"/>
            </w14:solidFill>
          </w14:textFill>
        </w:rPr>
        <w:t>3.2.</w:t>
      </w:r>
      <w:r>
        <w:rPr>
          <w:rFonts w:hint="eastAsia" w:hAnsi="宋体"/>
          <w:color w:val="000000" w:themeColor="text1"/>
          <w:szCs w:val="24"/>
          <w:highlight w:val="none"/>
          <w:lang w:val="en-US" w:eastAsia="zh-CN"/>
          <w14:textFill>
            <w14:solidFill>
              <w14:schemeClr w14:val="tx1"/>
            </w14:solidFill>
          </w14:textFill>
        </w:rPr>
        <w:t>1</w:t>
      </w:r>
      <w:r>
        <w:rPr>
          <w:rFonts w:hAnsi="宋体"/>
          <w:color w:val="000000" w:themeColor="text1"/>
          <w:highlight w:val="none"/>
          <w14:textFill>
            <w14:solidFill>
              <w14:schemeClr w14:val="tx1"/>
            </w14:solidFill>
          </w14:textFill>
        </w:rPr>
        <w:t>评标委员会将允许投标人修改其投标文件的细微偏差。</w:t>
      </w:r>
      <w:r>
        <w:rPr>
          <w:rFonts w:hAnsi="宋体"/>
          <w:color w:val="000000" w:themeColor="text1"/>
          <w:szCs w:val="24"/>
          <w:highlight w:val="none"/>
          <w14:textFill>
            <w14:solidFill>
              <w14:schemeClr w14:val="tx1"/>
            </w14:solidFill>
          </w14:textFill>
        </w:rPr>
        <w:t>细微偏差是指投标文件在实质上响应招标文件要求，但在个别地方存在漏项或者提供了不完整的信息和数据等情况，并且补正这些遗漏或者不完整不会对其他投标人造成不公平的结果。细微偏差不影响投标文件的有效性。</w:t>
      </w:r>
    </w:p>
    <w:p>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3.2.</w:t>
      </w:r>
      <w:r>
        <w:rPr>
          <w:rFonts w:hint="eastAsia" w:ascii="宋体" w:hAnsi="宋体"/>
          <w:color w:val="000000" w:themeColor="text1"/>
          <w:sz w:val="24"/>
          <w:szCs w:val="24"/>
          <w:highlight w:val="none"/>
          <w:lang w:val="en-US" w:eastAsia="zh-CN"/>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对于投标文件中含义不明确、同类问题表述不一致或者有明显文字和计算错误的内容，评标委员会应当以书面形式要求投标人作出必要的澄清、说明或者补正。</w:t>
      </w:r>
    </w:p>
    <w:p>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投标人的澄清、说明或者补正应当采用书面形式，并加盖公章，或者由法定代表人或其授权的代表签字。投标人的澄清、说明或者补正不得超出投标文件的范围或者改变投标文件的实质性内容。</w:t>
      </w:r>
    </w:p>
    <w:p>
      <w:pPr>
        <w:spacing w:line="360" w:lineRule="auto"/>
        <w:ind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3.3 投标报价评审</w:t>
      </w:r>
    </w:p>
    <w:p>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投标人投标报价有算术错误的，评标委员会按以下原则对投标报价进行修正：</w:t>
      </w:r>
    </w:p>
    <w:p>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(一)投标文件中开标一览表(报价表)内容与投标文件中相应内容不一致的，以开标一览表(报价表)为准；</w:t>
      </w:r>
    </w:p>
    <w:p>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(二)大写金额和小写金额不一致的，以大写金额为准；</w:t>
      </w:r>
    </w:p>
    <w:p>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(三)单价金额小数点或者百分比有明显错位的，以开标一览表的总价为准，并修改单价；</w:t>
      </w:r>
    </w:p>
    <w:p>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(四)总价金额与按单价汇总金额不一致的，以单价金额计算结果为准。</w:t>
      </w:r>
    </w:p>
    <w:p>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同时出现两种以上不一致的，按照前款规定的顺序修正。修正后的报价经投标人确认后产生约束力，投标人不确认的，其投标无效。</w:t>
      </w:r>
    </w:p>
    <w:p>
      <w:pPr>
        <w:spacing w:line="360" w:lineRule="auto"/>
        <w:ind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4、详细评审：</w:t>
      </w:r>
    </w:p>
    <w:p>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评标委员会根据以下评分标准进行评标，并计算出每个有效投标人的最终得分。</w:t>
      </w:r>
    </w:p>
    <w:p>
      <w:pPr>
        <w:spacing w:line="360" w:lineRule="auto"/>
        <w:ind w:firstLine="482" w:firstLineChars="200"/>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4.1评分标准</w:t>
      </w:r>
    </w:p>
    <w:tbl>
      <w:tblPr>
        <w:tblStyle w:val="722"/>
        <w:tblW w:w="9576"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7"/>
        <w:gridCol w:w="1225"/>
        <w:gridCol w:w="6880"/>
        <w:gridCol w:w="7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3" w:hRule="atLeast"/>
        </w:trPr>
        <w:tc>
          <w:tcPr>
            <w:tcW w:w="687" w:type="dxa"/>
            <w:shd w:val="clear" w:color="auto" w:fill="auto"/>
          </w:tcPr>
          <w:p>
            <w:pPr>
              <w:spacing w:before="140" w:line="360" w:lineRule="auto"/>
              <w:ind w:firstLine="223"/>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w:t>
            </w:r>
          </w:p>
          <w:p>
            <w:pPr>
              <w:spacing w:before="140" w:line="360" w:lineRule="auto"/>
              <w:ind w:firstLine="223"/>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号</w:t>
            </w:r>
          </w:p>
        </w:tc>
        <w:tc>
          <w:tcPr>
            <w:tcW w:w="1225" w:type="dxa"/>
            <w:shd w:val="clear" w:color="auto" w:fill="auto"/>
            <w:vAlign w:val="center"/>
          </w:tcPr>
          <w:p>
            <w:pPr>
              <w:spacing w:before="140" w:line="360" w:lineRule="auto"/>
              <w:ind w:firstLine="185"/>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评分项目</w:t>
            </w:r>
          </w:p>
        </w:tc>
        <w:tc>
          <w:tcPr>
            <w:tcW w:w="6880" w:type="dxa"/>
            <w:shd w:val="clear" w:color="auto" w:fill="auto"/>
          </w:tcPr>
          <w:p>
            <w:pPr>
              <w:spacing w:before="140" w:line="360" w:lineRule="auto"/>
              <w:ind w:firstLine="2785"/>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评分标准</w:t>
            </w:r>
          </w:p>
        </w:tc>
        <w:tc>
          <w:tcPr>
            <w:tcW w:w="784" w:type="dxa"/>
            <w:shd w:val="clear" w:color="auto" w:fill="auto"/>
          </w:tcPr>
          <w:p>
            <w:pPr>
              <w:spacing w:before="140" w:line="360" w:lineRule="auto"/>
              <w:ind w:firstLine="17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4" w:hRule="atLeast"/>
        </w:trPr>
        <w:tc>
          <w:tcPr>
            <w:tcW w:w="687" w:type="dxa"/>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25"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报价分</w:t>
            </w:r>
          </w:p>
        </w:tc>
        <w:tc>
          <w:tcPr>
            <w:tcW w:w="6880" w:type="dxa"/>
            <w:vAlign w:val="center"/>
          </w:tcPr>
          <w:p>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以满足招标文件要求且报价最低的报价为评标基准价，其价格分 3</w:t>
            </w:r>
            <w:r>
              <w:rPr>
                <w:rFonts w:hint="eastAsia" w:ascii="宋体" w:hAnsi="宋体" w:cs="宋体"/>
                <w:color w:val="auto"/>
                <w:kern w:val="0"/>
                <w:sz w:val="24"/>
                <w:szCs w:val="24"/>
                <w:highlight w:val="none"/>
                <w:lang w:val="en-US" w:eastAsia="zh-CN" w:bidi="ar"/>
              </w:rPr>
              <w:t>0</w:t>
            </w:r>
            <w:r>
              <w:rPr>
                <w:rFonts w:hint="eastAsia" w:ascii="宋体" w:hAnsi="宋体" w:eastAsia="宋体" w:cs="宋体"/>
                <w:color w:val="auto"/>
                <w:kern w:val="0"/>
                <w:sz w:val="24"/>
                <w:szCs w:val="24"/>
                <w:highlight w:val="none"/>
                <w:lang w:val="en-US" w:eastAsia="zh-CN" w:bidi="ar"/>
              </w:rPr>
              <w:t>为满分，其他报价单位的价格分按照下列公式计算：</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列公式计算：</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报价得分=（评标基准价/投标报价）×</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×100%</w:t>
            </w:r>
          </w:p>
        </w:tc>
        <w:tc>
          <w:tcPr>
            <w:tcW w:w="784"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3" w:hRule="atLeast"/>
        </w:trPr>
        <w:tc>
          <w:tcPr>
            <w:tcW w:w="687" w:type="dxa"/>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225" w:type="dxa"/>
            <w:vAlign w:val="center"/>
          </w:tcPr>
          <w:p>
            <w:pPr>
              <w:spacing w:line="360" w:lineRule="auto"/>
              <w:jc w:val="center"/>
              <w:rPr>
                <w:rFonts w:hint="eastAsia" w:ascii="宋体" w:hAnsi="宋体" w:eastAsia="宋体" w:cs="宋体"/>
                <w:color w:val="auto"/>
                <w:sz w:val="24"/>
                <w:szCs w:val="24"/>
                <w:highlight w:val="none"/>
              </w:rPr>
            </w:pPr>
            <w:r>
              <w:rPr>
                <w:rFonts w:hint="eastAsia"/>
                <w:sz w:val="24"/>
                <w:szCs w:val="24"/>
              </w:rPr>
              <w:t>产品质量及服务保障</w:t>
            </w:r>
          </w:p>
        </w:tc>
        <w:tc>
          <w:tcPr>
            <w:tcW w:w="6880" w:type="dxa"/>
            <w:vAlign w:val="center"/>
          </w:tcPr>
          <w:p>
            <w:pPr>
              <w:spacing w:line="360" w:lineRule="auto"/>
              <w:rPr>
                <w:rFonts w:hint="eastAsia" w:ascii="宋体" w:hAnsi="宋体" w:eastAsia="宋体" w:cs="宋体"/>
                <w:sz w:val="24"/>
                <w:szCs w:val="24"/>
              </w:rPr>
            </w:pPr>
            <w:r>
              <w:rPr>
                <w:rFonts w:hint="eastAsia" w:ascii="宋体" w:hAnsi="宋体" w:eastAsia="宋体" w:cs="宋体"/>
                <w:sz w:val="24"/>
                <w:szCs w:val="24"/>
              </w:rPr>
              <w:t>1、根据投标人所承诺的根系处理方式在 0-4 分之间进行评分；</w:t>
            </w:r>
          </w:p>
          <w:p>
            <w:pPr>
              <w:spacing w:line="360" w:lineRule="auto"/>
              <w:rPr>
                <w:rFonts w:hint="eastAsia" w:ascii="宋体" w:hAnsi="宋体" w:eastAsia="宋体" w:cs="宋体"/>
                <w:sz w:val="24"/>
                <w:szCs w:val="24"/>
              </w:rPr>
            </w:pPr>
            <w:r>
              <w:rPr>
                <w:rFonts w:hint="eastAsia" w:ascii="宋体" w:hAnsi="宋体" w:eastAsia="宋体" w:cs="宋体"/>
                <w:sz w:val="24"/>
                <w:szCs w:val="24"/>
              </w:rPr>
              <w:t>2、根据投标人所承诺的包装方式、捆绑方法等在 0-4 分之间进行评分；</w:t>
            </w:r>
          </w:p>
          <w:p>
            <w:pPr>
              <w:spacing w:line="360" w:lineRule="auto"/>
              <w:rPr>
                <w:rFonts w:hint="eastAsia" w:ascii="宋体" w:hAnsi="宋体" w:eastAsia="宋体" w:cs="宋体"/>
                <w:sz w:val="24"/>
                <w:szCs w:val="24"/>
              </w:rPr>
            </w:pPr>
            <w:r>
              <w:rPr>
                <w:rFonts w:hint="eastAsia" w:ascii="宋体" w:hAnsi="宋体" w:eastAsia="宋体" w:cs="宋体"/>
                <w:sz w:val="24"/>
                <w:szCs w:val="24"/>
              </w:rPr>
              <w:t>3、根据投标人采购的苗木质量、成活率保证措施等在 0-4 分之间进行评分；</w:t>
            </w:r>
          </w:p>
          <w:p>
            <w:pPr>
              <w:spacing w:line="360" w:lineRule="auto"/>
              <w:rPr>
                <w:rFonts w:hint="eastAsia" w:ascii="宋体" w:hAnsi="宋体" w:eastAsia="宋体" w:cs="宋体"/>
                <w:sz w:val="24"/>
                <w:szCs w:val="24"/>
              </w:rPr>
            </w:pPr>
            <w:r>
              <w:rPr>
                <w:rFonts w:hint="eastAsia" w:ascii="宋体" w:hAnsi="宋体" w:eastAsia="宋体" w:cs="宋体"/>
                <w:sz w:val="24"/>
                <w:szCs w:val="24"/>
              </w:rPr>
              <w:t>4、根据投标人提供的栽植过程中提供的技术、人员支持等在 0-4 分之间进行评分；</w:t>
            </w:r>
          </w:p>
          <w:p>
            <w:pPr>
              <w:spacing w:line="360" w:lineRule="auto"/>
              <w:rPr>
                <w:rFonts w:hint="eastAsia" w:ascii="宋体" w:hAnsi="宋体" w:eastAsia="宋体" w:cs="宋体"/>
                <w:sz w:val="24"/>
                <w:szCs w:val="24"/>
              </w:rPr>
            </w:pPr>
            <w:r>
              <w:rPr>
                <w:rFonts w:hint="eastAsia" w:ascii="宋体" w:hAnsi="宋体" w:eastAsia="宋体" w:cs="宋体"/>
                <w:sz w:val="24"/>
                <w:szCs w:val="24"/>
              </w:rPr>
              <w:t>5、根据投标人提供的后期养护技术指导培训等在 0-4 分之间进行评分；</w:t>
            </w:r>
          </w:p>
          <w:p>
            <w:pPr>
              <w:spacing w:line="360" w:lineRule="auto"/>
              <w:rPr>
                <w:rFonts w:hint="eastAsia" w:ascii="宋体" w:hAnsi="宋体" w:eastAsia="宋体" w:cs="宋体"/>
                <w:sz w:val="24"/>
                <w:szCs w:val="24"/>
              </w:rPr>
            </w:pPr>
            <w:r>
              <w:rPr>
                <w:rFonts w:hint="eastAsia" w:ascii="宋体" w:hAnsi="宋体" w:eastAsia="宋体" w:cs="宋体"/>
                <w:sz w:val="24"/>
                <w:szCs w:val="24"/>
              </w:rPr>
              <w:t>6、根据投标人提供的突发情况的应急补救措施在 0-4 分之间进行打分；</w:t>
            </w:r>
          </w:p>
          <w:p>
            <w:pPr>
              <w:spacing w:line="360" w:lineRule="auto"/>
              <w:rPr>
                <w:rFonts w:hint="eastAsia" w:ascii="宋体" w:hAnsi="宋体" w:eastAsia="宋体" w:cs="宋体"/>
                <w:color w:val="auto"/>
                <w:kern w:val="0"/>
                <w:sz w:val="24"/>
                <w:szCs w:val="24"/>
                <w:highlight w:val="none"/>
                <w:lang w:val="en-US" w:eastAsia="zh-CN"/>
              </w:rPr>
            </w:pPr>
            <w:r>
              <w:rPr>
                <w:rFonts w:hint="eastAsia" w:ascii="宋体" w:hAnsi="宋体" w:eastAsia="宋体" w:cs="宋体"/>
                <w:sz w:val="24"/>
                <w:szCs w:val="24"/>
              </w:rPr>
              <w:t>7、根据投标人提供的提供的苗木维护方案、维保效率等情况在 0-4 分之间进行打分；</w:t>
            </w:r>
          </w:p>
        </w:tc>
        <w:tc>
          <w:tcPr>
            <w:tcW w:w="784" w:type="dxa"/>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28</w:t>
            </w:r>
            <w:r>
              <w:rPr>
                <w:rFonts w:hint="eastAsia" w:ascii="宋体" w:hAnsi="宋体" w:eastAsia="宋体" w:cs="宋体"/>
                <w:color w:val="auto"/>
                <w:sz w:val="24"/>
                <w:szCs w:val="24"/>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8" w:hRule="atLeast"/>
        </w:trPr>
        <w:tc>
          <w:tcPr>
            <w:tcW w:w="687" w:type="dxa"/>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225" w:type="dxa"/>
            <w:vAlign w:val="center"/>
          </w:tcPr>
          <w:p>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项目实施 及售后服务 </w:t>
            </w:r>
          </w:p>
        </w:tc>
        <w:tc>
          <w:tcPr>
            <w:tcW w:w="6880" w:type="dxa"/>
            <w:vAlign w:val="center"/>
          </w:tcPr>
          <w:p>
            <w:pPr>
              <w:spacing w:line="360" w:lineRule="auto"/>
              <w:rPr>
                <w:rFonts w:hint="eastAsia" w:ascii="宋体" w:hAnsi="宋体" w:eastAsia="宋体" w:cs="宋体"/>
                <w:sz w:val="24"/>
                <w:szCs w:val="24"/>
              </w:rPr>
            </w:pPr>
            <w:r>
              <w:rPr>
                <w:rFonts w:hint="eastAsia" w:ascii="宋体" w:hAnsi="宋体" w:eastAsia="宋体" w:cs="宋体"/>
                <w:sz w:val="24"/>
                <w:szCs w:val="24"/>
              </w:rPr>
              <w:t>1、根据供应商提供的售后服务的响应时间、响应程度、售后服务措施、售后服务力量、解决问题的能力等综合评定，在0-4分之间进行打分；</w:t>
            </w:r>
          </w:p>
          <w:p>
            <w:pPr>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根据投标人提供的供货运输、仓储配送方案等在0-4分之间进行综合评审； </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3、根据投标人提供的管理能力、货源储备方案等在0-4分之间进行综合评审；</w:t>
            </w:r>
          </w:p>
          <w:p>
            <w:pPr>
              <w:spacing w:line="360" w:lineRule="auto"/>
              <w:rPr>
                <w:rFonts w:hint="eastAsia" w:ascii="宋体" w:hAnsi="宋体" w:eastAsia="宋体" w:cs="宋体"/>
                <w:sz w:val="24"/>
                <w:szCs w:val="24"/>
              </w:rPr>
            </w:pPr>
            <w:r>
              <w:rPr>
                <w:rFonts w:hint="eastAsia" w:ascii="宋体" w:hAnsi="宋体" w:eastAsia="宋体" w:cs="宋体"/>
                <w:sz w:val="24"/>
                <w:szCs w:val="24"/>
              </w:rPr>
              <w:t>4、根据投标人供货渠道及供货安装工期进度安排等在0-4分之间进行综合评审；</w:t>
            </w:r>
          </w:p>
          <w:p>
            <w:pPr>
              <w:spacing w:line="360" w:lineRule="auto"/>
              <w:rPr>
                <w:rFonts w:hint="eastAsia" w:ascii="宋体" w:hAnsi="宋体" w:eastAsia="宋体" w:cs="宋体"/>
                <w:sz w:val="24"/>
                <w:szCs w:val="24"/>
              </w:rPr>
            </w:pPr>
            <w:r>
              <w:rPr>
                <w:rFonts w:hint="eastAsia" w:ascii="宋体" w:hAnsi="宋体" w:eastAsia="宋体" w:cs="宋体"/>
                <w:sz w:val="24"/>
                <w:szCs w:val="24"/>
              </w:rPr>
              <w:t>5、根据投标人制定的确保供货期的保证措施等在0-4分之间进行综合评审；</w:t>
            </w:r>
          </w:p>
          <w:p>
            <w:pPr>
              <w:spacing w:line="360" w:lineRule="auto"/>
              <w:rPr>
                <w:rFonts w:hint="eastAsia" w:ascii="宋体" w:hAnsi="宋体" w:eastAsia="宋体" w:cs="宋体"/>
                <w:sz w:val="24"/>
                <w:szCs w:val="24"/>
              </w:rPr>
            </w:pPr>
            <w:r>
              <w:rPr>
                <w:rFonts w:hint="eastAsia" w:ascii="宋体" w:hAnsi="宋体" w:eastAsia="宋体" w:cs="宋体"/>
                <w:sz w:val="24"/>
                <w:szCs w:val="24"/>
              </w:rPr>
              <w:t>6、根据本项目主要设备所涉及的备品备件等在0-4分之间进行综合评审。</w:t>
            </w:r>
          </w:p>
          <w:p>
            <w:pPr>
              <w:spacing w:line="360" w:lineRule="auto"/>
              <w:rPr>
                <w:rFonts w:hint="eastAsia" w:ascii="宋体" w:hAnsi="宋体" w:eastAsia="宋体" w:cs="宋体"/>
                <w:color w:val="auto"/>
                <w:kern w:val="0"/>
                <w:sz w:val="24"/>
                <w:szCs w:val="24"/>
                <w:highlight w:val="none"/>
                <w:lang w:val="en-US" w:eastAsia="zh-CN"/>
              </w:rPr>
            </w:pPr>
            <w:r>
              <w:rPr>
                <w:rFonts w:hint="eastAsia" w:ascii="宋体" w:hAnsi="宋体" w:eastAsia="宋体" w:cs="宋体"/>
                <w:sz w:val="24"/>
                <w:szCs w:val="24"/>
              </w:rPr>
              <w:t>7、根据投标人售后服务体系、退换货承诺等等在0-4分之间进行综合评审。</w:t>
            </w:r>
          </w:p>
        </w:tc>
        <w:tc>
          <w:tcPr>
            <w:tcW w:w="784" w:type="dxa"/>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28</w:t>
            </w:r>
            <w:r>
              <w:rPr>
                <w:rFonts w:hint="eastAsia" w:ascii="宋体" w:hAnsi="宋体" w:eastAsia="宋体" w:cs="宋体"/>
                <w:color w:val="auto"/>
                <w:sz w:val="24"/>
                <w:szCs w:val="24"/>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8" w:hRule="atLeast"/>
        </w:trPr>
        <w:tc>
          <w:tcPr>
            <w:tcW w:w="687" w:type="dxa"/>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225" w:type="dxa"/>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施工组织方案</w:t>
            </w:r>
          </w:p>
        </w:tc>
        <w:tc>
          <w:tcPr>
            <w:tcW w:w="6880" w:type="dxa"/>
            <w:vAlign w:val="center"/>
          </w:tcPr>
          <w:p>
            <w:pPr>
              <w:spacing w:line="360" w:lineRule="auto"/>
              <w:rPr>
                <w:rFonts w:hint="eastAsia" w:ascii="宋体" w:hAnsi="宋体" w:eastAsia="宋体" w:cs="宋体"/>
                <w:sz w:val="24"/>
                <w:szCs w:val="24"/>
              </w:rPr>
            </w:pPr>
            <w:r>
              <w:rPr>
                <w:rFonts w:hint="eastAsia" w:ascii="宋体" w:hAnsi="宋体" w:eastAsia="宋体" w:cs="宋体"/>
                <w:sz w:val="24"/>
                <w:szCs w:val="24"/>
              </w:rPr>
              <w:t>1 、总体概述：施工组织总体设想、方案针对性和施工阶段划分，0-</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pPr>
              <w:spacing w:line="360" w:lineRule="auto"/>
              <w:rPr>
                <w:rFonts w:hint="eastAsia" w:ascii="宋体" w:hAnsi="宋体" w:eastAsia="宋体" w:cs="宋体"/>
                <w:sz w:val="24"/>
                <w:szCs w:val="24"/>
              </w:rPr>
            </w:pPr>
            <w:r>
              <w:rPr>
                <w:rFonts w:hint="eastAsia" w:ascii="宋体" w:hAnsi="宋体" w:eastAsia="宋体" w:cs="宋体"/>
                <w:sz w:val="24"/>
                <w:szCs w:val="24"/>
              </w:rPr>
              <w:t>2、关键施工技术、工艺及工程实施的重点、难点和解决方案，0-</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 分；</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rPr>
              <w:t>3、扬尘污染防治措施方案，0-</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784" w:type="dxa"/>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8" w:hRule="atLeast"/>
        </w:trPr>
        <w:tc>
          <w:tcPr>
            <w:tcW w:w="687" w:type="dxa"/>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225" w:type="dxa"/>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合理化建议</w:t>
            </w:r>
          </w:p>
        </w:tc>
        <w:tc>
          <w:tcPr>
            <w:tcW w:w="6880" w:type="dxa"/>
            <w:vAlign w:val="center"/>
          </w:tcPr>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根据投标人合理化建议在 0-3分之间打分。</w:t>
            </w:r>
          </w:p>
        </w:tc>
        <w:tc>
          <w:tcPr>
            <w:tcW w:w="784" w:type="dxa"/>
            <w:vAlign w:val="center"/>
          </w:tcPr>
          <w:p>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3分</w:t>
            </w:r>
          </w:p>
        </w:tc>
      </w:tr>
    </w:tbl>
    <w:p>
      <w:pPr>
        <w:pStyle w:val="73"/>
        <w:ind w:left="0" w:leftChars="0" w:firstLine="0" w:firstLineChars="0"/>
        <w:rPr>
          <w:rFonts w:hint="eastAsia" w:eastAsia="宋体"/>
          <w:sz w:val="24"/>
          <w:szCs w:val="24"/>
          <w:highlight w:val="none"/>
          <w:lang w:val="en-US" w:eastAsia="zh-CN"/>
        </w:rPr>
      </w:pPr>
      <w:r>
        <w:rPr>
          <w:rFonts w:hint="eastAsia"/>
          <w:sz w:val="24"/>
          <w:szCs w:val="24"/>
          <w:highlight w:val="none"/>
          <w:lang w:val="en-US" w:eastAsia="zh-CN"/>
        </w:rPr>
        <w:t>注：以上条款</w:t>
      </w:r>
      <w:r>
        <w:rPr>
          <w:rFonts w:hint="eastAsia" w:ascii="宋体" w:hAnsi="宋体" w:eastAsia="宋体" w:cs="宋体"/>
          <w:sz w:val="24"/>
          <w:szCs w:val="24"/>
          <w:highlight w:val="none"/>
        </w:rPr>
        <w:t>缺项不得分</w:t>
      </w:r>
    </w:p>
    <w:p>
      <w:pPr>
        <w:spacing w:line="360" w:lineRule="auto"/>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4.</w:t>
      </w:r>
      <w:r>
        <w:rPr>
          <w:rFonts w:hint="eastAsia" w:ascii="宋体" w:hAnsi="宋体" w:cs="宋体"/>
          <w:b/>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定标原则：</w:t>
      </w:r>
      <w:r>
        <w:rPr>
          <w:rFonts w:hint="eastAsia" w:ascii="宋体" w:hAnsi="宋体" w:cs="宋体"/>
          <w:b w:val="0"/>
          <w:bCs/>
          <w:sz w:val="24"/>
          <w:highlight w:val="none"/>
        </w:rPr>
        <w:t>由全体评委按照评分标准的规定对各有效投标人进行综合评审，按最终得分由高到低推荐1-3名中标候选人。</w:t>
      </w:r>
      <w:r>
        <w:rPr>
          <w:rFonts w:hint="eastAsia" w:ascii="宋体" w:hAnsi="宋体" w:cs="宋体"/>
          <w:b w:val="0"/>
          <w:bCs/>
          <w:kern w:val="0"/>
          <w:sz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val="0"/>
          <w:bCs/>
          <w:color w:val="000000" w:themeColor="text1"/>
          <w:sz w:val="24"/>
          <w:szCs w:val="24"/>
          <w:highlight w:val="none"/>
          <w:lang w:eastAsia="zh-CN"/>
          <w14:textFill>
            <w14:solidFill>
              <w14:schemeClr w14:val="tx1"/>
            </w14:solidFill>
          </w14:textFill>
        </w:rPr>
        <w:t>招标人</w:t>
      </w:r>
      <w:r>
        <w:rPr>
          <w:rFonts w:hint="eastAsia" w:ascii="宋体" w:hAnsi="宋体" w:eastAsia="宋体" w:cs="宋体"/>
          <w:b w:val="0"/>
          <w:bCs/>
          <w:color w:val="000000" w:themeColor="text1"/>
          <w:sz w:val="24"/>
          <w:szCs w:val="24"/>
          <w:highlight w:val="none"/>
          <w14:textFill>
            <w14:solidFill>
              <w14:schemeClr w14:val="tx1"/>
            </w14:solidFill>
          </w14:textFill>
        </w:rPr>
        <w:t>应当在评标报告确定的中标候选人名单中按顺序确定中标人。</w:t>
      </w:r>
    </w:p>
    <w:p>
      <w:pPr>
        <w:spacing w:line="360" w:lineRule="auto"/>
        <w:ind w:firstLine="480" w:firstLineChars="20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b w:val="0"/>
          <w:bCs w:val="0"/>
          <w:color w:val="000000" w:themeColor="text1"/>
          <w:sz w:val="24"/>
          <w:szCs w:val="24"/>
          <w:highlight w:val="none"/>
          <w:lang w:eastAsia="zh-CN"/>
          <w14:textFill>
            <w14:solidFill>
              <w14:schemeClr w14:val="tx1"/>
            </w14:solidFill>
          </w14:textFill>
        </w:rPr>
        <w:t>招标人</w:t>
      </w:r>
      <w:r>
        <w:rPr>
          <w:rFonts w:hint="eastAsia" w:ascii="宋体" w:hAnsi="宋体" w:eastAsia="宋体" w:cs="宋体"/>
          <w:b w:val="0"/>
          <w:bCs w:val="0"/>
          <w:color w:val="000000" w:themeColor="text1"/>
          <w:sz w:val="24"/>
          <w:szCs w:val="24"/>
          <w:highlight w:val="none"/>
          <w14:textFill>
            <w14:solidFill>
              <w14:schemeClr w14:val="tx1"/>
            </w14:solidFill>
          </w14:textFill>
        </w:rPr>
        <w:t>或者</w:t>
      </w:r>
      <w:r>
        <w:rPr>
          <w:rFonts w:hint="eastAsia" w:ascii="宋体" w:hAnsi="宋体" w:cs="宋体"/>
          <w:b w:val="0"/>
          <w:bCs w:val="0"/>
          <w:color w:val="000000" w:themeColor="text1"/>
          <w:sz w:val="24"/>
          <w:szCs w:val="24"/>
          <w:highlight w:val="none"/>
          <w:lang w:eastAsia="zh-CN"/>
          <w14:textFill>
            <w14:solidFill>
              <w14:schemeClr w14:val="tx1"/>
            </w14:solidFill>
          </w14:textFill>
        </w:rPr>
        <w:t>招标人</w:t>
      </w:r>
      <w:r>
        <w:rPr>
          <w:rFonts w:hint="eastAsia" w:ascii="宋体" w:hAnsi="宋体" w:eastAsia="宋体" w:cs="宋体"/>
          <w:b w:val="0"/>
          <w:bCs w:val="0"/>
          <w:color w:val="000000" w:themeColor="text1"/>
          <w:sz w:val="24"/>
          <w:szCs w:val="24"/>
          <w:highlight w:val="none"/>
          <w14:textFill>
            <w14:solidFill>
              <w14:schemeClr w14:val="tx1"/>
            </w14:solidFill>
          </w14:textFill>
        </w:rPr>
        <w:t>委托评标委员会按照招标文件规定的方式确定一个投标人获得中标人推荐资格，招标文件未规定的采取随机抽取方式确定，其他同品牌投标人不作为中标候选人。</w:t>
      </w:r>
    </w:p>
    <w:p>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.3中标人除因不可抗力外不得随意放弃中标资格，否则承担相应法律责任。中标人确因不可抗力不能履行政府采购合同，或因被查实存在影响中标结果的违法行为等情形，不符合中标条件的，</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eastAsia="宋体" w:cs="宋体"/>
          <w:color w:val="000000" w:themeColor="text1"/>
          <w:sz w:val="24"/>
          <w:szCs w:val="24"/>
          <w:highlight w:val="none"/>
          <w14:textFill>
            <w14:solidFill>
              <w14:schemeClr w14:val="tx1"/>
            </w14:solidFill>
          </w14:textFill>
        </w:rPr>
        <w:t>可按照评标委员会提出的中标候选人名单排序依次确定其他中标候选人为中标人或另行招标。</w:t>
      </w:r>
    </w:p>
    <w:p>
      <w:pPr>
        <w:spacing w:line="360" w:lineRule="auto"/>
        <w:ind w:firstLine="482" w:firstLineChars="200"/>
        <w:rPr>
          <w:rFonts w:ascii="宋体" w:hAnsi="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4.4 </w:t>
      </w:r>
      <w:r>
        <w:rPr>
          <w:rFonts w:hint="eastAsia" w:ascii="宋体" w:hAnsi="宋体" w:eastAsia="宋体" w:cs="宋体"/>
          <w:b/>
          <w:color w:val="000000" w:themeColor="text1"/>
          <w:sz w:val="24"/>
          <w:szCs w:val="24"/>
          <w:highlight w:val="none"/>
          <w14:textFill>
            <w14:solidFill>
              <w14:schemeClr w14:val="tx1"/>
            </w14:solidFill>
          </w14:textFill>
        </w:rPr>
        <w:t>政府采购政策</w:t>
      </w:r>
      <w:r>
        <w:rPr>
          <w:rFonts w:hint="eastAsia" w:ascii="宋体" w:hAnsi="宋体" w:eastAsia="宋体" w:cs="宋体"/>
          <w:b/>
          <w:color w:val="000000" w:themeColor="text1"/>
          <w:sz w:val="24"/>
          <w:szCs w:val="24"/>
          <w:highlight w:val="none"/>
          <w:lang w:eastAsia="zh-CN"/>
          <w14:textFill>
            <w14:solidFill>
              <w14:schemeClr w14:val="tx1"/>
            </w14:solidFill>
          </w14:textFill>
        </w:rPr>
        <w:t>：详见</w:t>
      </w:r>
      <w:r>
        <w:rPr>
          <w:rFonts w:hint="eastAsia" w:ascii="宋体" w:hAnsi="宋体" w:cs="宋体"/>
          <w:b/>
          <w:color w:val="000000" w:themeColor="text1"/>
          <w:sz w:val="24"/>
          <w:szCs w:val="24"/>
          <w:highlight w:val="none"/>
          <w:lang w:val="en-US" w:eastAsia="zh-CN"/>
          <w14:textFill>
            <w14:solidFill>
              <w14:schemeClr w14:val="tx1"/>
            </w14:solidFill>
          </w14:textFill>
        </w:rPr>
        <w:t>附件</w:t>
      </w:r>
      <w:r>
        <w:rPr>
          <w:rFonts w:hint="eastAsia" w:ascii="宋体" w:hAnsi="宋体" w:eastAsia="宋体" w:cs="宋体"/>
          <w:b/>
          <w:color w:val="000000" w:themeColor="text1"/>
          <w:sz w:val="24"/>
          <w:szCs w:val="24"/>
          <w:highlight w:val="none"/>
          <w:lang w:eastAsia="zh-CN"/>
          <w14:textFill>
            <w14:solidFill>
              <w14:schemeClr w14:val="tx1"/>
            </w14:solidFill>
          </w14:textFill>
        </w:rPr>
        <w:t>。</w:t>
      </w:r>
    </w:p>
    <w:p>
      <w:pPr>
        <w:spacing w:line="360" w:lineRule="auto"/>
        <w:rPr>
          <w:rFonts w:ascii="宋体" w:hAnsi="宋体" w:cs="宋体"/>
          <w:b/>
          <w:color w:val="000000" w:themeColor="text1"/>
          <w:sz w:val="24"/>
          <w:szCs w:val="24"/>
          <w:highlight w:val="none"/>
          <w:shd w:val="clear" w:color="auto" w:fill="FFFFFF"/>
          <w14:textFill>
            <w14:solidFill>
              <w14:schemeClr w14:val="tx1"/>
            </w14:solidFill>
          </w14:textFill>
        </w:rPr>
      </w:pPr>
      <w:r>
        <w:rPr>
          <w:rFonts w:hint="eastAsia" w:ascii="宋体" w:hAnsi="宋体" w:cs="宋体"/>
          <w:b/>
          <w:color w:val="000000" w:themeColor="text1"/>
          <w:sz w:val="24"/>
          <w:szCs w:val="24"/>
          <w:highlight w:val="none"/>
          <w:shd w:val="clear" w:color="auto" w:fill="FFFFFF"/>
          <w14:textFill>
            <w14:solidFill>
              <w14:schemeClr w14:val="tx1"/>
            </w14:solidFill>
          </w14:textFill>
        </w:rPr>
        <w:t>四、禁止投标人串通投标或以不正当手段谋取中标，如出现以下情形将依法追究法律责任。</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1、投标人有下列情形之一的，依法追究法律责任：</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(一)向评标委员会行贿或者提供其他不正当利益；</w:t>
      </w:r>
    </w:p>
    <w:p>
      <w:pPr>
        <w:tabs>
          <w:tab w:val="left" w:pos="180"/>
        </w:tabs>
        <w:spacing w:line="360" w:lineRule="auto"/>
        <w:ind w:firstLine="482" w:firstLineChars="20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(二)中标后无正当理由拒不与</w:t>
      </w:r>
      <w:r>
        <w:rPr>
          <w:rFonts w:hint="eastAsia" w:ascii="宋体" w:hAnsi="宋体" w:cs="宋体"/>
          <w:b/>
          <w:color w:val="000000" w:themeColor="text1"/>
          <w:sz w:val="24"/>
          <w:szCs w:val="24"/>
          <w:highlight w:val="none"/>
          <w:lang w:eastAsia="zh-CN"/>
          <w14:textFill>
            <w14:solidFill>
              <w14:schemeClr w14:val="tx1"/>
            </w14:solidFill>
          </w14:textFill>
        </w:rPr>
        <w:t>招标人</w:t>
      </w:r>
      <w:r>
        <w:rPr>
          <w:rFonts w:hint="eastAsia" w:ascii="宋体" w:hAnsi="宋体" w:cs="宋体"/>
          <w:b/>
          <w:color w:val="000000" w:themeColor="text1"/>
          <w:sz w:val="24"/>
          <w:szCs w:val="24"/>
          <w:highlight w:val="none"/>
          <w14:textFill>
            <w14:solidFill>
              <w14:schemeClr w14:val="tx1"/>
            </w14:solidFill>
          </w14:textFill>
        </w:rPr>
        <w:t>签订政府采购合同；</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(三)未按照招标文件确定的事项签订政府采购合同；</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(四)将政府采购合同转包；</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(五)提供假冒伪劣产品；</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(六)擅自变更、中止或者终止政府采购合同。</w:t>
      </w:r>
    </w:p>
    <w:p>
      <w:pPr>
        <w:tabs>
          <w:tab w:val="left" w:pos="180"/>
        </w:tabs>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投标人有前款第一项规定情形的，中标无效。评审阶段资格发生变化，投标人未依法通知</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和</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的，处以采购金额5‰的罚款，列入不良行为记录名单，中标无效。</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投标人捏造事实、提供虚假材料或者以非法手段取得证明材料进行投诉的，由财政部门列入不良行为记录名单，禁止其1至3年内参加政府采购活动。</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2、投标人有下列情形之一的，属于恶意串通，对投标人依法追究法律责任：</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(一)投标人直接或者间接从</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或者</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处获得其他投标人的相关情况并修改其投标文件；</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 投标人按照</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或者</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的授意撤换、修改投标文件；</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 投标人之间协商报价、技术方案等投标文件或者投标文件的实质性内容；</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(四)属于同一集团、协会、商会等组织成员的投标人按照该组织要求协同参加政府采购活动；</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 投标人之间事先约定由某一特定投标人中标；</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 投标人之间商定部分投标人放弃参加政府采购活动或者放弃中标；</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(七) 投标人与</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或者</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之间、投标人相互之间，为谋求特定投标人中标或者排斥其他投标人的其他串通行为。</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3、有下列情形之一的，视为投标人相互串通投标:</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(一)不同投标人的投标文件由同一单位或者个人编制;</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(二)不同投标人委托同一单位或者个人办理投标事宜;</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(三)不同投标人的投标文件载明的项目管理成员为同一人;</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(四)不同投标人的投标文件异常一致或者投标报价呈规律性差异;</w:t>
      </w:r>
    </w:p>
    <w:p>
      <w:pPr>
        <w:keepNext w:val="0"/>
        <w:keepLines w:val="0"/>
        <w:pageBreakBefore w:val="0"/>
        <w:widowControl w:val="0"/>
        <w:tabs>
          <w:tab w:val="left" w:pos="180"/>
        </w:tabs>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(五)不同投标人的投标文件相互混装;</w:t>
      </w:r>
    </w:p>
    <w:p>
      <w:pPr>
        <w:keepNext w:val="0"/>
        <w:keepLines w:val="0"/>
        <w:pageBreakBefore w:val="0"/>
        <w:widowControl w:val="0"/>
        <w:tabs>
          <w:tab w:val="left" w:pos="180"/>
        </w:tabs>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(六)重要说明：在清标中发现以下问题均视为涉嫌串通投标，作无效投标处理。</w:t>
      </w:r>
    </w:p>
    <w:p>
      <w:pPr>
        <w:keepNext w:val="0"/>
        <w:keepLines w:val="0"/>
        <w:pageBreakBefore w:val="0"/>
        <w:widowControl w:val="0"/>
        <w:tabs>
          <w:tab w:val="left" w:pos="180"/>
        </w:tabs>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）投标文件制作机器码一致；</w:t>
      </w:r>
    </w:p>
    <w:p>
      <w:pPr>
        <w:keepNext w:val="0"/>
        <w:keepLines w:val="0"/>
        <w:pageBreakBefore w:val="0"/>
        <w:widowControl w:val="0"/>
        <w:tabs>
          <w:tab w:val="left" w:pos="180"/>
        </w:tabs>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）投标文件创建标识码一致；</w:t>
      </w:r>
    </w:p>
    <w:p>
      <w:pPr>
        <w:keepNext w:val="0"/>
        <w:keepLines w:val="0"/>
        <w:pageBreakBefore w:val="0"/>
        <w:widowControl w:val="0"/>
        <w:tabs>
          <w:tab w:val="left" w:pos="180"/>
        </w:tabs>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）使用的造价锁号一致。</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4、有下列情形之一的，属于</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与投标人串通投标:</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在开标前开启投标文件并将有关信息泄露给其他投标人;</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直接或者间接向投标人泄露标底、评标委员会成员等信息;</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明示或者暗示投标人压低或者抬高投标报价;</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授意投标人撤换、修改投标文件;</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明示或者暗示投标人为特定投标人中标提供方便;</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与投标人为谋求特定投标人中标而采取的其他串通行为。</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5、使用通过受让或者租借等方式获取的资格、资质证书投标的，属于以他人名义投标。</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6、投标人有下列情形之一的，属于以其他方式弄虚作假的行为:</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(一)使用伪造、变造的许可证件;</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(二)提供虚假的财务状况或者业绩;</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(三)提供虚假的项目负责人或者主要技术人员简历、劳动关系证明;</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(四)提供虚假的信用状况;</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(五)其他弄虚作假的行为。</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7、按废标处理：</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出现下列情形之一的，应予废标：</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（1）符合专业条件的投标人或者对招标文件作实质响应的投标人不足三家的；</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（2）出现影响采购公正的违法、违规行为的；</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（3）投标人的报价均超过了采购预算，</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不能支付的；</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（4）因重大变故，采购任务取消的。</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8、特殊情况下的评标方法</w:t>
      </w:r>
    </w:p>
    <w:p>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如出现投标人达不到法定要求的数量、串通投标、投标人互相诋毁及投标人所投报主要设备为相同品牌、型号产品并经评标委员会认定明显缺乏竞争，导致评标委员会无法评标或投标人报价均超出项目预算时，评标委员会有权停止评标，</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经政府采购监督管理部门同意后，可以改用其它方式进行本项目。</w:t>
      </w:r>
    </w:p>
    <w:p>
      <w:pPr>
        <w:pStyle w:val="95"/>
        <w:spacing w:line="360" w:lineRule="auto"/>
        <w:ind w:left="0" w:leftChars="0" w:firstLine="240" w:firstLineChars="100"/>
        <w:rPr>
          <w:rFonts w:hint="eastAsia" w:asciiTheme="minorEastAsia" w:hAnsiTheme="minorEastAsia" w:eastAsiaTheme="minorEastAsia" w:cstheme="minorEastAsia"/>
          <w:b w:val="0"/>
          <w:bCs/>
          <w:color w:val="auto"/>
          <w:spacing w:val="-1"/>
          <w:sz w:val="24"/>
          <w:szCs w:val="24"/>
          <w:highlight w:val="none"/>
          <w:lang w:val="en-US" w:eastAsia="zh-CN" w:bidi="ar-SA"/>
        </w:rPr>
      </w:pPr>
      <w:r>
        <w:rPr>
          <w:rFonts w:hint="eastAsia" w:ascii="宋体" w:hAnsi="宋体" w:cs="宋体"/>
          <w:b w:val="0"/>
          <w:bCs/>
          <w:color w:val="000000" w:themeColor="text1"/>
          <w:sz w:val="24"/>
          <w:szCs w:val="24"/>
          <w:highlight w:val="none"/>
          <w:lang w:val="en-US" w:eastAsia="zh-CN"/>
          <w14:textFill>
            <w14:solidFill>
              <w14:schemeClr w14:val="tx1"/>
            </w14:solidFill>
          </w14:textFill>
        </w:rPr>
        <w:t>9、</w:t>
      </w:r>
      <w:r>
        <w:rPr>
          <w:rFonts w:hint="eastAsia" w:asciiTheme="minorEastAsia" w:hAnsiTheme="minorEastAsia" w:eastAsiaTheme="minorEastAsia" w:cstheme="minorEastAsia"/>
          <w:b w:val="0"/>
          <w:bCs/>
          <w:color w:val="auto"/>
          <w:spacing w:val="-1"/>
          <w:sz w:val="24"/>
          <w:szCs w:val="24"/>
          <w:highlight w:val="none"/>
          <w:lang w:val="en-US" w:eastAsia="zh-CN" w:bidi="ar-SA"/>
        </w:rPr>
        <w:t>法定代表人（负责人）为同一人的两个及两个以上的法人，母公司、全资子公司及其控股公司，不得同时参加报价。投标文件中必须附国家企业信用信息公示系统（网址http://www.gsxt.gov.cn/）公示的企业股东及出资信息（显示股东认缴出资额）、主要人</w:t>
      </w:r>
    </w:p>
    <w:p>
      <w:pPr>
        <w:pStyle w:val="95"/>
        <w:spacing w:line="360" w:lineRule="auto"/>
        <w:ind w:left="0" w:leftChars="0" w:firstLine="0" w:firstLineChars="0"/>
        <w:rPr>
          <w:rFonts w:hint="eastAsia" w:asciiTheme="minorEastAsia" w:hAnsiTheme="minorEastAsia" w:eastAsiaTheme="minorEastAsia" w:cstheme="minorEastAsia"/>
          <w:b w:val="0"/>
          <w:bCs/>
          <w:color w:val="auto"/>
          <w:spacing w:val="-1"/>
          <w:sz w:val="24"/>
          <w:szCs w:val="24"/>
          <w:highlight w:val="none"/>
          <w:lang w:val="en-US" w:eastAsia="zh-CN" w:bidi="ar-SA"/>
        </w:rPr>
      </w:pPr>
      <w:r>
        <w:rPr>
          <w:rFonts w:hint="eastAsia" w:asciiTheme="minorEastAsia" w:hAnsiTheme="minorEastAsia" w:eastAsiaTheme="minorEastAsia" w:cstheme="minorEastAsia"/>
          <w:b w:val="0"/>
          <w:bCs/>
          <w:color w:val="auto"/>
          <w:spacing w:val="-1"/>
          <w:sz w:val="24"/>
          <w:szCs w:val="24"/>
          <w:highlight w:val="none"/>
          <w:lang w:val="en-US" w:eastAsia="zh-CN" w:bidi="ar-SA"/>
        </w:rPr>
        <w:t>员信息网页截图（以上两项也可以是企业信用信息公示报告相关内容截图，放入其他材料</w:t>
      </w:r>
    </w:p>
    <w:p>
      <w:pPr>
        <w:pStyle w:val="95"/>
        <w:spacing w:line="360" w:lineRule="auto"/>
        <w:ind w:left="0" w:leftChars="0" w:firstLine="0" w:firstLineChars="0"/>
        <w:rPr>
          <w:rFonts w:hint="eastAsia" w:asciiTheme="minorEastAsia" w:hAnsiTheme="minorEastAsia" w:eastAsiaTheme="minorEastAsia" w:cstheme="minorEastAsia"/>
          <w:b w:val="0"/>
          <w:bCs/>
          <w:color w:val="auto"/>
          <w:spacing w:val="-1"/>
          <w:sz w:val="24"/>
          <w:szCs w:val="24"/>
          <w:highlight w:val="none"/>
          <w:lang w:val="en-US" w:eastAsia="zh-CN" w:bidi="ar-SA"/>
        </w:rPr>
      </w:pPr>
      <w:r>
        <w:rPr>
          <w:rFonts w:hint="eastAsia" w:asciiTheme="minorEastAsia" w:hAnsiTheme="minorEastAsia" w:eastAsiaTheme="minorEastAsia" w:cstheme="minorEastAsia"/>
          <w:b w:val="0"/>
          <w:bCs/>
          <w:color w:val="auto"/>
          <w:spacing w:val="-1"/>
          <w:sz w:val="24"/>
          <w:szCs w:val="24"/>
          <w:highlight w:val="none"/>
          <w:lang w:val="en-US" w:eastAsia="zh-CN" w:bidi="ar-SA"/>
        </w:rPr>
        <w:t>模块。</w:t>
      </w:r>
    </w:p>
    <w:p>
      <w:pPr>
        <w:pStyle w:val="95"/>
        <w:spacing w:line="360" w:lineRule="auto"/>
        <w:ind w:left="0" w:leftChars="0" w:firstLine="0" w:firstLineChars="0"/>
        <w:rPr>
          <w:rFonts w:hint="eastAsia" w:ascii="宋体" w:hAnsi="宋体" w:eastAsia="宋体" w:cs="宋体"/>
          <w:b/>
          <w:color w:val="auto"/>
          <w:sz w:val="24"/>
          <w:szCs w:val="24"/>
          <w:highlight w:val="none"/>
          <w:lang w:val="en-US" w:eastAsia="zh-CN"/>
        </w:rPr>
      </w:pPr>
      <w:r>
        <w:rPr>
          <w:rFonts w:hint="eastAsia" w:asciiTheme="minorEastAsia" w:hAnsiTheme="minorEastAsia" w:eastAsiaTheme="minorEastAsia" w:cstheme="minorEastAsia"/>
          <w:b w:val="0"/>
          <w:bCs/>
          <w:color w:val="auto"/>
          <w:spacing w:val="-1"/>
          <w:sz w:val="24"/>
          <w:szCs w:val="24"/>
          <w:highlight w:val="none"/>
          <w:lang w:val="en-US" w:eastAsia="zh-CN" w:bidi="ar-SA"/>
        </w:rPr>
        <w:t>如供应商存在以上任一种情况，将视为初步评审不合格，不再进入下一步的评审。</w:t>
      </w:r>
    </w:p>
    <w:p>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五、评标纪律</w:t>
      </w:r>
    </w:p>
    <w:p>
      <w:pPr>
        <w:adjustRightInd w:val="0"/>
        <w:snapToGrid w:val="0"/>
        <w:spacing w:line="360" w:lineRule="auto"/>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1、评标是招标工作的重要环节，评标工作在评标委员会内独立进行。评标委员会将按照评标原则的要求，公正、平等地对待所有投标人。</w:t>
      </w:r>
    </w:p>
    <w:p>
      <w:pPr>
        <w:adjustRightInd w:val="0"/>
        <w:snapToGrid w:val="0"/>
        <w:spacing w:line="360" w:lineRule="auto"/>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2、所有评标人员应忠于职守、廉洁自律、秉公办事、不徇私情。</w:t>
      </w:r>
    </w:p>
    <w:p>
      <w:pPr>
        <w:adjustRightInd w:val="0"/>
        <w:snapToGrid w:val="0"/>
        <w:spacing w:line="360" w:lineRule="auto"/>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3、评标人员不得接受或参加投标人或与投标有关的单位、组织或个人的有碍公务的宴请、娱乐等，不得以任何形式弄虚作假。</w:t>
      </w:r>
    </w:p>
    <w:p>
      <w:pPr>
        <w:adjustRightInd w:val="0"/>
        <w:snapToGrid w:val="0"/>
        <w:spacing w:line="360" w:lineRule="auto"/>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4、评标期间，评标人员不得随意出入评标地点、与外界通讯、会客等。</w:t>
      </w:r>
    </w:p>
    <w:p>
      <w:pPr>
        <w:adjustRightInd w:val="0"/>
        <w:snapToGrid w:val="0"/>
        <w:spacing w:line="360" w:lineRule="auto"/>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5、在投标文件的审查、澄清、评价和比较以及授予合同的过程中，投标人对</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、用户及评标委员会其他成员施加影响的任何行为，都将导致被取消投标资格。</w:t>
      </w:r>
    </w:p>
    <w:p>
      <w:pPr>
        <w:adjustRightInd w:val="0"/>
        <w:snapToGrid w:val="0"/>
        <w:spacing w:line="360" w:lineRule="auto"/>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6、为保证定标的公正性，在评标过程中，评委不得与任何投标人或与招标结果有利害关系的人员进行私下接触。在评标工作结束后，凡与评标情况有接触的任何人，不得将评标情况扩散出评标委员会以外。</w:t>
      </w:r>
    </w:p>
    <w:p>
      <w:pPr>
        <w:adjustRightInd w:val="0"/>
        <w:snapToGrid w:val="0"/>
        <w:spacing w:line="360" w:lineRule="auto"/>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7、评标过程中，当发表结论性意见时，先听取专家评委意见，用户评委随后发表意见。</w:t>
      </w:r>
    </w:p>
    <w:p>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8、评标结束后，各评标人员应将全部资料整理交至</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，严禁将评标过程中的任何资料带出评标现场向投标人或其他单位提供。</w:t>
      </w:r>
    </w:p>
    <w:p>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与委托方应对评标委员会成员名单、拟邀请的潜在投标人名单、已购买招标文件的潜在投标人名单、评标过程予以保密。</w:t>
      </w:r>
    </w:p>
    <w:p>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10、评标委员会成员以及与评审有关的人员应当对评审情况和评审过程中获悉的国家秘密、商业秘密予以保密。</w:t>
      </w:r>
    </w:p>
    <w:p>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11、评标委员会成员应当客观、公正地履行职责，遵守职业道德，对所提出的评审意见承担个人责任。</w:t>
      </w:r>
    </w:p>
    <w:p>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12、评标工作开始前，由工作人员负责收缴并保管评委、工作人员的通讯工具。</w:t>
      </w:r>
    </w:p>
    <w:p>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13、在政府采购活动中，</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员及相关人员与投标人有下列利害关系之一的，应当回避：</w:t>
      </w:r>
    </w:p>
    <w:p>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（一）参加采购活动前3年内与投标人存在劳动关系；</w:t>
      </w:r>
    </w:p>
    <w:p>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（二）参加采购活动前3年内担任投标人的董事、监事；</w:t>
      </w:r>
    </w:p>
    <w:p>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（三）参加采购活动前3年内是投标人的控股股东或者实际控制人；</w:t>
      </w:r>
    </w:p>
    <w:p>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（四）与投标人的法定代表人或者负责人有夫妻、直系血亲、三代以内旁系血亲或者近姻亲关系；</w:t>
      </w:r>
    </w:p>
    <w:p>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（五）与投标人有其他可能影响政府采购活动公平、公正进行的关系。</w:t>
      </w:r>
    </w:p>
    <w:p>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投标人认为</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员及相关人员与其他投标人有利害关系的，可以向</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或者</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书面提出回避申请，并说明理由。</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或者</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应当及时询问被申请回避人员，有利害关系的被申请回避人员应当回避。</w:t>
      </w:r>
    </w:p>
    <w:p>
      <w:pPr>
        <w:pStyle w:val="40"/>
        <w:numPr>
          <w:ilvl w:val="0"/>
          <w:numId w:val="6"/>
        </w:numPr>
        <w:spacing w:line="360" w:lineRule="auto"/>
        <w:textAlignment w:val="center"/>
        <w:rPr>
          <w:rFonts w:hint="eastAsia" w:hAnsi="宋体" w:cs="宋体"/>
          <w:b/>
          <w:color w:val="000000" w:themeColor="text1"/>
          <w:szCs w:val="24"/>
          <w:highlight w:val="none"/>
          <w14:textFill>
            <w14:solidFill>
              <w14:schemeClr w14:val="tx1"/>
            </w14:solidFill>
          </w14:textFill>
        </w:rPr>
      </w:pPr>
      <w:r>
        <w:rPr>
          <w:rFonts w:hint="eastAsia" w:hAnsi="宋体" w:cs="宋体"/>
          <w:b/>
          <w:color w:val="000000" w:themeColor="text1"/>
          <w:szCs w:val="24"/>
          <w:highlight w:val="none"/>
          <w14:textFill>
            <w14:solidFill>
              <w14:schemeClr w14:val="tx1"/>
            </w14:solidFill>
          </w14:textFill>
        </w:rPr>
        <w:t>中标通知书</w:t>
      </w:r>
    </w:p>
    <w:p>
      <w:pPr>
        <w:pStyle w:val="40"/>
        <w:numPr>
          <w:ilvl w:val="0"/>
          <w:numId w:val="0"/>
        </w:numPr>
        <w:spacing w:line="360" w:lineRule="auto"/>
        <w:ind w:firstLine="480" w:firstLineChars="200"/>
        <w:textAlignment w:val="center"/>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采购代理机构应当在评审结束后 2 个工作日内将评审报告送采购人确认。</w:t>
      </w:r>
    </w:p>
    <w:p>
      <w:pPr>
        <w:spacing w:line="360" w:lineRule="auto"/>
        <w:ind w:firstLine="480" w:firstLineChars="200"/>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采购人应当在收到评审报告后 5 个工作日内，从评审报告提出的成交候选供应商中，按照排序由高到低的原则确定成交供应商，也可以书面授权</w:t>
      </w:r>
      <w:r>
        <w:rPr>
          <w:rFonts w:hint="eastAsia" w:ascii="宋体" w:hAnsi="宋体" w:cs="宋体"/>
          <w:b w:val="0"/>
          <w:bCs/>
          <w:color w:val="000000" w:themeColor="text1"/>
          <w:sz w:val="24"/>
          <w:szCs w:val="24"/>
          <w:highlight w:val="none"/>
          <w:lang w:eastAsia="zh-CN"/>
          <w14:textFill>
            <w14:solidFill>
              <w14:schemeClr w14:val="tx1"/>
            </w14:solidFill>
          </w14:textFill>
        </w:rPr>
        <w:t>评审委员会</w:t>
      </w:r>
      <w:r>
        <w:rPr>
          <w:rFonts w:hint="eastAsia" w:ascii="宋体" w:hAnsi="宋体" w:cs="宋体"/>
          <w:b w:val="0"/>
          <w:bCs/>
          <w:color w:val="000000" w:themeColor="text1"/>
          <w:sz w:val="24"/>
          <w:szCs w:val="24"/>
          <w:highlight w:val="none"/>
          <w14:textFill>
            <w14:solidFill>
              <w14:schemeClr w14:val="tx1"/>
            </w14:solidFill>
          </w14:textFill>
        </w:rPr>
        <w:t>直接确定成交供应商。采购人逾期未确定成交供应商且不提出异议的，视为确定评审报告提出的排序第一的供应商为成交供应商。</w:t>
      </w:r>
    </w:p>
    <w:p>
      <w:pPr>
        <w:spacing w:line="360" w:lineRule="auto"/>
        <w:ind w:firstLine="480" w:firstLineChars="200"/>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采购人或者采购代理机构应当在成交供应商确定之日起，立即在省级以上财政部门指定的政府采购信息发布媒体上公告成交结果，同时向成交供应商发出成交通知书。《成交通知书》将作为签订合同的依据，且是合同的一个组成部分。</w:t>
      </w:r>
    </w:p>
    <w:p>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七、 签订合同 </w:t>
      </w:r>
    </w:p>
    <w:p>
      <w:pPr>
        <w:pStyle w:val="40"/>
        <w:spacing w:line="360" w:lineRule="auto"/>
        <w:ind w:firstLine="420"/>
        <w:textAlignment w:val="center"/>
        <w:rPr>
          <w:rFonts w:hAnsi="宋体" w:cs="宋体"/>
          <w:b/>
          <w:color w:val="000000" w:themeColor="text1"/>
          <w:szCs w:val="24"/>
          <w:highlight w:val="none"/>
          <w14:textFill>
            <w14:solidFill>
              <w14:schemeClr w14:val="tx1"/>
            </w14:solidFill>
          </w14:textFill>
        </w:rPr>
      </w:pPr>
      <w:r>
        <w:rPr>
          <w:rFonts w:hint="eastAsia" w:hAnsi="宋体" w:cs="宋体"/>
          <w:b/>
          <w:color w:val="000000" w:themeColor="text1"/>
          <w:szCs w:val="24"/>
          <w:highlight w:val="none"/>
          <w14:textFill>
            <w14:solidFill>
              <w14:schemeClr w14:val="tx1"/>
            </w14:solidFill>
          </w14:textFill>
        </w:rPr>
        <w:t>1、中标人须按《中标通知书》指定的时间、地点按照招标文件和投标文件确定的事项由</w:t>
      </w:r>
      <w:r>
        <w:rPr>
          <w:rFonts w:hint="eastAsia" w:hAnsi="宋体" w:cs="宋体"/>
          <w:b/>
          <w:color w:val="000000" w:themeColor="text1"/>
          <w:szCs w:val="24"/>
          <w:highlight w:val="none"/>
          <w:lang w:eastAsia="zh-CN"/>
          <w14:textFill>
            <w14:solidFill>
              <w14:schemeClr w14:val="tx1"/>
            </w14:solidFill>
          </w14:textFill>
        </w:rPr>
        <w:t>招标代理机构</w:t>
      </w:r>
      <w:r>
        <w:rPr>
          <w:rFonts w:hint="eastAsia" w:hAnsi="宋体" w:cs="宋体"/>
          <w:b/>
          <w:color w:val="000000" w:themeColor="text1"/>
          <w:szCs w:val="24"/>
          <w:highlight w:val="none"/>
          <w14:textFill>
            <w14:solidFill>
              <w14:schemeClr w14:val="tx1"/>
            </w14:solidFill>
          </w14:textFill>
        </w:rPr>
        <w:t>协助与</w:t>
      </w:r>
      <w:r>
        <w:rPr>
          <w:rFonts w:hint="eastAsia" w:hAnsi="宋体" w:cs="宋体"/>
          <w:b/>
          <w:color w:val="000000" w:themeColor="text1"/>
          <w:szCs w:val="24"/>
          <w:highlight w:val="none"/>
          <w:lang w:eastAsia="zh-CN"/>
          <w14:textFill>
            <w14:solidFill>
              <w14:schemeClr w14:val="tx1"/>
            </w14:solidFill>
          </w14:textFill>
        </w:rPr>
        <w:t>招标人</w:t>
      </w:r>
      <w:r>
        <w:rPr>
          <w:rFonts w:hint="eastAsia" w:hAnsi="宋体" w:cs="宋体"/>
          <w:b/>
          <w:color w:val="000000" w:themeColor="text1"/>
          <w:szCs w:val="24"/>
          <w:highlight w:val="none"/>
          <w14:textFill>
            <w14:solidFill>
              <w14:schemeClr w14:val="tx1"/>
            </w14:solidFill>
          </w14:textFill>
        </w:rPr>
        <w:t>签订政府采购合同，签订政府采购合同的时间在《中标通知书》发出之日十个工作日内。</w:t>
      </w:r>
    </w:p>
    <w:p>
      <w:pPr>
        <w:pStyle w:val="40"/>
        <w:spacing w:line="360" w:lineRule="auto"/>
        <w:ind w:firstLine="420"/>
        <w:textAlignment w:val="center"/>
        <w:rPr>
          <w:rFonts w:hAnsi="宋体" w:cs="宋体"/>
          <w:color w:val="000000" w:themeColor="text1"/>
          <w:szCs w:val="24"/>
          <w:highlight w:val="none"/>
          <w14:textFill>
            <w14:solidFill>
              <w14:schemeClr w14:val="tx1"/>
            </w14:solidFill>
          </w14:textFill>
        </w:rPr>
      </w:pPr>
      <w:r>
        <w:rPr>
          <w:rFonts w:hint="eastAsia" w:hAnsi="宋体" w:cs="宋体"/>
          <w:color w:val="000000" w:themeColor="text1"/>
          <w:szCs w:val="24"/>
          <w:highlight w:val="none"/>
          <w14:textFill>
            <w14:solidFill>
              <w14:schemeClr w14:val="tx1"/>
            </w14:solidFill>
          </w14:textFill>
        </w:rPr>
        <w:t>2、招标文件及其补充文件、中标人的投标文件及其澄清文件等，均为合同附件。</w:t>
      </w:r>
    </w:p>
    <w:p>
      <w:pPr>
        <w:pStyle w:val="40"/>
        <w:spacing w:line="360" w:lineRule="auto"/>
        <w:ind w:firstLine="420"/>
        <w:textAlignment w:val="center"/>
        <w:rPr>
          <w:rFonts w:hAnsi="宋体" w:cs="宋体"/>
          <w:color w:val="000000" w:themeColor="text1"/>
          <w:szCs w:val="24"/>
          <w:highlight w:val="none"/>
          <w14:textFill>
            <w14:solidFill>
              <w14:schemeClr w14:val="tx1"/>
            </w14:solidFill>
          </w14:textFill>
        </w:rPr>
      </w:pPr>
      <w:r>
        <w:rPr>
          <w:rFonts w:hint="eastAsia" w:hAnsi="宋体" w:cs="宋体"/>
          <w:color w:val="000000" w:themeColor="text1"/>
          <w:szCs w:val="24"/>
          <w:highlight w:val="none"/>
          <w14:textFill>
            <w14:solidFill>
              <w14:schemeClr w14:val="tx1"/>
            </w14:solidFill>
          </w14:textFill>
        </w:rPr>
        <w:t>3、如中标人拒签合同，则按违约处理。</w:t>
      </w:r>
      <w:r>
        <w:rPr>
          <w:rFonts w:hint="eastAsia" w:hAnsi="宋体" w:cs="宋体"/>
          <w:color w:val="000000" w:themeColor="text1"/>
          <w:szCs w:val="24"/>
          <w:highlight w:val="none"/>
          <w:lang w:eastAsia="zh-CN"/>
          <w14:textFill>
            <w14:solidFill>
              <w14:schemeClr w14:val="tx1"/>
            </w14:solidFill>
          </w14:textFill>
        </w:rPr>
        <w:t>招标人</w:t>
      </w:r>
      <w:r>
        <w:rPr>
          <w:rFonts w:hint="eastAsia" w:hAnsi="宋体" w:cs="宋体"/>
          <w:color w:val="000000" w:themeColor="text1"/>
          <w:szCs w:val="24"/>
          <w:highlight w:val="none"/>
          <w14:textFill>
            <w14:solidFill>
              <w14:schemeClr w14:val="tx1"/>
            </w14:solidFill>
          </w14:textFill>
        </w:rPr>
        <w:t>可依照《中华人民共和国政府采购法》、《中华人民共和国政府采购法实施条例》规定追究法律责任。</w:t>
      </w:r>
    </w:p>
    <w:p>
      <w:pPr>
        <w:pStyle w:val="40"/>
        <w:spacing w:line="360" w:lineRule="auto"/>
        <w:ind w:firstLine="420"/>
        <w:textAlignment w:val="center"/>
        <w:rPr>
          <w:rFonts w:hAnsi="宋体" w:cs="宋体"/>
          <w:color w:val="000000" w:themeColor="text1"/>
          <w:szCs w:val="24"/>
          <w:highlight w:val="none"/>
          <w14:textFill>
            <w14:solidFill>
              <w14:schemeClr w14:val="tx1"/>
            </w14:solidFill>
          </w14:textFill>
        </w:rPr>
      </w:pPr>
      <w:r>
        <w:rPr>
          <w:rFonts w:hint="eastAsia" w:hAnsi="宋体" w:cs="宋体"/>
          <w:color w:val="000000" w:themeColor="text1"/>
          <w:szCs w:val="24"/>
          <w:highlight w:val="none"/>
          <w14:textFill>
            <w14:solidFill>
              <w14:schemeClr w14:val="tx1"/>
            </w14:solidFill>
          </w14:textFill>
        </w:rPr>
        <w:t>4、政府</w:t>
      </w:r>
      <w:r>
        <w:rPr>
          <w:rFonts w:hint="eastAsia" w:hAnsi="宋体" w:cs="宋体"/>
          <w:color w:val="000000" w:themeColor="text1"/>
          <w:szCs w:val="24"/>
          <w:highlight w:val="none"/>
          <w:lang w:eastAsia="zh-CN"/>
          <w14:textFill>
            <w14:solidFill>
              <w14:schemeClr w14:val="tx1"/>
            </w14:solidFill>
          </w14:textFill>
        </w:rPr>
        <w:t>招标代理机构</w:t>
      </w:r>
      <w:r>
        <w:rPr>
          <w:rFonts w:hint="eastAsia" w:hAnsi="宋体" w:cs="宋体"/>
          <w:color w:val="000000" w:themeColor="text1"/>
          <w:szCs w:val="24"/>
          <w:highlight w:val="none"/>
          <w14:textFill>
            <w14:solidFill>
              <w14:schemeClr w14:val="tx1"/>
            </w14:solidFill>
          </w14:textFill>
        </w:rPr>
        <w:t>应当督促</w:t>
      </w:r>
      <w:r>
        <w:rPr>
          <w:rFonts w:hint="eastAsia" w:hAnsi="宋体" w:cs="宋体"/>
          <w:color w:val="000000" w:themeColor="text1"/>
          <w:szCs w:val="24"/>
          <w:highlight w:val="none"/>
          <w:lang w:eastAsia="zh-CN"/>
          <w14:textFill>
            <w14:solidFill>
              <w14:schemeClr w14:val="tx1"/>
            </w14:solidFill>
          </w14:textFill>
        </w:rPr>
        <w:t>招标人</w:t>
      </w:r>
      <w:r>
        <w:rPr>
          <w:rFonts w:hint="eastAsia" w:hAnsi="宋体" w:cs="宋体"/>
          <w:color w:val="000000" w:themeColor="text1"/>
          <w:szCs w:val="24"/>
          <w:highlight w:val="none"/>
          <w14:textFill>
            <w14:solidFill>
              <w14:schemeClr w14:val="tx1"/>
            </w14:solidFill>
          </w14:textFill>
        </w:rPr>
        <w:t>和中标人及时签订合同，发生拖延或者拒绝签订合同、中止或者终止合同以及其他合同签订、履行异常情况时，应当了解情况，积极主动协调，协调无效时，应及时报同级财政部门，财政部门依法对责任方作出处理或处罚。</w:t>
      </w:r>
    </w:p>
    <w:p>
      <w:pPr>
        <w:pStyle w:val="40"/>
        <w:spacing w:line="360" w:lineRule="auto"/>
        <w:ind w:firstLine="420"/>
        <w:textAlignment w:val="center"/>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5、中标人因不可抗力或者自身原因不能履行政府采购合同的，</w:t>
      </w:r>
      <w:r>
        <w:rPr>
          <w:rFonts w:hint="eastAsia" w:hAnsi="宋体" w:cs="宋体"/>
          <w:b w:val="0"/>
          <w:bCs/>
          <w:color w:val="000000" w:themeColor="text1"/>
          <w:szCs w:val="24"/>
          <w:highlight w:val="none"/>
          <w:lang w:eastAsia="zh-CN"/>
          <w14:textFill>
            <w14:solidFill>
              <w14:schemeClr w14:val="tx1"/>
            </w14:solidFill>
          </w14:textFill>
        </w:rPr>
        <w:t>招标人</w:t>
      </w:r>
      <w:r>
        <w:rPr>
          <w:rFonts w:hint="eastAsia" w:hAnsi="宋体" w:cs="宋体"/>
          <w:b w:val="0"/>
          <w:bCs/>
          <w:color w:val="000000" w:themeColor="text1"/>
          <w:szCs w:val="24"/>
          <w:highlight w:val="none"/>
          <w14:textFill>
            <w14:solidFill>
              <w14:schemeClr w14:val="tx1"/>
            </w14:solidFill>
          </w14:textFill>
        </w:rPr>
        <w:t>可以与排位在中标人之后第一位的中标候选人签订政府采购合同，以此类推。</w:t>
      </w:r>
    </w:p>
    <w:bookmarkEnd w:id="38"/>
    <w:p>
      <w:pPr>
        <w:spacing w:line="600" w:lineRule="exact"/>
        <w:jc w:val="both"/>
        <w:outlineLvl w:val="9"/>
        <w:rPr>
          <w:b/>
          <w:color w:val="000000" w:themeColor="text1"/>
          <w:sz w:val="36"/>
          <w:szCs w:val="36"/>
          <w:highlight w:val="none"/>
          <w14:textFill>
            <w14:solidFill>
              <w14:schemeClr w14:val="tx1"/>
            </w14:solidFill>
          </w14:textFill>
        </w:rPr>
      </w:pPr>
      <w:bookmarkStart w:id="45" w:name="_Toc18496"/>
      <w:bookmarkStart w:id="46" w:name="_Toc353257303"/>
      <w:bookmarkStart w:id="47" w:name="_Toc171496380"/>
    </w:p>
    <w:p>
      <w:pPr>
        <w:spacing w:line="600" w:lineRule="exact"/>
        <w:jc w:val="center"/>
        <w:outlineLvl w:val="0"/>
        <w:rPr>
          <w:b/>
          <w:color w:val="000000" w:themeColor="text1"/>
          <w:sz w:val="36"/>
          <w:szCs w:val="36"/>
          <w:highlight w:val="none"/>
          <w14:textFill>
            <w14:solidFill>
              <w14:schemeClr w14:val="tx1"/>
            </w14:solidFill>
          </w14:textFill>
        </w:rPr>
      </w:pPr>
      <w:bookmarkStart w:id="48" w:name="_Toc22919"/>
    </w:p>
    <w:p>
      <w:pPr>
        <w:spacing w:line="600" w:lineRule="exact"/>
        <w:jc w:val="both"/>
        <w:outlineLvl w:val="0"/>
        <w:rPr>
          <w:b/>
          <w:color w:val="000000" w:themeColor="text1"/>
          <w:sz w:val="36"/>
          <w:szCs w:val="36"/>
          <w:highlight w:val="none"/>
          <w14:textFill>
            <w14:solidFill>
              <w14:schemeClr w14:val="tx1"/>
            </w14:solidFill>
          </w14:textFill>
        </w:rPr>
      </w:pPr>
    </w:p>
    <w:p>
      <w:pPr>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第五部分  合同格式</w:t>
      </w:r>
      <w:bookmarkEnd w:id="45"/>
      <w:bookmarkEnd w:id="48"/>
    </w:p>
    <w:p>
      <w:pPr>
        <w:spacing w:line="360" w:lineRule="auto"/>
        <w:ind w:left="105" w:leftChars="50" w:firstLine="181" w:firstLineChars="50"/>
        <w:rPr>
          <w:b/>
          <w:color w:val="000000" w:themeColor="text1"/>
          <w:sz w:val="36"/>
          <w:highlight w:val="none"/>
          <w14:textFill>
            <w14:solidFill>
              <w14:schemeClr w14:val="tx1"/>
            </w14:solidFill>
          </w14:textFill>
        </w:rPr>
      </w:pPr>
    </w:p>
    <w:p>
      <w:pPr>
        <w:spacing w:line="660" w:lineRule="exact"/>
        <w:jc w:val="center"/>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t>政府采购合同书</w:t>
      </w:r>
    </w:p>
    <w:p>
      <w:pPr>
        <w:spacing w:line="500" w:lineRule="exact"/>
        <w:jc w:val="center"/>
        <w:rPr>
          <w:rFonts w:hint="eastAsia" w:eastAsia="宋体"/>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（此合同范本仅供参考）</w:t>
      </w:r>
    </w:p>
    <w:p>
      <w:pPr>
        <w:spacing w:line="500" w:lineRule="exact"/>
        <w:jc w:val="center"/>
        <w:rPr>
          <w:color w:val="000000" w:themeColor="text1"/>
          <w:sz w:val="28"/>
          <w:szCs w:val="28"/>
          <w:highlight w:val="none"/>
          <w14:textFill>
            <w14:solidFill>
              <w14:schemeClr w14:val="tx1"/>
            </w14:solidFill>
          </w14:textFill>
        </w:rPr>
      </w:pPr>
    </w:p>
    <w:p>
      <w:pPr>
        <w:spacing w:line="500" w:lineRule="exact"/>
        <w:jc w:val="center"/>
        <w:rPr>
          <w:b/>
          <w:color w:val="000000" w:themeColor="text1"/>
          <w:sz w:val="48"/>
          <w:highlight w:val="none"/>
          <w14:textFill>
            <w14:solidFill>
              <w14:schemeClr w14:val="tx1"/>
            </w14:solidFill>
          </w14:textFill>
        </w:rPr>
      </w:pPr>
    </w:p>
    <w:p>
      <w:pPr>
        <w:spacing w:line="500" w:lineRule="exact"/>
        <w:jc w:val="center"/>
        <w:rPr>
          <w:b/>
          <w:color w:val="000000" w:themeColor="text1"/>
          <w:sz w:val="48"/>
          <w:highlight w:val="none"/>
          <w14:textFill>
            <w14:solidFill>
              <w14:schemeClr w14:val="tx1"/>
            </w14:solidFill>
          </w14:textFill>
        </w:rPr>
      </w:pPr>
    </w:p>
    <w:p>
      <w:pPr>
        <w:spacing w:line="360" w:lineRule="auto"/>
        <w:ind w:leftChars="1100"/>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项目名称：</w:t>
      </w:r>
    </w:p>
    <w:p>
      <w:pPr>
        <w:pStyle w:val="73"/>
        <w:spacing w:line="360" w:lineRule="auto"/>
        <w:ind w:left="2310" w:leftChars="1100" w:firstLine="0" w:firstLineChars="0"/>
        <w:rPr>
          <w:highlight w:val="none"/>
        </w:rPr>
      </w:pPr>
      <w:r>
        <w:rPr>
          <w:b/>
          <w:color w:val="000000" w:themeColor="text1"/>
          <w:sz w:val="28"/>
          <w:szCs w:val="28"/>
          <w:highlight w:val="none"/>
          <w14:textFill>
            <w14:solidFill>
              <w14:schemeClr w14:val="tx1"/>
            </w14:solidFill>
          </w14:textFill>
        </w:rPr>
        <w:t>项目编号：</w:t>
      </w:r>
    </w:p>
    <w:p>
      <w:pPr>
        <w:spacing w:line="500" w:lineRule="exact"/>
        <w:ind w:left="2518" w:leftChars="1199"/>
        <w:rPr>
          <w:b/>
          <w:color w:val="000000" w:themeColor="text1"/>
          <w:sz w:val="24"/>
          <w:highlight w:val="none"/>
          <w:u w:val="single"/>
          <w14:textFill>
            <w14:solidFill>
              <w14:schemeClr w14:val="tx1"/>
            </w14:solidFill>
          </w14:textFill>
        </w:rPr>
      </w:pPr>
    </w:p>
    <w:p>
      <w:pPr>
        <w:spacing w:line="500" w:lineRule="exact"/>
        <w:rPr>
          <w:b/>
          <w:color w:val="000000" w:themeColor="text1"/>
          <w:sz w:val="24"/>
          <w:highlight w:val="none"/>
          <w:u w:val="single"/>
          <w14:textFill>
            <w14:solidFill>
              <w14:schemeClr w14:val="tx1"/>
            </w14:solidFill>
          </w14:textFill>
        </w:rPr>
      </w:pPr>
    </w:p>
    <w:p>
      <w:pPr>
        <w:spacing w:line="500" w:lineRule="exact"/>
        <w:ind w:left="2518" w:leftChars="1199"/>
        <w:rPr>
          <w:b/>
          <w:color w:val="000000" w:themeColor="text1"/>
          <w:sz w:val="24"/>
          <w:highlight w:val="none"/>
          <w:u w:val="single"/>
          <w14:textFill>
            <w14:solidFill>
              <w14:schemeClr w14:val="tx1"/>
            </w14:solidFill>
          </w14:textFill>
        </w:rPr>
      </w:pPr>
    </w:p>
    <w:p>
      <w:pPr>
        <w:spacing w:line="500" w:lineRule="exact"/>
        <w:ind w:left="2518" w:leftChars="1199"/>
        <w:rPr>
          <w:b/>
          <w:color w:val="000000" w:themeColor="text1"/>
          <w:sz w:val="24"/>
          <w:highlight w:val="none"/>
          <w:u w:val="single"/>
          <w14:textFill>
            <w14:solidFill>
              <w14:schemeClr w14:val="tx1"/>
            </w14:solidFill>
          </w14:textFill>
        </w:rPr>
      </w:pPr>
    </w:p>
    <w:p>
      <w:pPr>
        <w:spacing w:line="500" w:lineRule="exact"/>
        <w:ind w:left="2518" w:leftChars="1199"/>
        <w:rPr>
          <w:b/>
          <w:color w:val="000000" w:themeColor="text1"/>
          <w:sz w:val="24"/>
          <w:highlight w:val="none"/>
          <w:u w:val="single"/>
          <w14:textFill>
            <w14:solidFill>
              <w14:schemeClr w14:val="tx1"/>
            </w14:solidFill>
          </w14:textFill>
        </w:rPr>
      </w:pPr>
    </w:p>
    <w:p>
      <w:pPr>
        <w:spacing w:line="500" w:lineRule="exact"/>
        <w:ind w:left="2518" w:leftChars="1199"/>
        <w:rPr>
          <w:b/>
          <w:color w:val="000000" w:themeColor="text1"/>
          <w:sz w:val="24"/>
          <w:highlight w:val="none"/>
          <w:u w:val="single"/>
          <w14:textFill>
            <w14:solidFill>
              <w14:schemeClr w14:val="tx1"/>
            </w14:solidFill>
          </w14:textFill>
        </w:rPr>
      </w:pPr>
    </w:p>
    <w:p>
      <w:pPr>
        <w:spacing w:line="700" w:lineRule="exact"/>
        <w:ind w:left="2518" w:leftChars="1199"/>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甲方（</w:t>
      </w:r>
      <w:r>
        <w:rPr>
          <w:rFonts w:hint="eastAsia"/>
          <w:b/>
          <w:color w:val="000000" w:themeColor="text1"/>
          <w:sz w:val="24"/>
          <w:highlight w:val="none"/>
          <w:lang w:eastAsia="zh-CN"/>
          <w14:textFill>
            <w14:solidFill>
              <w14:schemeClr w14:val="tx1"/>
            </w14:solidFill>
          </w14:textFill>
        </w:rPr>
        <w:t>招标人</w:t>
      </w:r>
      <w:r>
        <w:rPr>
          <w:b/>
          <w:color w:val="000000" w:themeColor="text1"/>
          <w:sz w:val="24"/>
          <w:highlight w:val="none"/>
          <w14:textFill>
            <w14:solidFill>
              <w14:schemeClr w14:val="tx1"/>
            </w14:solidFill>
          </w14:textFill>
        </w:rPr>
        <w:t>）：</w:t>
      </w:r>
    </w:p>
    <w:p>
      <w:pPr>
        <w:spacing w:line="700" w:lineRule="exact"/>
        <w:ind w:left="2518" w:leftChars="1199"/>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乙方（中标人）：</w:t>
      </w:r>
    </w:p>
    <w:p>
      <w:pPr>
        <w:spacing w:line="700" w:lineRule="exact"/>
        <w:ind w:left="2518" w:leftChars="1199"/>
        <w:rPr>
          <w:b/>
          <w:color w:val="000000" w:themeColor="text1"/>
          <w:sz w:val="24"/>
          <w:highlight w:val="none"/>
          <w:u w:val="single"/>
          <w14:textFill>
            <w14:solidFill>
              <w14:schemeClr w14:val="tx1"/>
            </w14:solidFill>
          </w14:textFill>
        </w:rPr>
      </w:pPr>
    </w:p>
    <w:p>
      <w:pPr>
        <w:spacing w:line="360" w:lineRule="auto"/>
        <w:ind w:left="105" w:leftChars="50" w:firstLine="181" w:firstLineChars="50"/>
        <w:rPr>
          <w:b/>
          <w:color w:val="000000" w:themeColor="text1"/>
          <w:sz w:val="36"/>
          <w:highlight w:val="none"/>
          <w14:textFill>
            <w14:solidFill>
              <w14:schemeClr w14:val="tx1"/>
            </w14:solidFill>
          </w14:textFill>
        </w:rPr>
      </w:pPr>
    </w:p>
    <w:p>
      <w:pPr>
        <w:spacing w:line="600" w:lineRule="exact"/>
        <w:jc w:val="center"/>
        <w:rPr>
          <w:b/>
          <w:color w:val="000000" w:themeColor="text1"/>
          <w:sz w:val="52"/>
          <w:szCs w:val="52"/>
          <w:highlight w:val="none"/>
          <w14:textFill>
            <w14:solidFill>
              <w14:schemeClr w14:val="tx1"/>
            </w14:solidFill>
          </w14:textFill>
        </w:rPr>
      </w:pPr>
      <w:r>
        <w:rPr>
          <w:b/>
          <w:color w:val="000000" w:themeColor="text1"/>
          <w:sz w:val="52"/>
          <w:szCs w:val="52"/>
          <w:highlight w:val="none"/>
          <w14:textFill>
            <w14:solidFill>
              <w14:schemeClr w14:val="tx1"/>
            </w14:solidFill>
          </w14:textFill>
        </w:rPr>
        <w:br w:type="page"/>
      </w:r>
    </w:p>
    <w:p>
      <w:pPr>
        <w:spacing w:line="500" w:lineRule="exact"/>
        <w:ind w:firstLine="480" w:firstLineChars="200"/>
        <w:rPr>
          <w:color w:val="000000" w:themeColor="text1"/>
          <w:sz w:val="24"/>
          <w:szCs w:val="24"/>
          <w:highlight w:val="none"/>
          <w:u w:val="single"/>
          <w14:textFill>
            <w14:solidFill>
              <w14:schemeClr w14:val="tx1"/>
            </w14:solidFill>
          </w14:textFill>
        </w:rPr>
      </w:pPr>
      <w:r>
        <w:rPr>
          <w:color w:val="000000" w:themeColor="text1"/>
          <w:sz w:val="24"/>
          <w:szCs w:val="24"/>
          <w:highlight w:val="none"/>
          <w:u w:val="single"/>
          <w14:textFill>
            <w14:solidFill>
              <w14:schemeClr w14:val="tx1"/>
            </w14:solidFill>
          </w14:textFill>
        </w:rPr>
        <w:t xml:space="preserve">                               （项目名称）</w:t>
      </w:r>
      <w:r>
        <w:rPr>
          <w:color w:val="000000" w:themeColor="text1"/>
          <w:sz w:val="24"/>
          <w:szCs w:val="24"/>
          <w:highlight w:val="none"/>
          <w14:textFill>
            <w14:solidFill>
              <w14:schemeClr w14:val="tx1"/>
            </w14:solidFill>
          </w14:textFill>
        </w:rPr>
        <w:t>以公开招标的方式进行采购。经评标委员会评审确定</w:t>
      </w:r>
      <w:r>
        <w:rPr>
          <w:color w:val="000000" w:themeColor="text1"/>
          <w:sz w:val="24"/>
          <w:szCs w:val="24"/>
          <w:highlight w:val="none"/>
          <w:u w:val="single"/>
          <w14:textFill>
            <w14:solidFill>
              <w14:schemeClr w14:val="tx1"/>
            </w14:solidFill>
          </w14:textFill>
        </w:rPr>
        <w:t>乙方</w:t>
      </w:r>
      <w:r>
        <w:rPr>
          <w:color w:val="000000" w:themeColor="text1"/>
          <w:sz w:val="24"/>
          <w:szCs w:val="24"/>
          <w:highlight w:val="none"/>
          <w14:textFill>
            <w14:solidFill>
              <w14:schemeClr w14:val="tx1"/>
            </w14:solidFill>
          </w14:textFill>
        </w:rPr>
        <w:t>为中标人。甲、乙双方根据《中华人民共和国</w:t>
      </w:r>
      <w:r>
        <w:rPr>
          <w:rFonts w:hint="eastAsia"/>
          <w:color w:val="000000" w:themeColor="text1"/>
          <w:sz w:val="24"/>
          <w:szCs w:val="24"/>
          <w:highlight w:val="none"/>
          <w:lang w:eastAsia="zh-CN"/>
          <w14:textFill>
            <w14:solidFill>
              <w14:schemeClr w14:val="tx1"/>
            </w14:solidFill>
          </w14:textFill>
        </w:rPr>
        <w:t>民法典</w:t>
      </w:r>
      <w:r>
        <w:rPr>
          <w:color w:val="000000" w:themeColor="text1"/>
          <w:sz w:val="24"/>
          <w:szCs w:val="24"/>
          <w:highlight w:val="none"/>
          <w14:textFill>
            <w14:solidFill>
              <w14:schemeClr w14:val="tx1"/>
            </w14:solidFill>
          </w14:textFill>
        </w:rPr>
        <w:t>》、《中华人民共和国政府采购法》和其他法律、法规的规定，并按照公正、平等、自愿、诚实信用的原则，同意按照以下条款和条件，签署本合同。</w:t>
      </w:r>
    </w:p>
    <w:p>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一、本合同由合同文本和下列文件组成</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1、招标文件</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2、乙方投标文件</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3、中标通知书</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4、乙方在开标过程中做出的书面澄清或承诺</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5、本合同附件</w:t>
      </w:r>
    </w:p>
    <w:p>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二、货物名称、数量、单价、规格和标准(详细清单见附件)</w:t>
      </w:r>
    </w:p>
    <w:tbl>
      <w:tblPr>
        <w:tblStyle w:val="74"/>
        <w:tblW w:w="100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749"/>
        <w:gridCol w:w="1587"/>
        <w:gridCol w:w="1500"/>
        <w:gridCol w:w="771"/>
        <w:gridCol w:w="775"/>
        <w:gridCol w:w="1256"/>
        <w:gridCol w:w="868"/>
        <w:gridCol w:w="8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5" w:type="dxa"/>
            <w:vAlign w:val="center"/>
          </w:tcPr>
          <w:p>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序号</w:t>
            </w:r>
          </w:p>
        </w:tc>
        <w:tc>
          <w:tcPr>
            <w:tcW w:w="1749" w:type="dxa"/>
            <w:vAlign w:val="center"/>
          </w:tcPr>
          <w:p>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产品（货物）</w:t>
            </w:r>
          </w:p>
          <w:p>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名  称</w:t>
            </w:r>
          </w:p>
        </w:tc>
        <w:tc>
          <w:tcPr>
            <w:tcW w:w="1587" w:type="dxa"/>
            <w:vAlign w:val="center"/>
          </w:tcPr>
          <w:p>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w:t>
            </w:r>
          </w:p>
        </w:tc>
        <w:tc>
          <w:tcPr>
            <w:tcW w:w="1500" w:type="dxa"/>
            <w:vAlign w:val="center"/>
          </w:tcPr>
          <w:p>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单位</w:t>
            </w:r>
          </w:p>
        </w:tc>
        <w:tc>
          <w:tcPr>
            <w:tcW w:w="771" w:type="dxa"/>
            <w:vAlign w:val="center"/>
          </w:tcPr>
          <w:p>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数量</w:t>
            </w:r>
          </w:p>
        </w:tc>
        <w:tc>
          <w:tcPr>
            <w:tcW w:w="775" w:type="dxa"/>
            <w:vAlign w:val="center"/>
          </w:tcPr>
          <w:p>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单价</w:t>
            </w:r>
          </w:p>
        </w:tc>
        <w:tc>
          <w:tcPr>
            <w:tcW w:w="1256" w:type="dxa"/>
            <w:shd w:val="clear" w:color="auto" w:fill="auto"/>
            <w:vAlign w:val="center"/>
          </w:tcPr>
          <w:p>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总价</w:t>
            </w:r>
          </w:p>
        </w:tc>
        <w:tc>
          <w:tcPr>
            <w:tcW w:w="868" w:type="dxa"/>
            <w:shd w:val="clear" w:color="auto" w:fill="auto"/>
            <w:vAlign w:val="center"/>
          </w:tcPr>
          <w:p>
            <w:pPr>
              <w:spacing w:line="400" w:lineRule="exact"/>
              <w:jc w:val="center"/>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品牌</w:t>
            </w:r>
          </w:p>
        </w:tc>
        <w:tc>
          <w:tcPr>
            <w:tcW w:w="869" w:type="dxa"/>
            <w:shd w:val="clear" w:color="auto" w:fill="auto"/>
            <w:vAlign w:val="center"/>
          </w:tcPr>
          <w:p>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产地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15" w:type="dxa"/>
            <w:vAlign w:val="center"/>
          </w:tcPr>
          <w:p>
            <w:pPr>
              <w:spacing w:line="5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w:t>
            </w:r>
          </w:p>
        </w:tc>
        <w:tc>
          <w:tcPr>
            <w:tcW w:w="1749"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1587"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1500"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771"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775"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1256"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868"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869" w:type="dxa"/>
            <w:vAlign w:val="center"/>
          </w:tcPr>
          <w:p>
            <w:pPr>
              <w:spacing w:line="500" w:lineRule="exact"/>
              <w:jc w:val="center"/>
              <w:rPr>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15" w:type="dxa"/>
            <w:vAlign w:val="center"/>
          </w:tcPr>
          <w:p>
            <w:pPr>
              <w:spacing w:line="5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p>
        </w:tc>
        <w:tc>
          <w:tcPr>
            <w:tcW w:w="1749"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1587"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1500"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771"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775"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1256"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868"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869" w:type="dxa"/>
            <w:vAlign w:val="center"/>
          </w:tcPr>
          <w:p>
            <w:pPr>
              <w:spacing w:line="500" w:lineRule="exact"/>
              <w:jc w:val="center"/>
              <w:rPr>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15" w:type="dxa"/>
            <w:vAlign w:val="center"/>
          </w:tcPr>
          <w:p>
            <w:pPr>
              <w:spacing w:line="5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w:t>
            </w:r>
          </w:p>
        </w:tc>
        <w:tc>
          <w:tcPr>
            <w:tcW w:w="1749"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1587"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1500"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771"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775"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1256"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868"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869" w:type="dxa"/>
            <w:vAlign w:val="center"/>
          </w:tcPr>
          <w:p>
            <w:pPr>
              <w:spacing w:line="500" w:lineRule="exact"/>
              <w:jc w:val="center"/>
              <w:rPr>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15" w:type="dxa"/>
            <w:vAlign w:val="center"/>
          </w:tcPr>
          <w:p>
            <w:pPr>
              <w:spacing w:line="5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w:t>
            </w:r>
          </w:p>
        </w:tc>
        <w:tc>
          <w:tcPr>
            <w:tcW w:w="1749"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1587"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1500"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771"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775"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1256"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868"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869" w:type="dxa"/>
            <w:vAlign w:val="center"/>
          </w:tcPr>
          <w:p>
            <w:pPr>
              <w:spacing w:line="500" w:lineRule="exact"/>
              <w:jc w:val="center"/>
              <w:rPr>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097" w:type="dxa"/>
            <w:gridSpan w:val="6"/>
            <w:vAlign w:val="center"/>
          </w:tcPr>
          <w:p>
            <w:pPr>
              <w:spacing w:line="5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合           计</w:t>
            </w:r>
          </w:p>
        </w:tc>
        <w:tc>
          <w:tcPr>
            <w:tcW w:w="1256" w:type="dxa"/>
            <w:vAlign w:val="center"/>
          </w:tcPr>
          <w:p>
            <w:pPr>
              <w:spacing w:line="500" w:lineRule="exact"/>
              <w:jc w:val="center"/>
              <w:rPr>
                <w:color w:val="000000" w:themeColor="text1"/>
                <w:sz w:val="24"/>
                <w:szCs w:val="24"/>
                <w:highlight w:val="none"/>
                <w14:textFill>
                  <w14:solidFill>
                    <w14:schemeClr w14:val="tx1"/>
                  </w14:solidFill>
                </w14:textFill>
              </w:rPr>
            </w:pPr>
          </w:p>
        </w:tc>
        <w:tc>
          <w:tcPr>
            <w:tcW w:w="868" w:type="dxa"/>
            <w:vAlign w:val="center"/>
          </w:tcPr>
          <w:p>
            <w:pPr>
              <w:spacing w:line="5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w:t>
            </w:r>
          </w:p>
        </w:tc>
        <w:tc>
          <w:tcPr>
            <w:tcW w:w="869" w:type="dxa"/>
            <w:vAlign w:val="center"/>
          </w:tcPr>
          <w:p>
            <w:pPr>
              <w:spacing w:line="500" w:lineRule="exact"/>
              <w:jc w:val="center"/>
              <w:rPr>
                <w:color w:val="000000" w:themeColor="text1"/>
                <w:sz w:val="24"/>
                <w:szCs w:val="24"/>
                <w:highlight w:val="none"/>
                <w14:textFill>
                  <w14:solidFill>
                    <w14:schemeClr w14:val="tx1"/>
                  </w14:solidFill>
                </w14:textFill>
              </w:rPr>
            </w:pPr>
          </w:p>
        </w:tc>
      </w:tr>
    </w:tbl>
    <w:p>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三、合同金额</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合同总金额：</w:t>
      </w:r>
      <w:r>
        <w:rPr>
          <w:color w:val="000000" w:themeColor="text1"/>
          <w:sz w:val="24"/>
          <w:szCs w:val="24"/>
          <w:highlight w:val="none"/>
          <w:u w:val="single"/>
          <w14:textFill>
            <w14:solidFill>
              <w14:schemeClr w14:val="tx1"/>
            </w14:solidFill>
          </w14:textFill>
        </w:rPr>
        <w:t>人民币</w:t>
      </w:r>
      <w:r>
        <w:rPr>
          <w:color w:val="000000" w:themeColor="text1"/>
          <w:sz w:val="24"/>
          <w:szCs w:val="24"/>
          <w:highlight w:val="none"/>
          <w14:textFill>
            <w14:solidFill>
              <w14:schemeClr w14:val="tx1"/>
            </w14:solidFill>
          </w14:textFill>
        </w:rPr>
        <w:t xml:space="preserve">(大写)元。￥ 元 。     </w:t>
      </w:r>
    </w:p>
    <w:p>
      <w:pPr>
        <w:spacing w:line="500" w:lineRule="exact"/>
        <w:ind w:firstLine="482" w:firstLineChars="200"/>
        <w:rPr>
          <w:b/>
          <w:color w:val="000000" w:themeColor="text1"/>
          <w:sz w:val="24"/>
          <w:szCs w:val="24"/>
          <w:highlight w:val="none"/>
          <w:u w:val="single"/>
          <w14:textFill>
            <w14:solidFill>
              <w14:schemeClr w14:val="tx1"/>
            </w14:solidFill>
          </w14:textFill>
        </w:rPr>
      </w:pPr>
      <w:r>
        <w:rPr>
          <w:b/>
          <w:color w:val="000000" w:themeColor="text1"/>
          <w:sz w:val="24"/>
          <w:szCs w:val="24"/>
          <w:highlight w:val="none"/>
          <w14:textFill>
            <w14:solidFill>
              <w14:schemeClr w14:val="tx1"/>
            </w14:solidFill>
          </w14:textFill>
        </w:rPr>
        <w:t>四、货款支付：</w:t>
      </w:r>
      <w:r>
        <w:rPr>
          <w:b/>
          <w:color w:val="000000" w:themeColor="text1"/>
          <w:sz w:val="24"/>
          <w:szCs w:val="24"/>
          <w:highlight w:val="none"/>
          <w:u w:val="single"/>
          <w14:textFill>
            <w14:solidFill>
              <w14:schemeClr w14:val="tx1"/>
            </w14:solidFill>
          </w14:textFill>
        </w:rPr>
        <w:t xml:space="preserve"> （按招标文件规定填写）</w:t>
      </w:r>
    </w:p>
    <w:p>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五、交货</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1、风险负担：货物毁损、灭失的风险在该货物通过甲乙双方联合验收交付前由乙方承担，因质量问题甲方拒收的，风险由乙方承担。</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2、交货时间：合同生效后于年月日以前交货。 </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3、交货地点：</w:t>
      </w:r>
    </w:p>
    <w:p>
      <w:pPr>
        <w:spacing w:line="500" w:lineRule="exact"/>
        <w:ind w:left="122" w:firstLine="482" w:firstLineChars="200"/>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六</w:t>
      </w:r>
      <w:r>
        <w:rPr>
          <w:b/>
          <w:color w:val="000000" w:themeColor="text1"/>
          <w:sz w:val="24"/>
          <w:szCs w:val="24"/>
          <w:highlight w:val="none"/>
          <w14:textFill>
            <w14:solidFill>
              <w14:schemeClr w14:val="tx1"/>
            </w14:solidFill>
          </w14:textFill>
        </w:rPr>
        <w:t>、质量</w:t>
      </w:r>
    </w:p>
    <w:p>
      <w:pPr>
        <w:spacing w:line="500" w:lineRule="exact"/>
        <w:ind w:left="105"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货物的质量应符合招标文件、投标文件及乙方在开标过程中做出的书面澄清及承诺。</w:t>
      </w:r>
    </w:p>
    <w:p>
      <w:pPr>
        <w:spacing w:line="500" w:lineRule="exact"/>
        <w:ind w:left="105" w:firstLine="482" w:firstLineChars="200"/>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七</w:t>
      </w:r>
      <w:r>
        <w:rPr>
          <w:b/>
          <w:color w:val="000000" w:themeColor="text1"/>
          <w:sz w:val="24"/>
          <w:szCs w:val="24"/>
          <w:highlight w:val="none"/>
          <w14:textFill>
            <w14:solidFill>
              <w14:schemeClr w14:val="tx1"/>
            </w14:solidFill>
          </w14:textFill>
        </w:rPr>
        <w:t>、包装</w:t>
      </w:r>
    </w:p>
    <w:p>
      <w:pPr>
        <w:spacing w:line="500" w:lineRule="exact"/>
        <w:ind w:left="105"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货物的包装应按照国家或业务主管部门的技术规定执行，国家或业务主管部门无技术规定的，应当按双方约定采取足以保护货物安全、完好的包装方式。</w:t>
      </w:r>
    </w:p>
    <w:p>
      <w:pPr>
        <w:spacing w:line="500" w:lineRule="exact"/>
        <w:ind w:left="105" w:firstLine="482" w:firstLineChars="200"/>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八</w:t>
      </w:r>
      <w:r>
        <w:rPr>
          <w:b/>
          <w:color w:val="000000" w:themeColor="text1"/>
          <w:sz w:val="24"/>
          <w:szCs w:val="24"/>
          <w:highlight w:val="none"/>
          <w14:textFill>
            <w14:solidFill>
              <w14:schemeClr w14:val="tx1"/>
            </w14:solidFill>
          </w14:textFill>
        </w:rPr>
        <w:t>、运输要求及报价范围</w:t>
      </w:r>
    </w:p>
    <w:p>
      <w:pPr>
        <w:spacing w:line="500" w:lineRule="exact"/>
        <w:ind w:left="105"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1、运输及相关费用由乙方承担。</w:t>
      </w:r>
    </w:p>
    <w:p>
      <w:pPr>
        <w:spacing w:line="500" w:lineRule="exact"/>
        <w:ind w:left="105"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2、报价应含运输装卸、售后服务等费用。</w:t>
      </w:r>
    </w:p>
    <w:p>
      <w:pPr>
        <w:spacing w:line="500" w:lineRule="exact"/>
        <w:ind w:left="105" w:firstLine="482" w:firstLineChars="200"/>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九</w:t>
      </w:r>
      <w:r>
        <w:rPr>
          <w:b/>
          <w:color w:val="000000" w:themeColor="text1"/>
          <w:sz w:val="24"/>
          <w:szCs w:val="24"/>
          <w:highlight w:val="none"/>
          <w14:textFill>
            <w14:solidFill>
              <w14:schemeClr w14:val="tx1"/>
            </w14:solidFill>
          </w14:textFill>
        </w:rPr>
        <w:t>、知识产权</w:t>
      </w:r>
    </w:p>
    <w:p>
      <w:pPr>
        <w:spacing w:line="500" w:lineRule="exact"/>
        <w:ind w:left="105" w:right="-401" w:rightChars="-191"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乙方应保证甲方在中国境内使用货物或货物的任何一部分时，免受第三方提出的侵犯其知识产权的诉讼。如乙方由此为甲方所造成的一切损失由乙方承担。</w:t>
      </w:r>
    </w:p>
    <w:p>
      <w:pPr>
        <w:spacing w:line="500" w:lineRule="exact"/>
        <w:ind w:left="105" w:right="-401" w:rightChars="-191"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十、验收</w:t>
      </w:r>
    </w:p>
    <w:p>
      <w:pPr>
        <w:spacing w:line="500" w:lineRule="exact"/>
        <w:ind w:left="105" w:right="-401" w:rightChars="-191"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1、对项目的质量问题，甲方应在发现之日起</w:t>
      </w:r>
      <w:r>
        <w:rPr>
          <w:color w:val="000000" w:themeColor="text1"/>
          <w:sz w:val="24"/>
          <w:szCs w:val="24"/>
          <w:highlight w:val="none"/>
          <w:u w:val="single"/>
          <w14:textFill>
            <w14:solidFill>
              <w14:schemeClr w14:val="tx1"/>
            </w14:solidFill>
          </w14:textFill>
        </w:rPr>
        <w:t>30</w:t>
      </w:r>
      <w:r>
        <w:rPr>
          <w:color w:val="000000" w:themeColor="text1"/>
          <w:sz w:val="24"/>
          <w:szCs w:val="24"/>
          <w:highlight w:val="none"/>
          <w14:textFill>
            <w14:solidFill>
              <w14:schemeClr w14:val="tx1"/>
            </w14:solidFill>
          </w14:textFill>
        </w:rPr>
        <w:t>日内向乙方提出书面异议，乙方在接到书面异议后，应当在日内负责处理。甲方逾期提出的，对所交货物视为符合合同的规定。如果乙方在投标文件及开标过程中做出的书面说明及承诺中，有明确质量保证期的，适用质量保证期。</w:t>
      </w:r>
    </w:p>
    <w:p>
      <w:pPr>
        <w:spacing w:line="500" w:lineRule="exact"/>
        <w:ind w:left="105" w:right="-401" w:rightChars="-191"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2、该项目由甲乙双方及抽取专家共同验收，项目达不到质量或规格要求的，甲方可以拒收，并可以解除合同，造成的一切损失由乙方承担。</w:t>
      </w:r>
    </w:p>
    <w:p>
      <w:pPr>
        <w:spacing w:line="500" w:lineRule="exact"/>
        <w:ind w:left="105" w:right="-401" w:rightChars="-191"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十</w:t>
      </w:r>
      <w:r>
        <w:rPr>
          <w:rFonts w:hint="eastAsia"/>
          <w:b/>
          <w:color w:val="000000" w:themeColor="text1"/>
          <w:sz w:val="24"/>
          <w:szCs w:val="24"/>
          <w:highlight w:val="none"/>
          <w14:textFill>
            <w14:solidFill>
              <w14:schemeClr w14:val="tx1"/>
            </w14:solidFill>
          </w14:textFill>
        </w:rPr>
        <w:t>一</w:t>
      </w:r>
      <w:r>
        <w:rPr>
          <w:b/>
          <w:color w:val="000000" w:themeColor="text1"/>
          <w:sz w:val="24"/>
          <w:szCs w:val="24"/>
          <w:highlight w:val="none"/>
          <w14:textFill>
            <w14:solidFill>
              <w14:schemeClr w14:val="tx1"/>
            </w14:solidFill>
          </w14:textFill>
        </w:rPr>
        <w:t>、售后服务</w:t>
      </w:r>
    </w:p>
    <w:p>
      <w:pPr>
        <w:spacing w:line="500" w:lineRule="exact"/>
        <w:ind w:left="105" w:right="-401" w:rightChars="-191"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1、乙方应按招标文件、投标文件及乙方在开标过程中做出的书面说明或承诺提供及时、快速、优质的售后服务；</w:t>
      </w:r>
    </w:p>
    <w:p>
      <w:pPr>
        <w:spacing w:line="500" w:lineRule="exact"/>
        <w:ind w:firstLine="480" w:firstLineChars="200"/>
        <w:rPr>
          <w:color w:val="000000" w:themeColor="text1"/>
          <w:sz w:val="24"/>
          <w:szCs w:val="24"/>
          <w:highlight w:val="none"/>
          <w:u w:val="single"/>
          <w14:textFill>
            <w14:solidFill>
              <w14:schemeClr w14:val="tx1"/>
            </w14:solidFill>
          </w14:textFill>
        </w:rPr>
      </w:pPr>
      <w:r>
        <w:rPr>
          <w:color w:val="000000" w:themeColor="text1"/>
          <w:sz w:val="24"/>
          <w:szCs w:val="24"/>
          <w:highlight w:val="none"/>
          <w14:textFill>
            <w14:solidFill>
              <w14:schemeClr w14:val="tx1"/>
            </w14:solidFill>
          </w14:textFill>
        </w:rPr>
        <w:t>2、其它售后服务承诺：</w:t>
      </w:r>
      <w:r>
        <w:rPr>
          <w:color w:val="000000" w:themeColor="text1"/>
          <w:sz w:val="24"/>
          <w:szCs w:val="24"/>
          <w:highlight w:val="none"/>
          <w:u w:val="single"/>
          <w14:textFill>
            <w14:solidFill>
              <w14:schemeClr w14:val="tx1"/>
            </w14:solidFill>
          </w14:textFill>
        </w:rPr>
        <w:t>（填响应时间）。</w:t>
      </w:r>
    </w:p>
    <w:p>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十</w:t>
      </w:r>
      <w:r>
        <w:rPr>
          <w:rFonts w:hint="eastAsia"/>
          <w:b/>
          <w:color w:val="000000" w:themeColor="text1"/>
          <w:sz w:val="24"/>
          <w:szCs w:val="24"/>
          <w:highlight w:val="none"/>
          <w14:textFill>
            <w14:solidFill>
              <w14:schemeClr w14:val="tx1"/>
            </w14:solidFill>
          </w14:textFill>
        </w:rPr>
        <w:t>二</w:t>
      </w:r>
      <w:r>
        <w:rPr>
          <w:b/>
          <w:color w:val="000000" w:themeColor="text1"/>
          <w:sz w:val="24"/>
          <w:szCs w:val="24"/>
          <w:highlight w:val="none"/>
          <w14:textFill>
            <w14:solidFill>
              <w14:schemeClr w14:val="tx1"/>
            </w14:solidFill>
          </w14:textFill>
        </w:rPr>
        <w:t>、合同生效</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本合同为附条件生效合同，除甲乙双方签章，还应满足以下条件时合同生效：</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乙方应提交：代理服务费、验收费。</w:t>
      </w:r>
    </w:p>
    <w:p>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十</w:t>
      </w:r>
      <w:r>
        <w:rPr>
          <w:rFonts w:hint="eastAsia"/>
          <w:b/>
          <w:color w:val="000000" w:themeColor="text1"/>
          <w:sz w:val="24"/>
          <w:szCs w:val="24"/>
          <w:highlight w:val="none"/>
          <w14:textFill>
            <w14:solidFill>
              <w14:schemeClr w14:val="tx1"/>
            </w14:solidFill>
          </w14:textFill>
        </w:rPr>
        <w:t>三</w:t>
      </w:r>
      <w:r>
        <w:rPr>
          <w:b/>
          <w:color w:val="000000" w:themeColor="text1"/>
          <w:sz w:val="24"/>
          <w:szCs w:val="24"/>
          <w:highlight w:val="none"/>
          <w14:textFill>
            <w14:solidFill>
              <w14:schemeClr w14:val="tx1"/>
            </w14:solidFill>
          </w14:textFill>
        </w:rPr>
        <w:t>、违约条款</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1、所供货物经验收达不到规定要求的甲方可拒付全部货款，为甲方造成损失的承担相应赔偿责任。</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2、甲方延迟验收货物，延迟验收期间发生的费用由甲方承担赔偿责任；</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w:t>
      </w:r>
      <w:r>
        <w:rPr>
          <w:color w:val="auto"/>
          <w:sz w:val="24"/>
          <w:szCs w:val="24"/>
          <w:highlight w:val="none"/>
        </w:rPr>
        <w:t>乙方延迟交付，每延迟1日，按应交付货物总额</w:t>
      </w:r>
      <w:r>
        <w:rPr>
          <w:rFonts w:hint="eastAsia"/>
          <w:color w:val="auto"/>
          <w:sz w:val="24"/>
          <w:szCs w:val="24"/>
          <w:highlight w:val="none"/>
          <w:u w:val="single"/>
          <w:lang w:val="en-US" w:eastAsia="zh-CN"/>
        </w:rPr>
        <w:t xml:space="preserve">      </w:t>
      </w:r>
      <w:r>
        <w:rPr>
          <w:color w:val="auto"/>
          <w:sz w:val="24"/>
          <w:szCs w:val="24"/>
          <w:highlight w:val="none"/>
        </w:rPr>
        <w:t>支付违约金</w:t>
      </w:r>
      <w:r>
        <w:rPr>
          <w:color w:val="000000" w:themeColor="text1"/>
          <w:sz w:val="24"/>
          <w:szCs w:val="24"/>
          <w:highlight w:val="none"/>
          <w14:textFill>
            <w14:solidFill>
              <w14:schemeClr w14:val="tx1"/>
            </w14:solidFill>
          </w14:textFill>
        </w:rPr>
        <w:t>；</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4、一方不按期履行合同，并经另一方提示后日内仍不履行合同的，经双方同意后，守约方有权解除合同，违约方要承担相应的赔偿责任；</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5、如因一方违约，双方未能就赔偿损失达成协议，引起诉讼或仲裁时，违约方除应赔偿对方经济损失外，还应承担对方因诉讼或仲裁所支付的律师代理费等相关费用；</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6、其它应承担的违约责任，以《中华人民共和国</w:t>
      </w:r>
      <w:r>
        <w:rPr>
          <w:rFonts w:hint="eastAsia"/>
          <w:color w:val="000000" w:themeColor="text1"/>
          <w:sz w:val="24"/>
          <w:szCs w:val="24"/>
          <w:highlight w:val="none"/>
          <w:lang w:eastAsia="zh-CN"/>
          <w14:textFill>
            <w14:solidFill>
              <w14:schemeClr w14:val="tx1"/>
            </w14:solidFill>
          </w14:textFill>
        </w:rPr>
        <w:t>民法典</w:t>
      </w:r>
      <w:r>
        <w:rPr>
          <w:color w:val="000000" w:themeColor="text1"/>
          <w:sz w:val="24"/>
          <w:szCs w:val="24"/>
          <w:highlight w:val="none"/>
          <w14:textFill>
            <w14:solidFill>
              <w14:schemeClr w14:val="tx1"/>
            </w14:solidFill>
          </w14:textFill>
        </w:rPr>
        <w:t>》和其它有关法律、法规规定为准，无相关规定的，双方协商解决；</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7、按照本合同规定应该偿付的违约金、赔偿金等，应当在明确责任后日内，按银行规定或双方商定的结算办法付清，否则按逾期付款处理。</w:t>
      </w:r>
    </w:p>
    <w:p>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十</w:t>
      </w:r>
      <w:r>
        <w:rPr>
          <w:rFonts w:hint="eastAsia"/>
          <w:b/>
          <w:color w:val="000000" w:themeColor="text1"/>
          <w:sz w:val="24"/>
          <w:szCs w:val="24"/>
          <w:highlight w:val="none"/>
          <w14:textFill>
            <w14:solidFill>
              <w14:schemeClr w14:val="tx1"/>
            </w14:solidFill>
          </w14:textFill>
        </w:rPr>
        <w:t>四</w:t>
      </w:r>
      <w:r>
        <w:rPr>
          <w:b/>
          <w:color w:val="000000" w:themeColor="text1"/>
          <w:sz w:val="24"/>
          <w:szCs w:val="24"/>
          <w:highlight w:val="none"/>
          <w14:textFill>
            <w14:solidFill>
              <w14:schemeClr w14:val="tx1"/>
            </w14:solidFill>
          </w14:textFill>
        </w:rPr>
        <w:t>、不可抗力条款</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因不可抗力致使一方不能及时或完全履行合同的，应及时通知政府采购办公室及另一方，双方互不承担责任，并在天内提供有关不可抗力的相应证明。</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合同未履行部分是否继续履行、如何履行等问题，可由双方协商解决，并以书面形式报政府采购办公室审核后确定。</w:t>
      </w:r>
    </w:p>
    <w:p>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十</w:t>
      </w:r>
      <w:r>
        <w:rPr>
          <w:rFonts w:hint="eastAsia"/>
          <w:b/>
          <w:color w:val="000000" w:themeColor="text1"/>
          <w:sz w:val="24"/>
          <w:szCs w:val="24"/>
          <w:highlight w:val="none"/>
          <w14:textFill>
            <w14:solidFill>
              <w14:schemeClr w14:val="tx1"/>
            </w14:solidFill>
          </w14:textFill>
        </w:rPr>
        <w:t>五</w:t>
      </w:r>
      <w:r>
        <w:rPr>
          <w:b/>
          <w:color w:val="000000" w:themeColor="text1"/>
          <w:sz w:val="24"/>
          <w:szCs w:val="24"/>
          <w:highlight w:val="none"/>
          <w14:textFill>
            <w14:solidFill>
              <w14:schemeClr w14:val="tx1"/>
            </w14:solidFill>
          </w14:textFill>
        </w:rPr>
        <w:t>、争议的解决方式</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合同发生纠纷时，双方应协商解决，协商不成可以采用下列方式解决：</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(1)提交</w:t>
      </w:r>
      <w:r>
        <w:rPr>
          <w:rFonts w:hint="eastAsia"/>
          <w:color w:val="000000" w:themeColor="text1"/>
          <w:sz w:val="24"/>
          <w:szCs w:val="24"/>
          <w:highlight w:val="none"/>
          <w:u w:val="single"/>
          <w:lang w:eastAsia="zh-CN"/>
          <w14:textFill>
            <w14:solidFill>
              <w14:schemeClr w14:val="tx1"/>
            </w14:solidFill>
          </w14:textFill>
        </w:rPr>
        <w:t>聊城</w:t>
      </w:r>
      <w:r>
        <w:rPr>
          <w:color w:val="000000" w:themeColor="text1"/>
          <w:sz w:val="24"/>
          <w:szCs w:val="24"/>
          <w:highlight w:val="none"/>
          <w14:textFill>
            <w14:solidFill>
              <w14:schemeClr w14:val="tx1"/>
            </w14:solidFill>
          </w14:textFill>
        </w:rPr>
        <w:t>仲裁委员会仲裁；</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(2)向</w:t>
      </w:r>
      <w:r>
        <w:rPr>
          <w:rFonts w:hint="eastAsia"/>
          <w:color w:val="000000" w:themeColor="text1"/>
          <w:sz w:val="24"/>
          <w:szCs w:val="24"/>
          <w:highlight w:val="none"/>
          <w:u w:val="single"/>
          <w:lang w:eastAsia="zh-CN"/>
          <w14:textFill>
            <w14:solidFill>
              <w14:schemeClr w14:val="tx1"/>
            </w14:solidFill>
          </w14:textFill>
        </w:rPr>
        <w:t>项目所在地</w:t>
      </w:r>
      <w:r>
        <w:rPr>
          <w:color w:val="000000" w:themeColor="text1"/>
          <w:sz w:val="24"/>
          <w:szCs w:val="24"/>
          <w:highlight w:val="none"/>
          <w14:textFill>
            <w14:solidFill>
              <w14:schemeClr w14:val="tx1"/>
            </w14:solidFill>
          </w14:textFill>
        </w:rPr>
        <w:t>人民法院起诉。</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本合同发生纠纷，经双方协商不能解决时，采用第</w:t>
      </w:r>
      <w:r>
        <w:rPr>
          <w:color w:val="000000" w:themeColor="text1"/>
          <w:sz w:val="24"/>
          <w:szCs w:val="24"/>
          <w:highlight w:val="none"/>
          <w:u w:val="single"/>
          <w14:textFill>
            <w14:solidFill>
              <w14:schemeClr w14:val="tx1"/>
            </w14:solidFill>
          </w14:textFill>
        </w:rPr>
        <w:t xml:space="preserve"> （1） </w:t>
      </w:r>
      <w:r>
        <w:rPr>
          <w:color w:val="000000" w:themeColor="text1"/>
          <w:sz w:val="24"/>
          <w:szCs w:val="24"/>
          <w:highlight w:val="none"/>
          <w14:textFill>
            <w14:solidFill>
              <w14:schemeClr w14:val="tx1"/>
            </w14:solidFill>
          </w14:textFill>
        </w:rPr>
        <w:t>种方式予以解决。</w:t>
      </w:r>
    </w:p>
    <w:p>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十</w:t>
      </w:r>
      <w:r>
        <w:rPr>
          <w:rFonts w:hint="eastAsia"/>
          <w:b/>
          <w:color w:val="000000" w:themeColor="text1"/>
          <w:sz w:val="24"/>
          <w:szCs w:val="24"/>
          <w:highlight w:val="none"/>
          <w14:textFill>
            <w14:solidFill>
              <w14:schemeClr w14:val="tx1"/>
            </w14:solidFill>
          </w14:textFill>
        </w:rPr>
        <w:t>六</w:t>
      </w:r>
      <w:r>
        <w:rPr>
          <w:b/>
          <w:color w:val="000000" w:themeColor="text1"/>
          <w:sz w:val="24"/>
          <w:szCs w:val="24"/>
          <w:highlight w:val="none"/>
          <w14:textFill>
            <w14:solidFill>
              <w14:schemeClr w14:val="tx1"/>
            </w14:solidFill>
          </w14:textFill>
        </w:rPr>
        <w:t>、补充协议</w:t>
      </w:r>
    </w:p>
    <w:p>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合同未尽事宜，经双方协商可签订补充协议，所签订的补充协议与本合同具有同等的法律效力，补充协议的生效应符合本合同第十二条的规定。</w:t>
      </w:r>
    </w:p>
    <w:p>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十</w:t>
      </w:r>
      <w:r>
        <w:rPr>
          <w:rFonts w:hint="eastAsia"/>
          <w:b/>
          <w:color w:val="000000" w:themeColor="text1"/>
          <w:sz w:val="24"/>
          <w:szCs w:val="24"/>
          <w:highlight w:val="none"/>
          <w14:textFill>
            <w14:solidFill>
              <w14:schemeClr w14:val="tx1"/>
            </w14:solidFill>
          </w14:textFill>
        </w:rPr>
        <w:t>七</w:t>
      </w:r>
      <w:r>
        <w:rPr>
          <w:b/>
          <w:color w:val="000000" w:themeColor="text1"/>
          <w:sz w:val="24"/>
          <w:szCs w:val="24"/>
          <w:highlight w:val="none"/>
          <w14:textFill>
            <w14:solidFill>
              <w14:schemeClr w14:val="tx1"/>
            </w14:solidFill>
          </w14:textFill>
        </w:rPr>
        <w:t>、合同保存</w:t>
      </w:r>
    </w:p>
    <w:p>
      <w:pPr>
        <w:pStyle w:val="494"/>
        <w:tabs>
          <w:tab w:val="left" w:pos="5040"/>
          <w:tab w:val="left" w:pos="5220"/>
          <w:tab w:val="left" w:pos="9000"/>
        </w:tabs>
        <w:spacing w:before="0" w:after="0" w:line="360" w:lineRule="auto"/>
        <w:ind w:left="0" w:leftChars="0" w:right="-22" w:rightChars="0" w:firstLine="420" w:firstLineChars="175"/>
        <w:jc w:val="left"/>
        <w:rPr>
          <w:rFonts w:hint="eastAsia" w:ascii="宋体" w:hAnsi="宋体" w:eastAsia="宋体" w:cs="宋体"/>
          <w:bCs/>
          <w:szCs w:val="24"/>
          <w:highlight w:val="none"/>
          <w:lang w:eastAsia="zh-CN"/>
        </w:rPr>
      </w:pPr>
      <w:r>
        <w:rPr>
          <w:color w:val="000000" w:themeColor="text1"/>
          <w:kern w:val="0"/>
          <w:sz w:val="24"/>
          <w:szCs w:val="24"/>
          <w:highlight w:val="none"/>
          <w14:textFill>
            <w14:solidFill>
              <w14:schemeClr w14:val="tx1"/>
            </w14:solidFill>
          </w14:textFill>
        </w:rPr>
        <w:t>3</w:t>
      </w:r>
      <w:r>
        <w:rPr>
          <w:rFonts w:ascii="宋体" w:hAnsi="宋体" w:cs="宋体"/>
          <w:color w:val="000000" w:themeColor="text1"/>
          <w:kern w:val="0"/>
          <w:sz w:val="24"/>
          <w:szCs w:val="24"/>
          <w:highlight w:val="none"/>
          <w14:textFill>
            <w14:solidFill>
              <w14:schemeClr w14:val="tx1"/>
            </w14:solidFill>
          </w14:textFill>
        </w:rPr>
        <w:t>、</w:t>
      </w:r>
      <w:r>
        <w:rPr>
          <w:rFonts w:hint="eastAsia" w:ascii="宋体" w:cs="宋体"/>
          <w:color w:val="000000" w:themeColor="text1"/>
          <w:kern w:val="0"/>
          <w:sz w:val="24"/>
          <w:szCs w:val="24"/>
          <w:highlight w:val="none"/>
          <w14:textFill>
            <w14:solidFill>
              <w14:schemeClr w14:val="tx1"/>
            </w14:solidFill>
          </w14:textFill>
        </w:rPr>
        <w:t>本合同一式份，甲方</w:t>
      </w:r>
      <w:r>
        <w:rPr>
          <w:rFonts w:hint="eastAsia" w:asci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cs="宋体"/>
          <w:color w:val="000000" w:themeColor="text1"/>
          <w:kern w:val="0"/>
          <w:sz w:val="24"/>
          <w:szCs w:val="24"/>
          <w:highlight w:val="none"/>
          <w14:textFill>
            <w14:solidFill>
              <w14:schemeClr w14:val="tx1"/>
            </w14:solidFill>
          </w14:textFill>
        </w:rPr>
        <w:t>份，乙方</w:t>
      </w:r>
      <w:r>
        <w:rPr>
          <w:rFonts w:hint="eastAsia" w:asci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cs="宋体"/>
          <w:color w:val="000000" w:themeColor="text1"/>
          <w:kern w:val="0"/>
          <w:sz w:val="24"/>
          <w:szCs w:val="24"/>
          <w:highlight w:val="none"/>
          <w14:textFill>
            <w14:solidFill>
              <w14:schemeClr w14:val="tx1"/>
            </w14:solidFill>
          </w14:textFill>
        </w:rPr>
        <w:t>份，</w:t>
      </w:r>
      <w:r>
        <w:rPr>
          <w:rFonts w:hint="eastAsia" w:ascii="宋体" w:cs="宋体"/>
          <w:color w:val="000000" w:themeColor="text1"/>
          <w:kern w:val="0"/>
          <w:sz w:val="24"/>
          <w:szCs w:val="24"/>
          <w:highlight w:val="none"/>
          <w:lang w:eastAsia="zh-CN"/>
          <w14:textFill>
            <w14:solidFill>
              <w14:schemeClr w14:val="tx1"/>
            </w14:solidFill>
          </w14:textFill>
        </w:rPr>
        <w:t>招标代理机构</w:t>
      </w:r>
      <w:r>
        <w:rPr>
          <w:rFonts w:hint="eastAsia" w:asci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cs="宋体"/>
          <w:color w:val="000000" w:themeColor="text1"/>
          <w:kern w:val="0"/>
          <w:sz w:val="24"/>
          <w:szCs w:val="24"/>
          <w:highlight w:val="none"/>
          <w14:textFill>
            <w14:solidFill>
              <w14:schemeClr w14:val="tx1"/>
            </w14:solidFill>
          </w14:textFill>
        </w:rPr>
        <w:t>份</w:t>
      </w:r>
      <w:r>
        <w:rPr>
          <w:rFonts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sz w:val="24"/>
          <w:highlight w:val="none"/>
        </w:rPr>
        <w:t>备案</w:t>
      </w:r>
      <w:r>
        <w:rPr>
          <w:rFonts w:hint="eastAsia" w:ascii="宋体" w:hAnsi="宋体" w:cs="宋体"/>
          <w:sz w:val="24"/>
          <w:highlight w:val="none"/>
          <w:lang w:eastAsia="zh-CN"/>
        </w:rPr>
        <w:t>方</w:t>
      </w:r>
      <w:r>
        <w:rPr>
          <w:rFonts w:hint="eastAsia" w:ascii="宋体" w:hAnsi="宋体" w:cs="宋体"/>
          <w:sz w:val="24"/>
          <w:highlight w:val="none"/>
          <w:u w:val="single"/>
          <w:lang w:eastAsia="zh-CN"/>
        </w:rPr>
        <w:t>贰</w:t>
      </w:r>
      <w:r>
        <w:rPr>
          <w:rFonts w:hint="eastAsia" w:ascii="宋体" w:hAnsi="宋体" w:cs="宋体"/>
          <w:sz w:val="24"/>
          <w:highlight w:val="none"/>
        </w:rPr>
        <w:t>份。</w:t>
      </w:r>
    </w:p>
    <w:p>
      <w:pPr>
        <w:pStyle w:val="494"/>
        <w:tabs>
          <w:tab w:val="left" w:pos="5040"/>
          <w:tab w:val="left" w:pos="5220"/>
          <w:tab w:val="left" w:pos="9000"/>
        </w:tabs>
        <w:spacing w:before="0" w:after="0" w:line="520" w:lineRule="exact"/>
        <w:ind w:right="-360"/>
        <w:rPr>
          <w:rFonts w:hAnsi="宋体"/>
          <w:bCs/>
          <w:color w:val="000000" w:themeColor="text1"/>
          <w:szCs w:val="24"/>
          <w:highlight w:val="none"/>
          <w14:textFill>
            <w14:solidFill>
              <w14:schemeClr w14:val="tx1"/>
            </w14:solidFill>
          </w14:textFill>
        </w:rPr>
      </w:pPr>
    </w:p>
    <w:p>
      <w:pPr>
        <w:pStyle w:val="494"/>
        <w:tabs>
          <w:tab w:val="left" w:pos="5040"/>
          <w:tab w:val="left" w:pos="5220"/>
          <w:tab w:val="left" w:pos="9000"/>
        </w:tabs>
        <w:spacing w:before="0" w:after="0" w:line="520" w:lineRule="exact"/>
        <w:ind w:right="-360"/>
        <w:rPr>
          <w:rFonts w:hAnsi="宋体"/>
          <w:bCs/>
          <w:color w:val="000000" w:themeColor="text1"/>
          <w:szCs w:val="24"/>
          <w:highlight w:val="none"/>
          <w14:textFill>
            <w14:solidFill>
              <w14:schemeClr w14:val="tx1"/>
            </w14:solidFill>
          </w14:textFill>
        </w:rPr>
      </w:pPr>
    </w:p>
    <w:p>
      <w:pPr>
        <w:pStyle w:val="494"/>
        <w:tabs>
          <w:tab w:val="left" w:pos="5040"/>
          <w:tab w:val="left" w:pos="5220"/>
          <w:tab w:val="left" w:pos="9000"/>
        </w:tabs>
        <w:spacing w:before="0" w:after="0" w:line="520" w:lineRule="exact"/>
        <w:ind w:right="-360"/>
        <w:rPr>
          <w:rFonts w:hAnsi="宋体"/>
          <w:bCs/>
          <w:color w:val="000000" w:themeColor="text1"/>
          <w:szCs w:val="24"/>
          <w:highlight w:val="none"/>
          <w14:textFill>
            <w14:solidFill>
              <w14:schemeClr w14:val="tx1"/>
            </w14:solidFill>
          </w14:textFill>
        </w:rPr>
      </w:pPr>
    </w:p>
    <w:p>
      <w:pPr>
        <w:pStyle w:val="494"/>
        <w:tabs>
          <w:tab w:val="left" w:pos="5040"/>
          <w:tab w:val="left" w:pos="5220"/>
          <w:tab w:val="left" w:pos="9000"/>
        </w:tabs>
        <w:spacing w:before="0" w:after="0" w:line="520" w:lineRule="exact"/>
        <w:ind w:right="-360"/>
        <w:rPr>
          <w:rFonts w:hint="eastAsia" w:hAnsi="宋体" w:eastAsia="宋体"/>
          <w:bCs/>
          <w:color w:val="000000" w:themeColor="text1"/>
          <w:szCs w:val="24"/>
          <w:highlight w:val="none"/>
          <w:lang w:eastAsia="zh-CN"/>
          <w14:textFill>
            <w14:solidFill>
              <w14:schemeClr w14:val="tx1"/>
            </w14:solidFill>
          </w14:textFill>
        </w:rPr>
      </w:pPr>
      <w:r>
        <w:rPr>
          <w:rFonts w:hint="eastAsia" w:hAnsi="宋体"/>
          <w:bCs/>
          <w:color w:val="000000" w:themeColor="text1"/>
          <w:szCs w:val="24"/>
          <w:highlight w:val="none"/>
          <w14:textFill>
            <w14:solidFill>
              <w14:schemeClr w14:val="tx1"/>
            </w14:solidFill>
          </w14:textFill>
        </w:rPr>
        <w:t>甲方</w:t>
      </w:r>
      <w:r>
        <w:rPr>
          <w:rFonts w:hAnsi="宋体"/>
          <w:bCs/>
          <w:color w:val="000000" w:themeColor="text1"/>
          <w:szCs w:val="24"/>
          <w:highlight w:val="none"/>
          <w14:textFill>
            <w14:solidFill>
              <w14:schemeClr w14:val="tx1"/>
            </w14:solidFill>
          </w14:textFill>
        </w:rPr>
        <w:t>（盖章）：　　　　</w:t>
      </w:r>
      <w:r>
        <w:rPr>
          <w:rFonts w:hint="eastAsia" w:hAnsi="宋体"/>
          <w:bCs/>
          <w:color w:val="000000" w:themeColor="text1"/>
          <w:szCs w:val="24"/>
          <w:highlight w:val="none"/>
          <w:lang w:val="en-US" w:eastAsia="zh-CN"/>
          <w14:textFill>
            <w14:solidFill>
              <w14:schemeClr w14:val="tx1"/>
            </w14:solidFill>
          </w14:textFill>
        </w:rPr>
        <w:t xml:space="preserve">                    </w:t>
      </w:r>
      <w:r>
        <w:rPr>
          <w:rFonts w:hint="eastAsia" w:hAnsi="宋体"/>
          <w:bCs/>
          <w:color w:val="000000" w:themeColor="text1"/>
          <w:szCs w:val="24"/>
          <w:highlight w:val="none"/>
          <w14:textFill>
            <w14:solidFill>
              <w14:schemeClr w14:val="tx1"/>
            </w14:solidFill>
          </w14:textFill>
        </w:rPr>
        <w:t>乙方</w:t>
      </w:r>
      <w:r>
        <w:rPr>
          <w:rFonts w:hAnsi="宋体"/>
          <w:bCs/>
          <w:color w:val="000000" w:themeColor="text1"/>
          <w:szCs w:val="24"/>
          <w:highlight w:val="none"/>
          <w14:textFill>
            <w14:solidFill>
              <w14:schemeClr w14:val="tx1"/>
            </w14:solidFill>
          </w14:textFill>
        </w:rPr>
        <w:t>（盖章）：</w:t>
      </w:r>
    </w:p>
    <w:p>
      <w:pPr>
        <w:pStyle w:val="494"/>
        <w:tabs>
          <w:tab w:val="left" w:pos="5040"/>
          <w:tab w:val="left" w:pos="5220"/>
          <w:tab w:val="left" w:pos="9000"/>
        </w:tabs>
        <w:spacing w:before="0" w:after="0" w:line="520" w:lineRule="exact"/>
        <w:ind w:right="-360"/>
        <w:rPr>
          <w:rFonts w:hint="eastAsia" w:hAnsi="宋体" w:eastAsia="宋体"/>
          <w:bCs/>
          <w:color w:val="000000" w:themeColor="text1"/>
          <w:szCs w:val="24"/>
          <w:highlight w:val="none"/>
          <w:lang w:eastAsia="zh-CN"/>
          <w14:textFill>
            <w14:solidFill>
              <w14:schemeClr w14:val="tx1"/>
            </w14:solidFill>
          </w14:textFill>
        </w:rPr>
      </w:pPr>
      <w:r>
        <w:rPr>
          <w:rFonts w:hAnsi="宋体"/>
          <w:bCs/>
          <w:color w:val="000000" w:themeColor="text1"/>
          <w:szCs w:val="24"/>
          <w:highlight w:val="none"/>
          <w14:textFill>
            <w14:solidFill>
              <w14:schemeClr w14:val="tx1"/>
            </w14:solidFill>
          </w14:textFill>
        </w:rPr>
        <w:t>法定代表人</w:t>
      </w:r>
      <w:r>
        <w:rPr>
          <w:rFonts w:hint="eastAsia" w:hAnsi="宋体"/>
          <w:bCs/>
          <w:color w:val="000000" w:themeColor="text1"/>
          <w:szCs w:val="24"/>
          <w:highlight w:val="none"/>
          <w:lang w:eastAsia="zh-CN"/>
          <w14:textFill>
            <w14:solidFill>
              <w14:schemeClr w14:val="tx1"/>
            </w14:solidFill>
          </w14:textFill>
        </w:rPr>
        <w:t>或</w:t>
      </w:r>
      <w:r>
        <w:rPr>
          <w:rFonts w:hint="eastAsia"/>
          <w:bCs/>
          <w:color w:val="000000" w:themeColor="text1"/>
          <w:szCs w:val="24"/>
          <w:highlight w:val="none"/>
          <w14:textFill>
            <w14:solidFill>
              <w14:schemeClr w14:val="tx1"/>
            </w14:solidFill>
          </w14:textFill>
        </w:rPr>
        <w:t>全权代表</w:t>
      </w:r>
      <w:r>
        <w:rPr>
          <w:rFonts w:hint="eastAsia"/>
          <w:bCs/>
          <w:color w:val="000000" w:themeColor="text1"/>
          <w:szCs w:val="24"/>
          <w:highlight w:val="none"/>
          <w:lang w:eastAsia="zh-CN"/>
          <w14:textFill>
            <w14:solidFill>
              <w14:schemeClr w14:val="tx1"/>
            </w14:solidFill>
          </w14:textFill>
        </w:rPr>
        <w:t>（签字或盖章）</w:t>
      </w:r>
      <w:r>
        <w:rPr>
          <w:rFonts w:hAnsi="宋体"/>
          <w:bCs/>
          <w:color w:val="000000" w:themeColor="text1"/>
          <w:szCs w:val="24"/>
          <w:highlight w:val="none"/>
          <w14:textFill>
            <w14:solidFill>
              <w14:schemeClr w14:val="tx1"/>
            </w14:solidFill>
          </w14:textFill>
        </w:rPr>
        <w:t>：　　　法定代表人</w:t>
      </w:r>
      <w:r>
        <w:rPr>
          <w:rFonts w:hint="eastAsia" w:hAnsi="宋体"/>
          <w:bCs/>
          <w:color w:val="000000" w:themeColor="text1"/>
          <w:szCs w:val="24"/>
          <w:highlight w:val="none"/>
          <w:lang w:eastAsia="zh-CN"/>
          <w14:textFill>
            <w14:solidFill>
              <w14:schemeClr w14:val="tx1"/>
            </w14:solidFill>
          </w14:textFill>
        </w:rPr>
        <w:t>或</w:t>
      </w:r>
      <w:r>
        <w:rPr>
          <w:rFonts w:hint="eastAsia"/>
          <w:bCs/>
          <w:color w:val="000000" w:themeColor="text1"/>
          <w:szCs w:val="24"/>
          <w:highlight w:val="none"/>
          <w14:textFill>
            <w14:solidFill>
              <w14:schemeClr w14:val="tx1"/>
            </w14:solidFill>
          </w14:textFill>
        </w:rPr>
        <w:t>全权代表</w:t>
      </w:r>
      <w:r>
        <w:rPr>
          <w:rFonts w:hint="eastAsia"/>
          <w:bCs/>
          <w:color w:val="000000" w:themeColor="text1"/>
          <w:szCs w:val="24"/>
          <w:highlight w:val="none"/>
          <w:lang w:eastAsia="zh-CN"/>
          <w14:textFill>
            <w14:solidFill>
              <w14:schemeClr w14:val="tx1"/>
            </w14:solidFill>
          </w14:textFill>
        </w:rPr>
        <w:t>（签字或盖章）</w:t>
      </w:r>
      <w:r>
        <w:rPr>
          <w:rFonts w:hAnsi="宋体"/>
          <w:bCs/>
          <w:color w:val="000000" w:themeColor="text1"/>
          <w:szCs w:val="24"/>
          <w:highlight w:val="none"/>
          <w14:textFill>
            <w14:solidFill>
              <w14:schemeClr w14:val="tx1"/>
            </w14:solidFill>
          </w14:textFill>
        </w:rPr>
        <w:t>：</w:t>
      </w:r>
    </w:p>
    <w:p>
      <w:pPr>
        <w:pStyle w:val="494"/>
        <w:tabs>
          <w:tab w:val="left" w:pos="5040"/>
          <w:tab w:val="left" w:pos="5220"/>
          <w:tab w:val="left" w:pos="9000"/>
        </w:tabs>
        <w:spacing w:before="0" w:after="0" w:line="520" w:lineRule="exact"/>
        <w:ind w:right="-360"/>
        <w:rPr>
          <w:rFonts w:hint="eastAsia" w:hAnsi="宋体" w:eastAsia="宋体"/>
          <w:bCs/>
          <w:color w:val="000000" w:themeColor="text1"/>
          <w:szCs w:val="24"/>
          <w:highlight w:val="none"/>
          <w:lang w:eastAsia="zh-CN"/>
          <w14:textFill>
            <w14:solidFill>
              <w14:schemeClr w14:val="tx1"/>
            </w14:solidFill>
          </w14:textFill>
        </w:rPr>
      </w:pP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单位地址：</w:t>
      </w:r>
    </w:p>
    <w:p>
      <w:pPr>
        <w:pStyle w:val="494"/>
        <w:tabs>
          <w:tab w:val="left" w:pos="5040"/>
          <w:tab w:val="left" w:pos="5220"/>
          <w:tab w:val="left" w:pos="9000"/>
        </w:tabs>
        <w:spacing w:before="0" w:after="0" w:line="520" w:lineRule="exact"/>
        <w:ind w:right="-360"/>
        <w:rPr>
          <w:rFonts w:hint="eastAsia" w:hAnsi="宋体" w:eastAsia="宋体"/>
          <w:bCs/>
          <w:color w:val="000000" w:themeColor="text1"/>
          <w:szCs w:val="24"/>
          <w:highlight w:val="none"/>
          <w:lang w:eastAsia="zh-CN"/>
          <w14:textFill>
            <w14:solidFill>
              <w14:schemeClr w14:val="tx1"/>
            </w14:solidFill>
          </w14:textFill>
        </w:rPr>
      </w:pP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电话：</w:t>
      </w:r>
    </w:p>
    <w:p>
      <w:pPr>
        <w:pStyle w:val="494"/>
        <w:tabs>
          <w:tab w:val="left" w:pos="5040"/>
          <w:tab w:val="left" w:pos="5220"/>
          <w:tab w:val="left" w:pos="9000"/>
        </w:tabs>
        <w:spacing w:before="0" w:after="0" w:line="520" w:lineRule="exact"/>
        <w:ind w:right="-360"/>
        <w:rPr>
          <w:rFonts w:hint="eastAsia" w:hAnsi="宋体" w:eastAsia="宋体"/>
          <w:bCs/>
          <w:color w:val="000000" w:themeColor="text1"/>
          <w:szCs w:val="24"/>
          <w:highlight w:val="none"/>
          <w:lang w:eastAsia="zh-CN"/>
          <w14:textFill>
            <w14:solidFill>
              <w14:schemeClr w14:val="tx1"/>
            </w14:solidFill>
          </w14:textFill>
        </w:rPr>
      </w:pP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邮码：</w:t>
      </w:r>
    </w:p>
    <w:p>
      <w:pPr>
        <w:pStyle w:val="494"/>
        <w:tabs>
          <w:tab w:val="left" w:pos="5040"/>
          <w:tab w:val="left" w:pos="5220"/>
          <w:tab w:val="left" w:pos="9000"/>
        </w:tabs>
        <w:spacing w:before="0" w:after="0" w:line="520" w:lineRule="exact"/>
        <w:ind w:right="-360"/>
        <w:rPr>
          <w:rFonts w:hint="eastAsia" w:hAnsi="宋体" w:eastAsia="宋体"/>
          <w:bCs/>
          <w:color w:val="000000" w:themeColor="text1"/>
          <w:szCs w:val="24"/>
          <w:highlight w:val="none"/>
          <w:lang w:eastAsia="zh-CN"/>
          <w14:textFill>
            <w14:solidFill>
              <w14:schemeClr w14:val="tx1"/>
            </w14:solidFill>
          </w14:textFill>
        </w:rPr>
      </w:pP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开户银行：</w:t>
      </w:r>
    </w:p>
    <w:p>
      <w:pPr>
        <w:pStyle w:val="494"/>
        <w:tabs>
          <w:tab w:val="left" w:pos="5040"/>
          <w:tab w:val="left" w:pos="5220"/>
          <w:tab w:val="left" w:pos="9000"/>
        </w:tabs>
        <w:spacing w:before="0" w:after="0" w:line="520" w:lineRule="exact"/>
        <w:ind w:right="-360"/>
        <w:rPr>
          <w:rFonts w:hint="eastAsia" w:hAnsi="宋体" w:eastAsia="宋体"/>
          <w:bCs/>
          <w:color w:val="000000" w:themeColor="text1"/>
          <w:szCs w:val="24"/>
          <w:highlight w:val="none"/>
          <w:lang w:eastAsia="zh-CN"/>
          <w14:textFill>
            <w14:solidFill>
              <w14:schemeClr w14:val="tx1"/>
            </w14:solidFill>
          </w14:textFill>
        </w:rPr>
      </w:pP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户名：</w:t>
      </w:r>
    </w:p>
    <w:p>
      <w:pPr>
        <w:pStyle w:val="494"/>
        <w:tabs>
          <w:tab w:val="left" w:pos="5040"/>
          <w:tab w:val="left" w:pos="5220"/>
          <w:tab w:val="left" w:pos="9000"/>
        </w:tabs>
        <w:spacing w:before="0" w:after="0" w:line="520" w:lineRule="exact"/>
        <w:ind w:right="-360"/>
        <w:rPr>
          <w:bCs/>
          <w:color w:val="000000" w:themeColor="text1"/>
          <w:szCs w:val="24"/>
          <w:highlight w:val="none"/>
          <w14:textFill>
            <w14:solidFill>
              <w14:schemeClr w14:val="tx1"/>
            </w14:solidFill>
          </w14:textFill>
        </w:rPr>
      </w:pP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账号：　　　　　　　　　</w:t>
      </w:r>
    </w:p>
    <w:p>
      <w:pPr>
        <w:spacing w:line="520" w:lineRule="exact"/>
        <w:ind w:firstLine="360" w:firstLineChars="150"/>
        <w:rPr>
          <w:rFonts w:hint="eastAsia" w:eastAsia="宋体"/>
          <w:bCs/>
          <w:color w:val="000000" w:themeColor="text1"/>
          <w:sz w:val="24"/>
          <w:szCs w:val="24"/>
          <w:highlight w:val="none"/>
          <w:lang w:eastAsia="zh-CN"/>
          <w14:textFill>
            <w14:solidFill>
              <w14:schemeClr w14:val="tx1"/>
            </w14:solidFill>
          </w14:textFill>
        </w:rPr>
      </w:pPr>
      <w:r>
        <w:rPr>
          <w:rFonts w:hint="eastAsia"/>
          <w:bCs/>
          <w:color w:val="000000" w:themeColor="text1"/>
          <w:sz w:val="24"/>
          <w:szCs w:val="24"/>
          <w:highlight w:val="none"/>
          <w:lang w:eastAsia="zh-CN"/>
          <w14:textFill>
            <w14:solidFill>
              <w14:schemeClr w14:val="tx1"/>
            </w14:solidFill>
          </w14:textFill>
        </w:rPr>
        <w:t>招标代理（盖章）</w:t>
      </w:r>
    </w:p>
    <w:p>
      <w:pPr>
        <w:tabs>
          <w:tab w:val="left" w:pos="0"/>
          <w:tab w:val="left" w:pos="180"/>
          <w:tab w:val="left" w:pos="360"/>
        </w:tabs>
        <w:spacing w:line="540" w:lineRule="exact"/>
        <w:ind w:left="313" w:leftChars="149" w:firstLine="120" w:firstLineChars="50"/>
        <w:rPr>
          <w:color w:val="000000" w:themeColor="text1"/>
          <w:sz w:val="24"/>
          <w:szCs w:val="24"/>
          <w:highlight w:val="none"/>
          <w14:textFill>
            <w14:solidFill>
              <w14:schemeClr w14:val="tx1"/>
            </w14:solidFill>
          </w14:textFill>
        </w:rPr>
      </w:pPr>
    </w:p>
    <w:p>
      <w:pPr>
        <w:tabs>
          <w:tab w:val="left" w:pos="0"/>
          <w:tab w:val="left" w:pos="180"/>
          <w:tab w:val="left" w:pos="360"/>
        </w:tabs>
        <w:spacing w:line="500" w:lineRule="exact"/>
        <w:ind w:left="313" w:leftChars="149" w:firstLine="440" w:firstLineChars="200"/>
        <w:rPr>
          <w:color w:val="000000" w:themeColor="text1"/>
          <w:sz w:val="22"/>
          <w:szCs w:val="24"/>
          <w:highlight w:val="none"/>
          <w14:textFill>
            <w14:solidFill>
              <w14:schemeClr w14:val="tx1"/>
            </w14:solidFill>
          </w14:textFill>
        </w:rPr>
      </w:pPr>
    </w:p>
    <w:p>
      <w:pPr>
        <w:tabs>
          <w:tab w:val="left" w:pos="1260"/>
        </w:tabs>
        <w:spacing w:line="480" w:lineRule="exact"/>
        <w:ind w:firstLine="482"/>
        <w:textAlignment w:val="center"/>
        <w:rPr>
          <w:b/>
          <w:color w:val="000000" w:themeColor="text1"/>
          <w:sz w:val="36"/>
          <w:szCs w:val="36"/>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年       月      日</w:t>
      </w:r>
    </w:p>
    <w:p>
      <w:pPr>
        <w:tabs>
          <w:tab w:val="left" w:pos="1260"/>
        </w:tabs>
        <w:spacing w:line="480" w:lineRule="exact"/>
        <w:ind w:firstLine="482"/>
        <w:textAlignment w:val="center"/>
        <w:rPr>
          <w:b/>
          <w:color w:val="000000" w:themeColor="text1"/>
          <w:sz w:val="36"/>
          <w:szCs w:val="36"/>
          <w:highlight w:val="none"/>
          <w14:textFill>
            <w14:solidFill>
              <w14:schemeClr w14:val="tx1"/>
            </w14:solidFill>
          </w14:textFill>
        </w:rPr>
      </w:pPr>
    </w:p>
    <w:p>
      <w:pPr>
        <w:tabs>
          <w:tab w:val="left" w:pos="1260"/>
        </w:tabs>
        <w:spacing w:line="480" w:lineRule="exact"/>
        <w:ind w:firstLine="482"/>
        <w:textAlignment w:val="center"/>
        <w:rPr>
          <w:b/>
          <w:color w:val="000000" w:themeColor="text1"/>
          <w:sz w:val="36"/>
          <w:szCs w:val="36"/>
          <w:highlight w:val="none"/>
          <w14:textFill>
            <w14:solidFill>
              <w14:schemeClr w14:val="tx1"/>
            </w14:solidFill>
          </w14:textFill>
        </w:rPr>
      </w:pPr>
    </w:p>
    <w:bookmarkEnd w:id="46"/>
    <w:bookmarkEnd w:id="47"/>
    <w:p>
      <w:pPr>
        <w:spacing w:line="660" w:lineRule="exact"/>
        <w:ind w:firstLine="723" w:firstLineChars="200"/>
        <w:jc w:val="center"/>
        <w:rPr>
          <w:b/>
          <w:color w:val="000000" w:themeColor="text1"/>
          <w:sz w:val="36"/>
          <w:highlight w:val="none"/>
          <w14:textFill>
            <w14:solidFill>
              <w14:schemeClr w14:val="tx1"/>
            </w14:solidFill>
          </w14:textFill>
        </w:rPr>
      </w:pPr>
      <w:bookmarkStart w:id="49" w:name="_Toc437856508"/>
    </w:p>
    <w:p>
      <w:pPr>
        <w:pStyle w:val="93"/>
        <w:rPr>
          <w:color w:val="000000" w:themeColor="text1"/>
          <w:highlight w:val="none"/>
          <w14:textFill>
            <w14:solidFill>
              <w14:schemeClr w14:val="tx1"/>
            </w14:solidFill>
          </w14:textFill>
        </w:rPr>
      </w:pPr>
    </w:p>
    <w:p>
      <w:pPr>
        <w:pStyle w:val="93"/>
        <w:rPr>
          <w:color w:val="000000" w:themeColor="text1"/>
          <w:highlight w:val="none"/>
          <w14:textFill>
            <w14:solidFill>
              <w14:schemeClr w14:val="tx1"/>
            </w14:solidFill>
          </w14:textFill>
        </w:rPr>
      </w:pPr>
    </w:p>
    <w:p>
      <w:pPr>
        <w:pStyle w:val="93"/>
        <w:rPr>
          <w:color w:val="000000" w:themeColor="text1"/>
          <w:highlight w:val="none"/>
          <w14:textFill>
            <w14:solidFill>
              <w14:schemeClr w14:val="tx1"/>
            </w14:solidFill>
          </w14:textFill>
        </w:rPr>
      </w:pPr>
    </w:p>
    <w:p>
      <w:pPr>
        <w:pStyle w:val="93"/>
        <w:rPr>
          <w:color w:val="000000" w:themeColor="text1"/>
          <w:highlight w:val="none"/>
          <w14:textFill>
            <w14:solidFill>
              <w14:schemeClr w14:val="tx1"/>
            </w14:solidFill>
          </w14:textFill>
        </w:rPr>
      </w:pPr>
    </w:p>
    <w:p>
      <w:pPr>
        <w:pStyle w:val="93"/>
        <w:rPr>
          <w:color w:val="000000" w:themeColor="text1"/>
          <w:highlight w:val="none"/>
          <w14:textFill>
            <w14:solidFill>
              <w14:schemeClr w14:val="tx1"/>
            </w14:solidFill>
          </w14:textFill>
        </w:rPr>
      </w:pPr>
    </w:p>
    <w:p>
      <w:pPr>
        <w:pStyle w:val="93"/>
        <w:rPr>
          <w:color w:val="000000" w:themeColor="text1"/>
          <w:highlight w:val="none"/>
          <w14:textFill>
            <w14:solidFill>
              <w14:schemeClr w14:val="tx1"/>
            </w14:solidFill>
          </w14:textFill>
        </w:rPr>
      </w:pPr>
    </w:p>
    <w:p>
      <w:pPr>
        <w:pStyle w:val="93"/>
        <w:rPr>
          <w:color w:val="000000" w:themeColor="text1"/>
          <w:highlight w:val="none"/>
          <w14:textFill>
            <w14:solidFill>
              <w14:schemeClr w14:val="tx1"/>
            </w14:solidFill>
          </w14:textFill>
        </w:rPr>
      </w:pPr>
    </w:p>
    <w:p>
      <w:pPr>
        <w:pStyle w:val="93"/>
        <w:rPr>
          <w:color w:val="000000" w:themeColor="text1"/>
          <w:highlight w:val="none"/>
          <w14:textFill>
            <w14:solidFill>
              <w14:schemeClr w14:val="tx1"/>
            </w14:solidFill>
          </w14:textFill>
        </w:rPr>
      </w:pPr>
    </w:p>
    <w:p>
      <w:pPr>
        <w:pStyle w:val="93"/>
        <w:rPr>
          <w:color w:val="000000" w:themeColor="text1"/>
          <w:highlight w:val="none"/>
          <w14:textFill>
            <w14:solidFill>
              <w14:schemeClr w14:val="tx1"/>
            </w14:solidFill>
          </w14:textFill>
        </w:rPr>
      </w:pPr>
    </w:p>
    <w:p>
      <w:pPr>
        <w:pStyle w:val="93"/>
        <w:rPr>
          <w:color w:val="000000" w:themeColor="text1"/>
          <w:highlight w:val="none"/>
          <w14:textFill>
            <w14:solidFill>
              <w14:schemeClr w14:val="tx1"/>
            </w14:solidFill>
          </w14:textFill>
        </w:rPr>
      </w:pPr>
    </w:p>
    <w:p>
      <w:pPr>
        <w:spacing w:line="600" w:lineRule="exact"/>
        <w:outlineLvl w:val="9"/>
        <w:rPr>
          <w:b/>
          <w:color w:val="000000" w:themeColor="text1"/>
          <w:sz w:val="36"/>
          <w:highlight w:val="none"/>
          <w14:textFill>
            <w14:solidFill>
              <w14:schemeClr w14:val="tx1"/>
            </w14:solidFill>
          </w14:textFill>
        </w:rPr>
      </w:pPr>
    </w:p>
    <w:p>
      <w:pPr>
        <w:spacing w:line="600" w:lineRule="exact"/>
        <w:jc w:val="center"/>
        <w:outlineLvl w:val="9"/>
        <w:rPr>
          <w:b/>
          <w:color w:val="000000" w:themeColor="text1"/>
          <w:sz w:val="36"/>
          <w:szCs w:val="36"/>
          <w:highlight w:val="none"/>
          <w14:textFill>
            <w14:solidFill>
              <w14:schemeClr w14:val="tx1"/>
            </w14:solidFill>
          </w14:textFill>
        </w:rPr>
      </w:pPr>
      <w:bookmarkStart w:id="50" w:name="_Toc11028"/>
    </w:p>
    <w:p>
      <w:pPr>
        <w:rPr>
          <w:b/>
          <w:color w:val="000000" w:themeColor="text1"/>
          <w:sz w:val="36"/>
          <w:szCs w:val="36"/>
          <w:highlight w:val="none"/>
          <w14:textFill>
            <w14:solidFill>
              <w14:schemeClr w14:val="tx1"/>
            </w14:solidFill>
          </w14:textFill>
        </w:rPr>
      </w:pPr>
      <w:bookmarkStart w:id="51" w:name="_Toc21421"/>
      <w:r>
        <w:rPr>
          <w:b/>
          <w:color w:val="000000" w:themeColor="text1"/>
          <w:sz w:val="36"/>
          <w:szCs w:val="36"/>
          <w:highlight w:val="none"/>
          <w14:textFill>
            <w14:solidFill>
              <w14:schemeClr w14:val="tx1"/>
            </w14:solidFill>
          </w14:textFill>
        </w:rPr>
        <w:br w:type="page"/>
      </w:r>
    </w:p>
    <w:p>
      <w:pPr>
        <w:spacing w:line="600" w:lineRule="exact"/>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第六部分  投标书格式</w:t>
      </w:r>
      <w:bookmarkEnd w:id="49"/>
      <w:bookmarkEnd w:id="50"/>
      <w:bookmarkEnd w:id="51"/>
    </w:p>
    <w:p>
      <w:pPr>
        <w:pStyle w:val="3"/>
        <w:spacing w:before="0" w:after="0" w:line="500" w:lineRule="exact"/>
        <w:jc w:val="center"/>
        <w:textAlignment w:val="center"/>
        <w:outlineLvl w:val="9"/>
        <w:rPr>
          <w:color w:val="000000" w:themeColor="text1"/>
          <w:sz w:val="32"/>
          <w:szCs w:val="32"/>
          <w:highlight w:val="none"/>
          <w14:textFill>
            <w14:solidFill>
              <w14:schemeClr w14:val="tx1"/>
            </w14:solidFill>
          </w14:textFill>
        </w:rPr>
      </w:pPr>
      <w:bookmarkStart w:id="52" w:name="_Toc171496381"/>
      <w:bookmarkStart w:id="53" w:name="_Toc488979076"/>
      <w:bookmarkStart w:id="54" w:name="_Toc448320489"/>
      <w:bookmarkStart w:id="55" w:name="_Toc353257304"/>
    </w:p>
    <w:bookmarkEnd w:id="52"/>
    <w:bookmarkEnd w:id="53"/>
    <w:bookmarkEnd w:id="54"/>
    <w:bookmarkEnd w:id="55"/>
    <w:p>
      <w:pPr>
        <w:rPr>
          <w:rFonts w:ascii="宋体" w:hAnsi="宋体" w:cs="宋体"/>
          <w:b/>
          <w:bCs/>
          <w:color w:val="000000" w:themeColor="text1"/>
          <w:szCs w:val="21"/>
          <w:highlight w:val="none"/>
          <w14:textFill>
            <w14:solidFill>
              <w14:schemeClr w14:val="tx1"/>
            </w14:solidFill>
          </w14:textFill>
        </w:rPr>
      </w:pPr>
    </w:p>
    <w:p>
      <w:pPr>
        <w:rPr>
          <w:rFonts w:ascii="宋体" w:hAnsi="宋体" w:cs="宋体"/>
          <w:b/>
          <w:bCs/>
          <w:color w:val="000000" w:themeColor="text1"/>
          <w:szCs w:val="21"/>
          <w:highlight w:val="none"/>
          <w14:textFill>
            <w14:solidFill>
              <w14:schemeClr w14:val="tx1"/>
            </w14:solidFill>
          </w14:textFill>
        </w:rPr>
      </w:pPr>
    </w:p>
    <w:p>
      <w:pPr>
        <w:jc w:val="center"/>
        <w:outlineLvl w:val="0"/>
        <w:rPr>
          <w:rFonts w:ascii="宋体" w:hAnsi="宋体" w:cs="宋体"/>
          <w:color w:val="000000" w:themeColor="text1"/>
          <w:sz w:val="20"/>
          <w:highlight w:val="none"/>
          <w:u w:val="single"/>
          <w14:textFill>
            <w14:solidFill>
              <w14:schemeClr w14:val="tx1"/>
            </w14:solidFill>
          </w14:textFill>
        </w:rPr>
      </w:pPr>
      <w:bookmarkStart w:id="56" w:name="_Toc790"/>
      <w:bookmarkStart w:id="57" w:name="_Toc13271"/>
      <w:r>
        <w:rPr>
          <w:rFonts w:hint="eastAsia" w:ascii="宋体" w:hAnsi="宋体" w:cs="宋体"/>
          <w:color w:val="000000" w:themeColor="text1"/>
          <w:sz w:val="28"/>
          <w:szCs w:val="28"/>
          <w:highlight w:val="none"/>
          <w14:textFill>
            <w14:solidFill>
              <w14:schemeClr w14:val="tx1"/>
            </w14:solidFill>
          </w14:textFill>
        </w:rPr>
        <w:t>（项目名称）</w:t>
      </w:r>
      <w:bookmarkEnd w:id="56"/>
      <w:bookmarkEnd w:id="57"/>
    </w:p>
    <w:p>
      <w:pPr>
        <w:jc w:val="center"/>
        <w:rPr>
          <w:rFonts w:ascii="宋体" w:hAnsi="宋体" w:cs="宋体"/>
          <w:color w:val="000000" w:themeColor="text1"/>
          <w:sz w:val="28"/>
          <w:szCs w:val="28"/>
          <w:highlight w:val="none"/>
          <w:u w:val="single"/>
          <w14:textFill>
            <w14:solidFill>
              <w14:schemeClr w14:val="tx1"/>
            </w14:solidFill>
          </w14:textFill>
        </w:rPr>
      </w:pPr>
    </w:p>
    <w:p>
      <w:pPr>
        <w:jc w:val="center"/>
        <w:outlineLvl w:val="0"/>
        <w:rPr>
          <w:rFonts w:ascii="宋体" w:hAnsi="宋体" w:cs="宋体"/>
          <w:color w:val="000000" w:themeColor="text1"/>
          <w:sz w:val="24"/>
          <w:szCs w:val="24"/>
          <w:highlight w:val="none"/>
          <w:u w:val="single"/>
          <w14:textFill>
            <w14:solidFill>
              <w14:schemeClr w14:val="tx1"/>
            </w14:solidFill>
          </w14:textFill>
        </w:rPr>
      </w:pPr>
      <w:bookmarkStart w:id="58" w:name="_Toc25296"/>
      <w:bookmarkStart w:id="59" w:name="_Toc1531"/>
      <w:r>
        <w:rPr>
          <w:rFonts w:hint="eastAsia" w:ascii="宋体" w:hAnsi="宋体" w:cs="宋体"/>
          <w:color w:val="000000" w:themeColor="text1"/>
          <w:sz w:val="24"/>
          <w:szCs w:val="24"/>
          <w:highlight w:val="none"/>
          <w:u w:val="single"/>
          <w14:textFill>
            <w14:solidFill>
              <w14:schemeClr w14:val="tx1"/>
            </w14:solidFill>
          </w14:textFill>
        </w:rPr>
        <w:t>（按系统内封面格式）</w:t>
      </w:r>
      <w:bookmarkEnd w:id="58"/>
      <w:bookmarkEnd w:id="59"/>
    </w:p>
    <w:p>
      <w:pPr>
        <w:jc w:val="center"/>
        <w:rPr>
          <w:rFonts w:ascii="宋体" w:hAnsi="宋体" w:cs="宋体"/>
          <w:color w:val="000000" w:themeColor="text1"/>
          <w:sz w:val="20"/>
          <w:highlight w:val="none"/>
          <w:u w:val="single"/>
          <w14:textFill>
            <w14:solidFill>
              <w14:schemeClr w14:val="tx1"/>
            </w14:solidFill>
          </w14:textFill>
        </w:rPr>
      </w:pPr>
    </w:p>
    <w:p>
      <w:pPr>
        <w:jc w:val="center"/>
        <w:rPr>
          <w:rFonts w:ascii="宋体" w:hAnsi="宋体" w:cs="宋体"/>
          <w:color w:val="000000" w:themeColor="text1"/>
          <w:sz w:val="20"/>
          <w:highlight w:val="none"/>
          <w:u w:val="single"/>
          <w14:textFill>
            <w14:solidFill>
              <w14:schemeClr w14:val="tx1"/>
            </w14:solidFill>
          </w14:textFill>
        </w:rPr>
      </w:pPr>
    </w:p>
    <w:p>
      <w:pPr>
        <w:rPr>
          <w:rFonts w:ascii="宋体" w:hAnsi="宋体" w:cs="宋体"/>
          <w:b/>
          <w:bCs/>
          <w:color w:val="000000" w:themeColor="text1"/>
          <w:szCs w:val="21"/>
          <w:highlight w:val="none"/>
          <w14:textFill>
            <w14:solidFill>
              <w14:schemeClr w14:val="tx1"/>
            </w14:solidFill>
          </w14:textFill>
        </w:rPr>
      </w:pPr>
    </w:p>
    <w:p>
      <w:pPr>
        <w:rPr>
          <w:rFonts w:ascii="宋体" w:hAnsi="宋体" w:cs="宋体"/>
          <w:b/>
          <w:bCs/>
          <w:color w:val="000000" w:themeColor="text1"/>
          <w:szCs w:val="21"/>
          <w:highlight w:val="none"/>
          <w14:textFill>
            <w14:solidFill>
              <w14:schemeClr w14:val="tx1"/>
            </w14:solidFill>
          </w14:textFill>
        </w:rPr>
      </w:pPr>
    </w:p>
    <w:p>
      <w:pPr>
        <w:jc w:val="center"/>
        <w:rPr>
          <w:rFonts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投  标  文  件</w:t>
      </w:r>
    </w:p>
    <w:p>
      <w:pPr>
        <w:rPr>
          <w:rFonts w:ascii="宋体" w:hAnsi="宋体" w:cs="宋体"/>
          <w:color w:val="000000" w:themeColor="text1"/>
          <w:sz w:val="28"/>
          <w:szCs w:val="28"/>
          <w:highlight w:val="none"/>
          <w14:textFill>
            <w14:solidFill>
              <w14:schemeClr w14:val="tx1"/>
            </w14:solidFill>
          </w14:textFill>
        </w:rPr>
      </w:pPr>
    </w:p>
    <w:p>
      <w:pPr>
        <w:rPr>
          <w:rFonts w:ascii="宋体" w:hAnsi="宋体" w:cs="宋体"/>
          <w:color w:val="000000" w:themeColor="text1"/>
          <w:sz w:val="28"/>
          <w:szCs w:val="28"/>
          <w:highlight w:val="none"/>
          <w14:textFill>
            <w14:solidFill>
              <w14:schemeClr w14:val="tx1"/>
            </w14:solidFill>
          </w14:textFill>
        </w:rPr>
      </w:pPr>
    </w:p>
    <w:p>
      <w:pPr>
        <w:rPr>
          <w:rFonts w:ascii="宋体" w:hAnsi="宋体" w:cs="宋体"/>
          <w:color w:val="000000" w:themeColor="text1"/>
          <w:sz w:val="28"/>
          <w:szCs w:val="28"/>
          <w:highlight w:val="none"/>
          <w14:textFill>
            <w14:solidFill>
              <w14:schemeClr w14:val="tx1"/>
            </w14:solidFill>
          </w14:textFill>
        </w:rPr>
      </w:pPr>
    </w:p>
    <w:p>
      <w:pPr>
        <w:rPr>
          <w:rFonts w:ascii="宋体" w:hAnsi="宋体" w:cs="宋体"/>
          <w:color w:val="000000" w:themeColor="text1"/>
          <w:sz w:val="28"/>
          <w:szCs w:val="28"/>
          <w:highlight w:val="none"/>
          <w14:textFill>
            <w14:solidFill>
              <w14:schemeClr w14:val="tx1"/>
            </w14:solidFill>
          </w14:textFill>
        </w:rPr>
      </w:pPr>
    </w:p>
    <w:p>
      <w:pPr>
        <w:rPr>
          <w:rFonts w:ascii="宋体" w:hAnsi="宋体" w:cs="宋体"/>
          <w:color w:val="000000" w:themeColor="text1"/>
          <w:sz w:val="28"/>
          <w:szCs w:val="28"/>
          <w:highlight w:val="none"/>
          <w14:textFill>
            <w14:solidFill>
              <w14:schemeClr w14:val="tx1"/>
            </w14:solidFill>
          </w14:textFill>
        </w:rPr>
      </w:pPr>
    </w:p>
    <w:p>
      <w:pPr>
        <w:rPr>
          <w:rFonts w:ascii="宋体" w:hAnsi="宋体" w:cs="宋体"/>
          <w:color w:val="000000" w:themeColor="text1"/>
          <w:sz w:val="28"/>
          <w:szCs w:val="28"/>
          <w:highlight w:val="none"/>
          <w14:textFill>
            <w14:solidFill>
              <w14:schemeClr w14:val="tx1"/>
            </w14:solidFill>
          </w14:textFill>
        </w:rPr>
      </w:pPr>
    </w:p>
    <w:p>
      <w:pPr>
        <w:rPr>
          <w:rFonts w:ascii="宋体" w:hAnsi="宋体" w:cs="宋体"/>
          <w:color w:val="000000" w:themeColor="text1"/>
          <w:sz w:val="28"/>
          <w:szCs w:val="28"/>
          <w:highlight w:val="none"/>
          <w14:textFill>
            <w14:solidFill>
              <w14:schemeClr w14:val="tx1"/>
            </w14:solidFill>
          </w14:textFill>
        </w:rPr>
      </w:pPr>
    </w:p>
    <w:p>
      <w:pPr>
        <w:rPr>
          <w:rFonts w:ascii="宋体" w:hAnsi="宋体" w:cs="宋体"/>
          <w:color w:val="000000" w:themeColor="text1"/>
          <w:sz w:val="28"/>
          <w:szCs w:val="28"/>
          <w:highlight w:val="none"/>
          <w14:textFill>
            <w14:solidFill>
              <w14:schemeClr w14:val="tx1"/>
            </w14:solidFill>
          </w14:textFill>
        </w:rPr>
      </w:pPr>
    </w:p>
    <w:p>
      <w:pPr>
        <w:rPr>
          <w:rFonts w:ascii="宋体" w:hAnsi="宋体" w:cs="宋体"/>
          <w:color w:val="000000" w:themeColor="text1"/>
          <w:sz w:val="28"/>
          <w:szCs w:val="28"/>
          <w:highlight w:val="none"/>
          <w14:textFill>
            <w14:solidFill>
              <w14:schemeClr w14:val="tx1"/>
            </w14:solidFill>
          </w14:textFill>
        </w:rPr>
      </w:pPr>
    </w:p>
    <w:p>
      <w:pPr>
        <w:rPr>
          <w:rFonts w:ascii="宋体" w:hAnsi="宋体" w:cs="宋体"/>
          <w:color w:val="000000" w:themeColor="text1"/>
          <w:sz w:val="28"/>
          <w:szCs w:val="28"/>
          <w:highlight w:val="none"/>
          <w14:textFill>
            <w14:solidFill>
              <w14:schemeClr w14:val="tx1"/>
            </w14:solidFill>
          </w14:textFill>
        </w:rPr>
      </w:pPr>
    </w:p>
    <w:p>
      <w:pPr>
        <w:rPr>
          <w:rFonts w:ascii="宋体" w:hAnsi="宋体" w:cs="宋体"/>
          <w:color w:val="000000" w:themeColor="text1"/>
          <w:sz w:val="28"/>
          <w:szCs w:val="28"/>
          <w:highlight w:val="none"/>
          <w14:textFill>
            <w14:solidFill>
              <w14:schemeClr w14:val="tx1"/>
            </w14:solidFill>
          </w14:textFill>
        </w:rPr>
      </w:pPr>
    </w:p>
    <w:p>
      <w:pPr>
        <w:rPr>
          <w:rFonts w:ascii="宋体" w:hAnsi="宋体" w:cs="宋体"/>
          <w:color w:val="000000" w:themeColor="text1"/>
          <w:sz w:val="28"/>
          <w:szCs w:val="28"/>
          <w:highlight w:val="none"/>
          <w14:textFill>
            <w14:solidFill>
              <w14:schemeClr w14:val="tx1"/>
            </w14:solidFill>
          </w14:textFill>
        </w:rPr>
      </w:pPr>
    </w:p>
    <w:p>
      <w:pPr>
        <w:rPr>
          <w:rFonts w:ascii="宋体" w:hAnsi="宋体" w:cs="宋体"/>
          <w:color w:val="000000" w:themeColor="text1"/>
          <w:sz w:val="28"/>
          <w:szCs w:val="28"/>
          <w:highlight w:val="none"/>
          <w14:textFill>
            <w14:solidFill>
              <w14:schemeClr w14:val="tx1"/>
            </w14:solidFill>
          </w14:textFill>
        </w:rPr>
      </w:pPr>
    </w:p>
    <w:p>
      <w:pPr>
        <w:rPr>
          <w:rFonts w:ascii="宋体" w:hAnsi="宋体" w:cs="宋体"/>
          <w:color w:val="000000" w:themeColor="text1"/>
          <w:sz w:val="28"/>
          <w:szCs w:val="28"/>
          <w:highlight w:val="none"/>
          <w14:textFill>
            <w14:solidFill>
              <w14:schemeClr w14:val="tx1"/>
            </w14:solidFill>
          </w14:textFill>
        </w:rPr>
      </w:pPr>
    </w:p>
    <w:p>
      <w:pPr>
        <w:spacing w:line="360" w:lineRule="auto"/>
        <w:ind w:firstLine="1560" w:firstLineChars="65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投标人：（盖单位章）</w:t>
      </w:r>
    </w:p>
    <w:p>
      <w:pPr>
        <w:spacing w:line="360" w:lineRule="auto"/>
        <w:ind w:firstLine="1560" w:firstLineChars="650"/>
        <w:rPr>
          <w:rFonts w:ascii="宋体" w:hAnsi="宋体" w:cs="宋体"/>
          <w:color w:val="000000" w:themeColor="text1"/>
          <w:sz w:val="24"/>
          <w:szCs w:val="24"/>
          <w:highlight w:val="none"/>
          <w14:textFill>
            <w14:solidFill>
              <w14:schemeClr w14:val="tx1"/>
            </w14:solidFill>
          </w14:textFill>
        </w:rPr>
      </w:pPr>
    </w:p>
    <w:p>
      <w:pPr>
        <w:spacing w:line="360" w:lineRule="auto"/>
        <w:ind w:firstLine="1560" w:firstLineChars="65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法定代表人或其委托代理人：（签字或盖章）</w:t>
      </w:r>
    </w:p>
    <w:p>
      <w:pPr>
        <w:spacing w:line="360" w:lineRule="auto"/>
        <w:ind w:firstLine="1560" w:firstLineChars="650"/>
        <w:rPr>
          <w:rFonts w:ascii="宋体" w:hAnsi="宋体" w:cs="宋体"/>
          <w:color w:val="000000" w:themeColor="text1"/>
          <w:sz w:val="24"/>
          <w:szCs w:val="24"/>
          <w:highlight w:val="none"/>
          <w14:textFill>
            <w14:solidFill>
              <w14:schemeClr w14:val="tx1"/>
            </w14:solidFill>
          </w14:textFill>
        </w:rPr>
      </w:pPr>
    </w:p>
    <w:p>
      <w:pPr>
        <w:spacing w:line="360" w:lineRule="auto"/>
        <w:ind w:firstLine="1560" w:firstLineChars="65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日  期：年月日</w:t>
      </w:r>
    </w:p>
    <w:p>
      <w:pPr>
        <w:spacing w:line="360" w:lineRule="auto"/>
        <w:rPr>
          <w:rFonts w:ascii="宋体" w:hAnsi="宋体" w:cs="宋体"/>
          <w:color w:val="000000" w:themeColor="text1"/>
          <w:sz w:val="28"/>
          <w:szCs w:val="28"/>
          <w:highlight w:val="none"/>
          <w14:textFill>
            <w14:solidFill>
              <w14:schemeClr w14:val="tx1"/>
            </w14:solidFill>
          </w14:textFill>
        </w:rPr>
      </w:pPr>
    </w:p>
    <w:p>
      <w:pPr>
        <w:keepNext w:val="0"/>
        <w:keepLines w:val="0"/>
        <w:pageBreakBefore/>
        <w:widowControl w:val="0"/>
        <w:kinsoku/>
        <w:wordWrap/>
        <w:overflowPunct/>
        <w:topLinePunct w:val="0"/>
        <w:autoSpaceDE/>
        <w:autoSpaceDN/>
        <w:bidi w:val="0"/>
        <w:adjustRightInd/>
        <w:snapToGrid/>
        <w:jc w:val="center"/>
        <w:textAlignment w:val="auto"/>
        <w:outlineLvl w:val="0"/>
        <w:rPr>
          <w:rFonts w:ascii="宋体" w:hAnsi="宋体" w:cs="宋体"/>
          <w:b/>
          <w:color w:val="000000" w:themeColor="text1"/>
          <w:sz w:val="30"/>
          <w:szCs w:val="30"/>
          <w:highlight w:val="none"/>
          <w14:textFill>
            <w14:solidFill>
              <w14:schemeClr w14:val="tx1"/>
            </w14:solidFill>
          </w14:textFill>
        </w:rPr>
      </w:pPr>
      <w:bookmarkStart w:id="60" w:name="_Toc18911"/>
      <w:bookmarkStart w:id="61" w:name="_Toc17943"/>
      <w:r>
        <w:rPr>
          <w:rFonts w:hint="eastAsia" w:ascii="宋体" w:hAnsi="宋体" w:cs="宋体"/>
          <w:b/>
          <w:color w:val="000000" w:themeColor="text1"/>
          <w:sz w:val="30"/>
          <w:szCs w:val="30"/>
          <w:highlight w:val="none"/>
          <w14:textFill>
            <w14:solidFill>
              <w14:schemeClr w14:val="tx1"/>
            </w14:solidFill>
          </w14:textFill>
        </w:rPr>
        <w:t>开标一览表</w:t>
      </w:r>
      <w:bookmarkEnd w:id="60"/>
      <w:bookmarkEnd w:id="61"/>
    </w:p>
    <w:p>
      <w:pPr>
        <w:spacing w:line="520" w:lineRule="exact"/>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  （以电子标系统内生成格式为准填写并签章）</w:t>
      </w:r>
    </w:p>
    <w:p>
      <w:pPr>
        <w:spacing w:before="60" w:after="60" w:line="460" w:lineRule="exact"/>
        <w:jc w:val="center"/>
        <w:rPr>
          <w:rFonts w:hint="eastAsia" w:ascii="宋体" w:hAnsi="宋体" w:eastAsia="宋体" w:cs="宋体"/>
          <w:b/>
          <w:color w:val="000000" w:themeColor="text1"/>
          <w:sz w:val="32"/>
          <w:highlight w:val="none"/>
          <w14:textFill>
            <w14:solidFill>
              <w14:schemeClr w14:val="tx1"/>
            </w14:solidFill>
          </w14:textFill>
        </w:rPr>
      </w:pPr>
      <w:bookmarkStart w:id="62" w:name="_Toc353257311"/>
      <w:r>
        <w:rPr>
          <w:rFonts w:hint="eastAsia" w:ascii="宋体" w:hAnsi="宋体" w:eastAsia="宋体" w:cs="宋体"/>
          <w:b/>
          <w:color w:val="000000" w:themeColor="text1"/>
          <w:sz w:val="32"/>
          <w:highlight w:val="none"/>
          <w14:textFill>
            <w14:solidFill>
              <w14:schemeClr w14:val="tx1"/>
            </w14:solidFill>
          </w14:textFill>
        </w:rPr>
        <w:t>投标函</w:t>
      </w:r>
    </w:p>
    <w:p>
      <w:pPr>
        <w:spacing w:before="60" w:after="60"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山东昌润项目管理有限公司</w:t>
      </w:r>
      <w:r>
        <w:rPr>
          <w:rFonts w:hint="eastAsia" w:ascii="宋体" w:hAnsi="宋体" w:eastAsia="宋体" w:cs="宋体"/>
          <w:color w:val="000000" w:themeColor="text1"/>
          <w:sz w:val="24"/>
          <w:szCs w:val="24"/>
          <w:highlight w:val="none"/>
          <w14:textFill>
            <w14:solidFill>
              <w14:schemeClr w14:val="tx1"/>
            </w14:solidFill>
          </w14:textFill>
        </w:rPr>
        <w:t>：</w:t>
      </w:r>
    </w:p>
    <w:p>
      <w:pPr>
        <w:spacing w:before="60" w:after="60" w:line="4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经研究，我方决定参加招标编号为</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的政府采购项目并投标。为此，我方郑重声明以下诸点，并负法律责任。</w:t>
      </w:r>
    </w:p>
    <w:p>
      <w:pPr>
        <w:spacing w:before="60" w:after="60" w:line="420" w:lineRule="exact"/>
        <w:ind w:left="359" w:leftChars="171" w:firstLine="120" w:firstLineChars="5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1、我方符合《中华人民共和国政府采购法》第二十二条规定的投标人条件：</w:t>
      </w:r>
    </w:p>
    <w:p>
      <w:pPr>
        <w:spacing w:before="60" w:after="60" w:line="420" w:lineRule="exact"/>
        <w:ind w:left="359" w:leftChars="171" w:firstLine="120" w:firstLineChars="5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（1）具有独立承担</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"http://www.haosou.com/s?q=%E6%B0%91%E4%BA%8B%E8%B4%A3%E4%BB%BB&amp;ie=utf-8&amp;src=wenda_link" \t "_blank"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民事责任</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的能力；（2）具有良好的商业信誉和健全的财务</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"http://www.haosou.com/s?q=%E4%BC%9A%E8%AE%A1%E5%88%B6%E5%BA%A6&amp;ie=utf-8&amp;src=wenda_link" \t "_blank"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会计制度</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；（3）具有履行合同所必需的设备和专业技术能力；（4）有依法缴纳税收和</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"http://www.haosou.com/s?q=%E7%A4%BE%E4%BC%9A%E4%BF%9D%E9%9A%9C%E8%B5%84%E9%87%91&amp;ie=utf-8&amp;src=wenda_link" \t "_blank"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社会保障资金</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的良好记录；（5）参加</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"http://www.haosou.com/s?q=%E6%94%BF%E5%BA%9C%E9%87%87%E8%B4%AD&amp;ie=utf-8&amp;src=wenda_link" \t "_blank"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政府采购</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活动前三年内，在经营活动中没有重大违法记录；（6）法律、</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"http://www.haosou.com/s?q=%E8%A1%8C%E6%94%BF%E6%B3%95%E8%A7%84&amp;ie=utf-8&amp;src=wenda_link" \t "_blank"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行政法规</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规定的其他条件。</w:t>
      </w:r>
    </w:p>
    <w:p>
      <w:pPr>
        <w:spacing w:before="60" w:after="60" w:line="420" w:lineRule="exact"/>
        <w:ind w:left="359" w:leftChars="171" w:firstLine="120" w:firstLineChars="50"/>
        <w:rPr>
          <w:rFonts w:hint="eastAsia" w:ascii="宋体" w:hAnsi="宋体" w:eastAsia="宋体" w:cs="宋体"/>
          <w:color w:val="000000" w:themeColor="text1"/>
          <w:sz w:val="24"/>
          <w:szCs w:val="24"/>
          <w:highlight w:val="none"/>
          <w:shd w:val="pct10" w:color="auto" w:fill="FFFFFF"/>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2、我方提交的投标文件</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加密文件 1 份。</w:t>
      </w:r>
    </w:p>
    <w:p>
      <w:pPr>
        <w:spacing w:before="60" w:after="60" w:line="42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3、如果我方的投标文件被接受，我方将履行招标文件中的每一项要求，并按我方投标文件中的承诺按期、保质、按量提供货物及服务。</w:t>
      </w:r>
    </w:p>
    <w:p>
      <w:pPr>
        <w:spacing w:before="60" w:after="60" w:line="42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4、我们理解，最低报价不是中标的唯一条件，你们有选择中标人的权利。</w:t>
      </w:r>
    </w:p>
    <w:p>
      <w:pPr>
        <w:spacing w:before="60" w:after="60" w:line="42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5、我方愿意按照《中华人民共和国</w:t>
      </w:r>
      <w:r>
        <w:rPr>
          <w:rFonts w:hint="eastAsia" w:ascii="宋体" w:hAnsi="宋体" w:cs="宋体"/>
          <w:color w:val="000000" w:themeColor="text1"/>
          <w:sz w:val="24"/>
          <w:szCs w:val="24"/>
          <w:highlight w:val="none"/>
          <w:lang w:eastAsia="zh-CN"/>
          <w14:textFill>
            <w14:solidFill>
              <w14:schemeClr w14:val="tx1"/>
            </w14:solidFill>
          </w14:textFill>
        </w:rPr>
        <w:t>民法典</w:t>
      </w:r>
      <w:r>
        <w:rPr>
          <w:rFonts w:hint="eastAsia" w:ascii="宋体" w:hAnsi="宋体" w:eastAsia="宋体" w:cs="宋体"/>
          <w:color w:val="000000" w:themeColor="text1"/>
          <w:sz w:val="24"/>
          <w:szCs w:val="24"/>
          <w:highlight w:val="none"/>
          <w14:textFill>
            <w14:solidFill>
              <w14:schemeClr w14:val="tx1"/>
            </w14:solidFill>
          </w14:textFill>
        </w:rPr>
        <w:t>》履行自己的全部责任。</w:t>
      </w:r>
    </w:p>
    <w:p>
      <w:pPr>
        <w:spacing w:before="60" w:after="60" w:line="42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6、我们同意按照招标文件的规定交纳中标服务费，遵守有关招标的各项规定。</w:t>
      </w:r>
    </w:p>
    <w:p>
      <w:pPr>
        <w:spacing w:before="60" w:after="60" w:line="420" w:lineRule="exact"/>
        <w:ind w:left="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7、我方投标文件自投标文件递交截止之日起投标有效期为90日历天。</w:t>
      </w:r>
    </w:p>
    <w:p>
      <w:pPr>
        <w:spacing w:before="60" w:after="60" w:line="420" w:lineRule="exact"/>
        <w:ind w:left="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8、我公司承诺提供的所有资料完全真实，否则将承担由此引起的一切后果。</w:t>
      </w:r>
    </w:p>
    <w:p>
      <w:pPr>
        <w:spacing w:before="60" w:after="60" w:line="420" w:lineRule="exact"/>
        <w:ind w:left="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9、与本投标有关的一切正式往来通讯请寄：</w:t>
      </w:r>
    </w:p>
    <w:p>
      <w:pPr>
        <w:spacing w:before="60" w:after="60" w:line="420" w:lineRule="exact"/>
        <w:ind w:lef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投标人代表姓名、职务：</w:t>
      </w:r>
    </w:p>
    <w:p>
      <w:pPr>
        <w:spacing w:before="60" w:after="60" w:line="420" w:lineRule="exact"/>
        <w:ind w:lef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投标人全称（公章）：</w:t>
      </w:r>
    </w:p>
    <w:p>
      <w:pPr>
        <w:spacing w:before="60" w:after="60" w:line="420" w:lineRule="exact"/>
        <w:ind w:lef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w:t>
      </w:r>
      <w:r>
        <w:rPr>
          <w:rFonts w:hint="eastAsia" w:ascii="宋体" w:hAnsi="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color w:val="000000" w:themeColor="text1"/>
          <w:sz w:val="24"/>
          <w:szCs w:val="24"/>
          <w:highlight w:val="none"/>
          <w14:textFill>
            <w14:solidFill>
              <w14:schemeClr w14:val="tx1"/>
            </w14:solidFill>
          </w14:textFill>
        </w:rPr>
        <w:t>授权人</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签字</w:t>
      </w:r>
      <w:r>
        <w:rPr>
          <w:rFonts w:hint="eastAsia" w:ascii="宋体" w:hAnsi="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color w:val="000000" w:themeColor="text1"/>
          <w:sz w:val="24"/>
          <w:szCs w:val="24"/>
          <w:highlight w:val="none"/>
          <w:lang w:eastAsia="zh-CN"/>
          <w14:textFill>
            <w14:solidFill>
              <w14:schemeClr w14:val="tx1"/>
            </w14:solidFill>
          </w14:textFill>
        </w:rPr>
        <w:t>盖章）</w:t>
      </w:r>
      <w:r>
        <w:rPr>
          <w:rFonts w:hint="eastAsia" w:ascii="宋体" w:hAnsi="宋体" w:eastAsia="宋体" w:cs="宋体"/>
          <w:color w:val="000000" w:themeColor="text1"/>
          <w:sz w:val="24"/>
          <w:szCs w:val="24"/>
          <w:highlight w:val="none"/>
          <w14:textFill>
            <w14:solidFill>
              <w14:schemeClr w14:val="tx1"/>
            </w14:solidFill>
          </w14:textFill>
        </w:rPr>
        <w:t>：</w:t>
      </w:r>
    </w:p>
    <w:p>
      <w:pPr>
        <w:spacing w:before="60" w:after="60" w:line="420" w:lineRule="exact"/>
        <w:ind w:lef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p>
    <w:p>
      <w:pPr>
        <w:spacing w:before="60" w:after="60" w:line="420" w:lineRule="exact"/>
        <w:ind w:lef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邮政编码：</w:t>
      </w:r>
    </w:p>
    <w:p>
      <w:pPr>
        <w:spacing w:before="60" w:after="60" w:line="420" w:lineRule="exact"/>
        <w:ind w:lef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    话：</w:t>
      </w:r>
    </w:p>
    <w:p>
      <w:pPr>
        <w:spacing w:before="60" w:after="60" w:line="420" w:lineRule="exact"/>
        <w:ind w:lef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    真：</w:t>
      </w:r>
    </w:p>
    <w:p>
      <w:pPr>
        <w:spacing w:before="60" w:after="60" w:line="420" w:lineRule="exact"/>
        <w:ind w:right="480"/>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年   月   日</w:t>
      </w:r>
    </w:p>
    <w:p>
      <w:pPr>
        <w:pStyle w:val="40"/>
        <w:spacing w:line="480" w:lineRule="exact"/>
        <w:ind w:firstLine="420"/>
        <w:textAlignment w:val="center"/>
        <w:rPr>
          <w:rFonts w:hAnsi="宋体" w:cs="宋体"/>
          <w:color w:val="000000" w:themeColor="text1"/>
          <w:highlight w:val="none"/>
          <w14:textFill>
            <w14:solidFill>
              <w14:schemeClr w14:val="tx1"/>
            </w14:solidFill>
          </w14:textFill>
        </w:rPr>
      </w:pPr>
    </w:p>
    <w:p>
      <w:pPr>
        <w:spacing w:line="360" w:lineRule="auto"/>
        <w:jc w:val="center"/>
        <w:rPr>
          <w:rFonts w:hint="eastAsia" w:ascii="宋体" w:hAnsi="宋体" w:eastAsia="宋体" w:cs="宋体"/>
          <w:b/>
          <w:sz w:val="28"/>
          <w:szCs w:val="28"/>
          <w:highlight w:val="none"/>
        </w:rPr>
      </w:pPr>
      <w:r>
        <w:rPr>
          <w:rFonts w:hint="eastAsia" w:ascii="宋体" w:hAnsi="宋体" w:cs="宋体"/>
          <w:b/>
          <w:color w:val="000000" w:themeColor="text1"/>
          <w:sz w:val="32"/>
          <w:szCs w:val="32"/>
          <w:highlight w:val="none"/>
          <w14:textFill>
            <w14:solidFill>
              <w14:schemeClr w14:val="tx1"/>
            </w14:solidFill>
          </w14:textFill>
        </w:rPr>
        <w:br w:type="page"/>
      </w:r>
      <w:bookmarkEnd w:id="62"/>
      <w:r>
        <w:rPr>
          <w:rFonts w:hint="eastAsia" w:ascii="宋体" w:hAnsi="宋体" w:eastAsia="宋体" w:cs="宋体"/>
          <w:b/>
          <w:sz w:val="28"/>
          <w:szCs w:val="28"/>
          <w:highlight w:val="none"/>
        </w:rPr>
        <w:t>法定代表人身份证明书</w:t>
      </w:r>
    </w:p>
    <w:p>
      <w:pPr>
        <w:spacing w:line="360" w:lineRule="auto"/>
        <w:rPr>
          <w:rFonts w:hint="eastAsia" w:ascii="宋体" w:hAnsi="宋体" w:eastAsia="宋体" w:cs="宋体"/>
          <w:sz w:val="24"/>
          <w:szCs w:val="24"/>
          <w:highlight w:val="none"/>
        </w:rPr>
      </w:pPr>
    </w:p>
    <w:p>
      <w:pPr>
        <w:spacing w:line="48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 标 人：</w:t>
      </w:r>
      <w:r>
        <w:rPr>
          <w:rFonts w:hint="eastAsia" w:ascii="宋体" w:hAnsi="宋体" w:eastAsia="宋体" w:cs="宋体"/>
          <w:color w:val="auto"/>
          <w:sz w:val="24"/>
          <w:szCs w:val="24"/>
          <w:highlight w:val="none"/>
          <w:u w:val="single"/>
        </w:rPr>
        <w:t xml:space="preserve">                                                </w:t>
      </w:r>
    </w:p>
    <w:p>
      <w:pPr>
        <w:spacing w:line="48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p>
    <w:p>
      <w:pPr>
        <w:spacing w:line="480" w:lineRule="auto"/>
        <w:ind w:firstLine="720" w:firstLineChars="3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pPr>
        <w:spacing w:line="48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spacing w:line="48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pPr>
        <w:spacing w:line="48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    别：</w:t>
      </w:r>
      <w:r>
        <w:rPr>
          <w:rFonts w:hint="eastAsia" w:ascii="宋体" w:hAnsi="宋体" w:eastAsia="宋体" w:cs="宋体"/>
          <w:color w:val="auto"/>
          <w:sz w:val="24"/>
          <w:szCs w:val="24"/>
          <w:highlight w:val="none"/>
          <w:u w:val="single"/>
        </w:rPr>
        <w:t xml:space="preserve">                </w:t>
      </w:r>
    </w:p>
    <w:p>
      <w:pPr>
        <w:spacing w:line="48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职    务：</w:t>
      </w:r>
      <w:r>
        <w:rPr>
          <w:rFonts w:hint="eastAsia" w:ascii="宋体" w:hAnsi="宋体" w:eastAsia="宋体" w:cs="宋体"/>
          <w:color w:val="auto"/>
          <w:sz w:val="24"/>
          <w:szCs w:val="24"/>
          <w:highlight w:val="none"/>
          <w:u w:val="single"/>
        </w:rPr>
        <w:t xml:space="preserve">                </w:t>
      </w:r>
    </w:p>
    <w:p>
      <w:pPr>
        <w:spacing w:line="48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的法定代表人。</w:t>
      </w:r>
    </w:p>
    <w:p>
      <w:pPr>
        <w:spacing w:line="360" w:lineRule="auto"/>
        <w:ind w:firstLine="720" w:firstLineChars="300"/>
        <w:rPr>
          <w:rFonts w:hint="eastAsia" w:ascii="宋体" w:hAnsi="宋体" w:eastAsia="宋体" w:cs="宋体"/>
          <w:color w:val="auto"/>
          <w:sz w:val="24"/>
          <w:szCs w:val="24"/>
          <w:highlight w:val="none"/>
        </w:rPr>
      </w:pPr>
    </w:p>
    <w:p>
      <w:pPr>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pPr>
        <w:snapToGrid w:val="0"/>
        <w:ind w:firstLine="723" w:firstLineChars="300"/>
        <w:jc w:val="both"/>
        <w:rPr>
          <w:rFonts w:hint="eastAsia" w:ascii="宋体" w:hAnsi="宋体" w:eastAsia="宋体" w:cs="宋体"/>
          <w:b/>
          <w:color w:val="auto"/>
          <w:sz w:val="24"/>
          <w:szCs w:val="24"/>
          <w:highlight w:val="none"/>
          <w:lang w:eastAsia="zh-CN"/>
        </w:rPr>
      </w:pPr>
    </w:p>
    <w:p>
      <w:pPr>
        <w:spacing w:line="360" w:lineRule="auto"/>
        <w:ind w:firstLine="1200" w:firstLine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bl>
      <w:tblPr>
        <w:tblStyle w:val="74"/>
        <w:tblW w:w="5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8" w:hRule="atLeast"/>
          <w:jc w:val="center"/>
        </w:trPr>
        <w:tc>
          <w:tcPr>
            <w:tcW w:w="5500" w:type="dxa"/>
            <w:noWrap w:val="0"/>
            <w:vAlign w:val="center"/>
          </w:tcPr>
          <w:p>
            <w:pPr>
              <w:spacing w:before="60" w:after="60" w:line="5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附：法定代表人身份证件</w:t>
            </w:r>
          </w:p>
          <w:p>
            <w:pPr>
              <w:spacing w:before="60" w:after="60" w:line="5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正反面</w:t>
            </w:r>
          </w:p>
        </w:tc>
      </w:tr>
    </w:tbl>
    <w:p>
      <w:pPr>
        <w:spacing w:line="360" w:lineRule="auto"/>
        <w:ind w:firstLine="1200" w:firstLine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pPr>
        <w:spacing w:line="360" w:lineRule="auto"/>
        <w:ind w:firstLine="4200" w:firstLineChars="1750"/>
        <w:rPr>
          <w:rFonts w:hint="eastAsia" w:ascii="宋体" w:hAnsi="宋体" w:eastAsia="宋体" w:cs="宋体"/>
          <w:color w:val="auto"/>
          <w:sz w:val="24"/>
          <w:szCs w:val="24"/>
          <w:highlight w:val="none"/>
        </w:rPr>
      </w:pPr>
    </w:p>
    <w:p>
      <w:pPr>
        <w:pStyle w:val="73"/>
        <w:rPr>
          <w:rFonts w:hint="eastAsia" w:ascii="宋体" w:hAnsi="宋体" w:eastAsia="宋体" w:cs="宋体"/>
          <w:color w:val="auto"/>
          <w:sz w:val="24"/>
          <w:szCs w:val="24"/>
          <w:highlight w:val="none"/>
        </w:rPr>
      </w:pPr>
    </w:p>
    <w:p>
      <w:pPr>
        <w:spacing w:line="360" w:lineRule="auto"/>
        <w:ind w:firstLine="4200" w:firstLineChars="175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                   (盖单位章)</w:t>
      </w:r>
    </w:p>
    <w:p>
      <w:pPr>
        <w:spacing w:line="360" w:lineRule="auto"/>
        <w:ind w:firstLine="4200" w:firstLineChars="17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spacing w:line="500" w:lineRule="exact"/>
        <w:jc w:val="center"/>
        <w:rPr>
          <w:rFonts w:hint="eastAsia" w:ascii="宋体" w:hAnsi="宋体" w:eastAsia="宋体" w:cs="宋体"/>
          <w:sz w:val="24"/>
          <w:highlight w:val="none"/>
        </w:rPr>
      </w:pPr>
    </w:p>
    <w:p>
      <w:pPr>
        <w:spacing w:line="500" w:lineRule="exact"/>
        <w:jc w:val="center"/>
        <w:rPr>
          <w:rFonts w:hint="eastAsia" w:ascii="宋体" w:hAnsi="宋体" w:eastAsia="宋体" w:cs="宋体"/>
          <w:sz w:val="24"/>
          <w:highlight w:val="none"/>
        </w:rPr>
      </w:pPr>
    </w:p>
    <w:p>
      <w:pPr>
        <w:pStyle w:val="73"/>
        <w:rPr>
          <w:rFonts w:hint="eastAsia"/>
          <w:highlight w:val="none"/>
        </w:rPr>
      </w:pPr>
    </w:p>
    <w:p>
      <w:pPr>
        <w:spacing w:line="360" w:lineRule="auto"/>
        <w:jc w:val="both"/>
        <w:rPr>
          <w:rFonts w:hint="eastAsia" w:ascii="宋体" w:hAnsi="宋体" w:eastAsia="宋体" w:cs="宋体"/>
          <w:b/>
          <w:sz w:val="28"/>
          <w:szCs w:val="28"/>
          <w:highlight w:val="none"/>
        </w:rPr>
      </w:pPr>
    </w:p>
    <w:p>
      <w:pPr>
        <w:pStyle w:val="73"/>
        <w:rPr>
          <w:rFonts w:hint="eastAsia"/>
          <w:highlight w:val="none"/>
        </w:rPr>
      </w:pPr>
    </w:p>
    <w:p>
      <w:pPr>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法定代表人授权委托书</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（法定代表人名称）系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（投标人全称）的法定代表人，现授权委托我公司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（委托代理人名称和职务）为全权代表，参加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（招标人名称）的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项目（招标项目名称）招投标活动，招标编号为：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。该同志代表我单位全权处理本次招投标活动中与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（招标人名称）的一切事宜，由他签字的一切文件，我公司均认可。</w:t>
      </w:r>
    </w:p>
    <w:p>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委托代理人无转委托权，特此委托。</w:t>
      </w:r>
    </w:p>
    <w:p>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pPr>
        <w:spacing w:line="500" w:lineRule="exact"/>
        <w:ind w:firstLine="4560" w:firstLineChars="1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b w:val="0"/>
          <w:bCs w:val="0"/>
          <w:color w:val="auto"/>
          <w:sz w:val="24"/>
          <w:szCs w:val="24"/>
          <w:highlight w:val="none"/>
        </w:rPr>
        <w:t>（签字或</w:t>
      </w:r>
      <w:r>
        <w:rPr>
          <w:rFonts w:hint="eastAsia" w:ascii="宋体" w:hAnsi="宋体" w:eastAsia="宋体" w:cs="宋体"/>
          <w:b w:val="0"/>
          <w:bCs w:val="0"/>
          <w:color w:val="auto"/>
          <w:sz w:val="24"/>
          <w:szCs w:val="24"/>
          <w:highlight w:val="none"/>
          <w:lang w:eastAsia="zh-CN"/>
        </w:rPr>
        <w:t>盖</w:t>
      </w:r>
      <w:r>
        <w:rPr>
          <w:rFonts w:hint="eastAsia" w:ascii="宋体" w:hAnsi="宋体" w:eastAsia="宋体" w:cs="宋体"/>
          <w:b w:val="0"/>
          <w:bCs w:val="0"/>
          <w:color w:val="auto"/>
          <w:sz w:val="24"/>
          <w:szCs w:val="24"/>
          <w:highlight w:val="none"/>
        </w:rPr>
        <w:t>章）</w:t>
      </w:r>
      <w:r>
        <w:rPr>
          <w:rFonts w:hint="eastAsia" w:ascii="宋体" w:hAnsi="宋体" w:eastAsia="宋体" w:cs="宋体"/>
          <w:color w:val="auto"/>
          <w:sz w:val="24"/>
          <w:szCs w:val="24"/>
          <w:highlight w:val="none"/>
        </w:rPr>
        <w:t>：</w:t>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投标人全称(</w:t>
      </w:r>
      <w:r>
        <w:rPr>
          <w:rFonts w:hint="eastAsia" w:ascii="宋体" w:hAnsi="宋体" w:eastAsia="宋体" w:cs="宋体"/>
          <w:color w:val="auto"/>
          <w:sz w:val="24"/>
          <w:szCs w:val="24"/>
          <w:highlight w:val="none"/>
          <w:lang w:eastAsia="zh-CN"/>
        </w:rPr>
        <w:t>加盖</w:t>
      </w:r>
      <w:r>
        <w:rPr>
          <w:rFonts w:hint="eastAsia" w:ascii="宋体" w:hAnsi="宋体" w:eastAsia="宋体" w:cs="宋体"/>
          <w:color w:val="auto"/>
          <w:sz w:val="24"/>
          <w:szCs w:val="24"/>
          <w:highlight w:val="none"/>
        </w:rPr>
        <w:t>公章)：</w:t>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授权委托期：</w:t>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w:t>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委托代理人姓名：</w:t>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身份证号码  ：</w:t>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详细通讯地址：</w:t>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政 编 码 ：</w:t>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p>
      <w:pPr>
        <w:tabs>
          <w:tab w:val="left" w:pos="0"/>
          <w:tab w:val="left" w:pos="180"/>
          <w:tab w:val="left" w:pos="360"/>
        </w:tabs>
        <w:jc w:val="center"/>
        <w:rPr>
          <w:rFonts w:hint="eastAsia" w:ascii="宋体" w:hAnsi="宋体" w:eastAsia="宋体" w:cs="宋体"/>
          <w:color w:val="auto"/>
          <w:highlight w:val="none"/>
        </w:rPr>
      </w:pPr>
    </w:p>
    <w:tbl>
      <w:tblPr>
        <w:tblStyle w:val="74"/>
        <w:tblW w:w="5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8" w:hRule="atLeast"/>
          <w:jc w:val="center"/>
        </w:trPr>
        <w:tc>
          <w:tcPr>
            <w:tcW w:w="5920" w:type="dxa"/>
            <w:noWrap w:val="0"/>
            <w:vAlign w:val="center"/>
          </w:tcPr>
          <w:p>
            <w:pPr>
              <w:spacing w:before="60" w:after="60" w:line="500" w:lineRule="exact"/>
              <w:ind w:firstLine="482" w:firstLineChars="20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附：授权代理人身份证件正反面</w:t>
            </w:r>
          </w:p>
        </w:tc>
      </w:tr>
    </w:tbl>
    <w:p>
      <w:pPr>
        <w:autoSpaceDE w:val="0"/>
        <w:autoSpaceDN w:val="0"/>
        <w:adjustRightInd w:val="0"/>
        <w:spacing w:line="360" w:lineRule="auto"/>
        <w:jc w:val="center"/>
        <w:rPr>
          <w:rFonts w:hint="eastAsia" w:ascii="宋体" w:hAnsi="宋体" w:eastAsia="宋体" w:cs="宋体"/>
          <w:b/>
          <w:bCs/>
          <w:sz w:val="32"/>
          <w:szCs w:val="22"/>
          <w:highlight w:val="none"/>
          <w:lang w:eastAsia="zh-CN"/>
        </w:rPr>
      </w:pPr>
    </w:p>
    <w:p>
      <w:pPr>
        <w:pStyle w:val="494"/>
        <w:spacing w:line="440" w:lineRule="exact"/>
        <w:ind w:left="250" w:right="720"/>
        <w:jc w:val="center"/>
        <w:rPr>
          <w:rFonts w:ascii="宋体" w:hAnsi="宋体" w:cs="宋体"/>
          <w:b/>
          <w:color w:val="000000" w:themeColor="text1"/>
          <w:sz w:val="28"/>
          <w:szCs w:val="28"/>
          <w:highlight w:val="none"/>
          <w14:textFill>
            <w14:solidFill>
              <w14:schemeClr w14:val="tx1"/>
            </w14:solidFill>
          </w14:textFill>
        </w:rPr>
      </w:pPr>
    </w:p>
    <w:p>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br w:type="page"/>
      </w:r>
    </w:p>
    <w:p>
      <w:pPr>
        <w:jc w:val="center"/>
        <w:rPr>
          <w:rFonts w:ascii="宋体" w:hAnsi="宋体" w:cs="宋体"/>
          <w:b/>
          <w:color w:val="000000" w:themeColor="text1"/>
          <w:sz w:val="30"/>
          <w:szCs w:val="30"/>
          <w:highlight w:val="none"/>
          <w14:textFill>
            <w14:solidFill>
              <w14:schemeClr w14:val="tx1"/>
            </w14:solidFill>
          </w14:textFill>
        </w:rPr>
      </w:pPr>
    </w:p>
    <w:p>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联合体协议书（本项目不适用）</w:t>
      </w: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pStyle w:val="5"/>
        <w:outlineLvl w:val="9"/>
        <w:rPr>
          <w:rFonts w:ascii="宋体" w:hAnsi="宋体" w:cs="宋体"/>
          <w:b/>
          <w:color w:val="000000" w:themeColor="text1"/>
          <w:sz w:val="30"/>
          <w:szCs w:val="30"/>
          <w:highlight w:val="none"/>
          <w14:textFill>
            <w14:solidFill>
              <w14:schemeClr w14:val="tx1"/>
            </w14:solidFill>
          </w14:textFill>
        </w:rPr>
      </w:pPr>
    </w:p>
    <w:p>
      <w:pPr>
        <w:rPr>
          <w:color w:val="000000" w:themeColor="text1"/>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pStyle w:val="5"/>
        <w:outlineLvl w:val="9"/>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pStyle w:val="5"/>
        <w:outlineLvl w:val="9"/>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技术标</w:t>
      </w:r>
    </w:p>
    <w:p>
      <w:pPr>
        <w:rPr>
          <w:rFonts w:ascii="宋体" w:hAnsi="宋体" w:cs="宋体"/>
          <w:color w:val="000000" w:themeColor="text1"/>
          <w:sz w:val="24"/>
          <w:highlight w:val="none"/>
          <w14:textFill>
            <w14:solidFill>
              <w14:schemeClr w14:val="tx1"/>
            </w14:solidFill>
          </w14:textFill>
        </w:rPr>
      </w:pPr>
    </w:p>
    <w:p>
      <w:pPr>
        <w:spacing w:line="360" w:lineRule="auto"/>
        <w:jc w:val="center"/>
        <w:rPr>
          <w:rFonts w:ascii="宋体" w:hAnsi="宋体" w:cs="宋体"/>
          <w:color w:val="000000" w:themeColor="text1"/>
          <w:sz w:val="24"/>
          <w:highlight w:val="none"/>
          <w14:textFill>
            <w14:solidFill>
              <w14:schemeClr w14:val="tx1"/>
            </w14:solidFill>
          </w14:textFill>
        </w:rPr>
      </w:pPr>
    </w:p>
    <w:p>
      <w:pPr>
        <w:spacing w:line="500" w:lineRule="exact"/>
        <w:jc w:val="center"/>
        <w:textAlignment w:val="center"/>
        <w:outlineLvl w:val="0"/>
        <w:rPr>
          <w:rFonts w:hint="eastAsia" w:ascii="宋体" w:hAnsi="宋体" w:cs="宋体"/>
          <w:bCs/>
          <w:color w:val="000000" w:themeColor="text1"/>
          <w:sz w:val="24"/>
          <w:szCs w:val="24"/>
          <w:highlight w:val="none"/>
          <w14:textFill>
            <w14:solidFill>
              <w14:schemeClr w14:val="tx1"/>
            </w14:solidFill>
          </w14:textFill>
        </w:rPr>
      </w:pPr>
      <w:bookmarkStart w:id="63" w:name="_Toc3034"/>
      <w:bookmarkStart w:id="64" w:name="_Toc22698"/>
      <w:r>
        <w:rPr>
          <w:rFonts w:hint="eastAsia" w:ascii="宋体" w:hAnsi="宋体" w:cs="宋体"/>
          <w:bCs/>
          <w:color w:val="000000" w:themeColor="text1"/>
          <w:sz w:val="24"/>
          <w:szCs w:val="24"/>
          <w:highlight w:val="none"/>
          <w14:textFill>
            <w14:solidFill>
              <w14:schemeClr w14:val="tx1"/>
            </w14:solidFill>
          </w14:textFill>
        </w:rPr>
        <w:t>（投标人结合第三部分项目说明及第四部分评分标准编制</w:t>
      </w:r>
      <w:r>
        <w:rPr>
          <w:rFonts w:hint="eastAsia" w:ascii="宋体" w:hAnsi="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sz w:val="24"/>
          <w:szCs w:val="24"/>
          <w:highlight w:val="none"/>
          <w:lang w:val="en-US" w:eastAsia="zh-CN"/>
        </w:rPr>
        <w:t>保证目录清晰、内容完整。</w:t>
      </w:r>
      <w:r>
        <w:rPr>
          <w:rFonts w:hint="eastAsia" w:ascii="宋体" w:hAnsi="宋体" w:cs="宋体"/>
          <w:bCs/>
          <w:color w:val="000000" w:themeColor="text1"/>
          <w:sz w:val="24"/>
          <w:szCs w:val="24"/>
          <w:highlight w:val="none"/>
          <w14:textFill>
            <w14:solidFill>
              <w14:schemeClr w14:val="tx1"/>
            </w14:solidFill>
          </w14:textFill>
        </w:rPr>
        <w:t>）</w:t>
      </w:r>
      <w:bookmarkEnd w:id="63"/>
      <w:bookmarkEnd w:id="64"/>
    </w:p>
    <w:p>
      <w:pPr>
        <w:rPr>
          <w:rFonts w:ascii="宋体" w:hAnsi="宋体" w:cs="宋体"/>
          <w:b/>
          <w:color w:val="000000" w:themeColor="text1"/>
          <w:sz w:val="32"/>
          <w:szCs w:val="32"/>
          <w:highlight w:val="none"/>
          <w14:textFill>
            <w14:solidFill>
              <w14:schemeClr w14:val="tx1"/>
            </w14:solidFill>
          </w14:textFill>
        </w:rPr>
      </w:pPr>
    </w:p>
    <w:p>
      <w:pPr>
        <w:pStyle w:val="5"/>
        <w:outlineLvl w:val="9"/>
        <w:rPr>
          <w:rFonts w:ascii="宋体" w:hAnsi="宋体" w:cs="宋体"/>
          <w:b/>
          <w:color w:val="000000" w:themeColor="text1"/>
          <w:sz w:val="32"/>
          <w:szCs w:val="32"/>
          <w:highlight w:val="none"/>
          <w14:textFill>
            <w14:solidFill>
              <w14:schemeClr w14:val="tx1"/>
            </w14:solidFill>
          </w14:textFill>
        </w:rPr>
      </w:pPr>
    </w:p>
    <w:p>
      <w:pPr>
        <w:rPr>
          <w:rFonts w:ascii="宋体" w:hAnsi="宋体" w:cs="宋体"/>
          <w:b/>
          <w:color w:val="000000" w:themeColor="text1"/>
          <w:sz w:val="32"/>
          <w:szCs w:val="32"/>
          <w:highlight w:val="none"/>
          <w14:textFill>
            <w14:solidFill>
              <w14:schemeClr w14:val="tx1"/>
            </w14:solidFill>
          </w14:textFill>
        </w:rPr>
      </w:pPr>
    </w:p>
    <w:p>
      <w:pPr>
        <w:pStyle w:val="5"/>
        <w:outlineLvl w:val="9"/>
        <w:rPr>
          <w:rFonts w:ascii="宋体" w:hAnsi="宋体" w:cs="宋体"/>
          <w:b/>
          <w:color w:val="000000" w:themeColor="text1"/>
          <w:sz w:val="32"/>
          <w:szCs w:val="32"/>
          <w:highlight w:val="none"/>
          <w14:textFill>
            <w14:solidFill>
              <w14:schemeClr w14:val="tx1"/>
            </w14:solidFill>
          </w14:textFill>
        </w:rPr>
      </w:pPr>
    </w:p>
    <w:p>
      <w:pPr>
        <w:rPr>
          <w:rFonts w:ascii="宋体" w:hAnsi="宋体" w:cs="宋体"/>
          <w:b/>
          <w:color w:val="000000" w:themeColor="text1"/>
          <w:sz w:val="32"/>
          <w:szCs w:val="32"/>
          <w:highlight w:val="none"/>
          <w14:textFill>
            <w14:solidFill>
              <w14:schemeClr w14:val="tx1"/>
            </w14:solidFill>
          </w14:textFill>
        </w:rPr>
      </w:pPr>
    </w:p>
    <w:p>
      <w:pPr>
        <w:pStyle w:val="5"/>
        <w:outlineLvl w:val="9"/>
        <w:rPr>
          <w:rFonts w:ascii="宋体" w:hAnsi="宋体" w:cs="宋体"/>
          <w:b/>
          <w:color w:val="000000" w:themeColor="text1"/>
          <w:sz w:val="32"/>
          <w:szCs w:val="32"/>
          <w:highlight w:val="none"/>
          <w14:textFill>
            <w14:solidFill>
              <w14:schemeClr w14:val="tx1"/>
            </w14:solidFill>
          </w14:textFill>
        </w:rPr>
      </w:pPr>
    </w:p>
    <w:p>
      <w:pPr>
        <w:rPr>
          <w:rFonts w:ascii="宋体" w:hAnsi="宋体" w:cs="宋体"/>
          <w:b/>
          <w:color w:val="000000" w:themeColor="text1"/>
          <w:sz w:val="32"/>
          <w:szCs w:val="32"/>
          <w:highlight w:val="none"/>
          <w14:textFill>
            <w14:solidFill>
              <w14:schemeClr w14:val="tx1"/>
            </w14:solidFill>
          </w14:textFill>
        </w:rPr>
      </w:pPr>
    </w:p>
    <w:p>
      <w:pPr>
        <w:pStyle w:val="5"/>
        <w:outlineLvl w:val="9"/>
        <w:rPr>
          <w:color w:val="000000" w:themeColor="text1"/>
          <w:highlight w:val="none"/>
          <w14:textFill>
            <w14:solidFill>
              <w14:schemeClr w14:val="tx1"/>
            </w14:solidFill>
          </w14:textFill>
        </w:rPr>
      </w:pPr>
    </w:p>
    <w:p>
      <w:pPr>
        <w:rPr>
          <w:rFonts w:ascii="宋体" w:hAnsi="宋体" w:cs="宋体"/>
          <w:bCs/>
          <w:color w:val="000000" w:themeColor="text1"/>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pStyle w:val="73"/>
        <w:rPr>
          <w:rFonts w:ascii="宋体" w:hAnsi="宋体" w:cs="宋体"/>
          <w:b/>
          <w:color w:val="000000" w:themeColor="text1"/>
          <w:sz w:val="30"/>
          <w:szCs w:val="30"/>
          <w:highlight w:val="none"/>
          <w14:textFill>
            <w14:solidFill>
              <w14:schemeClr w14:val="tx1"/>
            </w14:solidFill>
          </w14:textFill>
        </w:rPr>
      </w:pPr>
    </w:p>
    <w:p>
      <w:pPr>
        <w:pStyle w:val="72"/>
        <w:rPr>
          <w:rFonts w:ascii="宋体" w:hAnsi="宋体" w:cs="宋体"/>
          <w:b/>
          <w:color w:val="000000" w:themeColor="text1"/>
          <w:sz w:val="30"/>
          <w:szCs w:val="30"/>
          <w:highlight w:val="none"/>
          <w14:textFill>
            <w14:solidFill>
              <w14:schemeClr w14:val="tx1"/>
            </w14:solidFill>
          </w14:textFill>
        </w:rPr>
      </w:pPr>
    </w:p>
    <w:p>
      <w:pPr>
        <w:pStyle w:val="72"/>
        <w:rPr>
          <w:rFonts w:ascii="宋体" w:hAnsi="宋体" w:cs="宋体"/>
          <w:b/>
          <w:color w:val="000000" w:themeColor="text1"/>
          <w:sz w:val="30"/>
          <w:szCs w:val="30"/>
          <w:highlight w:val="none"/>
          <w14:textFill>
            <w14:solidFill>
              <w14:schemeClr w14:val="tx1"/>
            </w14:solidFill>
          </w14:textFill>
        </w:rPr>
      </w:pPr>
    </w:p>
    <w:p>
      <w:pPr>
        <w:rPr>
          <w:rFonts w:ascii="宋体" w:hAnsi="宋体" w:cs="宋体"/>
          <w:b/>
          <w:color w:val="000000" w:themeColor="text1"/>
          <w:sz w:val="30"/>
          <w:szCs w:val="30"/>
          <w:highlight w:val="none"/>
          <w14:textFill>
            <w14:solidFill>
              <w14:schemeClr w14:val="tx1"/>
            </w14:solidFill>
          </w14:textFill>
        </w:rPr>
      </w:pPr>
    </w:p>
    <w:p>
      <w:pPr>
        <w:pStyle w:val="31"/>
        <w:rPr>
          <w:rFonts w:ascii="宋体" w:hAnsi="宋体" w:cs="宋体"/>
          <w:color w:val="000000" w:themeColor="text1"/>
          <w:sz w:val="32"/>
          <w:szCs w:val="32"/>
          <w:highlight w:val="none"/>
          <w14:textFill>
            <w14:solidFill>
              <w14:schemeClr w14:val="tx1"/>
            </w14:solidFill>
          </w14:textFill>
        </w:rPr>
      </w:pPr>
    </w:p>
    <w:p>
      <w:pPr>
        <w:spacing w:before="60" w:after="60" w:line="460" w:lineRule="exact"/>
        <w:jc w:val="center"/>
        <w:rPr>
          <w:rFonts w:hint="eastAsia" w:ascii="宋体" w:hAnsi="宋体" w:eastAsia="宋体" w:cs="宋体"/>
          <w:b/>
          <w:bCs/>
          <w:color w:val="000000" w:themeColor="text1"/>
          <w:sz w:val="32"/>
          <w:szCs w:val="22"/>
          <w:highlight w:val="none"/>
          <w:lang w:eastAsia="zh-CN"/>
          <w14:textFill>
            <w14:solidFill>
              <w14:schemeClr w14:val="tx1"/>
            </w14:solidFill>
          </w14:textFill>
        </w:rPr>
      </w:pPr>
      <w:bookmarkStart w:id="65" w:name="_Toc211849464"/>
      <w:bookmarkStart w:id="66" w:name="_Toc448320487"/>
      <w:bookmarkStart w:id="67" w:name="_Toc422468460"/>
    </w:p>
    <w:p>
      <w:pPr>
        <w:spacing w:before="60" w:after="60" w:line="460" w:lineRule="exact"/>
        <w:jc w:val="center"/>
        <w:rPr>
          <w:rFonts w:hint="eastAsia" w:ascii="宋体" w:hAnsi="宋体" w:eastAsia="宋体" w:cs="宋体"/>
          <w:b/>
          <w:bCs/>
          <w:color w:val="000000" w:themeColor="text1"/>
          <w:sz w:val="32"/>
          <w:szCs w:val="22"/>
          <w:highlight w:val="none"/>
          <w:lang w:eastAsia="zh-CN"/>
          <w14:textFill>
            <w14:solidFill>
              <w14:schemeClr w14:val="tx1"/>
            </w14:solidFill>
          </w14:textFill>
        </w:rPr>
      </w:pPr>
    </w:p>
    <w:p>
      <w:pPr>
        <w:spacing w:before="60" w:after="60" w:line="460" w:lineRule="exact"/>
        <w:jc w:val="center"/>
        <w:rPr>
          <w:rFonts w:hint="eastAsia" w:ascii="宋体" w:hAnsi="宋体" w:eastAsia="宋体" w:cs="宋体"/>
          <w:b/>
          <w:bCs/>
          <w:color w:val="000000" w:themeColor="text1"/>
          <w:sz w:val="32"/>
          <w:szCs w:val="22"/>
          <w:highlight w:val="none"/>
          <w:lang w:eastAsia="zh-CN"/>
          <w14:textFill>
            <w14:solidFill>
              <w14:schemeClr w14:val="tx1"/>
            </w14:solidFill>
          </w14:textFill>
        </w:rPr>
      </w:pPr>
    </w:p>
    <w:p>
      <w:pPr>
        <w:keepNext w:val="0"/>
        <w:keepLines w:val="0"/>
        <w:pageBreakBefore/>
        <w:widowControl w:val="0"/>
        <w:kinsoku/>
        <w:wordWrap/>
        <w:overflowPunct/>
        <w:topLinePunct w:val="0"/>
        <w:autoSpaceDE/>
        <w:autoSpaceDN/>
        <w:bidi w:val="0"/>
        <w:adjustRightInd/>
        <w:snapToGrid/>
        <w:spacing w:before="60" w:after="60" w:line="460" w:lineRule="exact"/>
        <w:jc w:val="center"/>
        <w:textAlignment w:val="auto"/>
        <w:rPr>
          <w:rFonts w:hint="eastAsia" w:ascii="宋体" w:hAnsi="宋体" w:eastAsia="宋体" w:cs="宋体"/>
          <w:b/>
          <w:bCs/>
          <w:color w:val="000000" w:themeColor="text1"/>
          <w:sz w:val="32"/>
          <w:szCs w:val="22"/>
          <w:highlight w:val="none"/>
          <w:lang w:eastAsia="zh-CN"/>
          <w14:textFill>
            <w14:solidFill>
              <w14:schemeClr w14:val="tx1"/>
            </w14:solidFill>
          </w14:textFill>
        </w:rPr>
      </w:pPr>
      <w:r>
        <w:rPr>
          <w:rFonts w:hint="eastAsia" w:ascii="宋体" w:hAnsi="宋体" w:eastAsia="宋体" w:cs="宋体"/>
          <w:b/>
          <w:bCs/>
          <w:color w:val="000000" w:themeColor="text1"/>
          <w:sz w:val="32"/>
          <w:szCs w:val="22"/>
          <w:highlight w:val="none"/>
          <w:lang w:eastAsia="zh-CN"/>
          <w14:textFill>
            <w14:solidFill>
              <w14:schemeClr w14:val="tx1"/>
            </w14:solidFill>
          </w14:textFill>
        </w:rPr>
        <w:t>资 格 审 查 资 料</w:t>
      </w:r>
    </w:p>
    <w:p>
      <w:pPr>
        <w:pStyle w:val="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p>
    <w:p>
      <w:pPr>
        <w:pStyle w:val="40"/>
        <w:jc w:val="center"/>
        <w:outlineLvl w:val="1"/>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（一）基本情况表</w:t>
      </w:r>
    </w:p>
    <w:tbl>
      <w:tblPr>
        <w:tblStyle w:val="74"/>
        <w:tblW w:w="9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0"/>
        <w:gridCol w:w="847"/>
        <w:gridCol w:w="890"/>
        <w:gridCol w:w="561"/>
        <w:gridCol w:w="1142"/>
        <w:gridCol w:w="253"/>
        <w:gridCol w:w="1380"/>
        <w:gridCol w:w="106"/>
        <w:gridCol w:w="975"/>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760" w:type="dxa"/>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投标人名称</w:t>
            </w:r>
          </w:p>
        </w:tc>
        <w:tc>
          <w:tcPr>
            <w:tcW w:w="7579" w:type="dxa"/>
            <w:gridSpan w:val="9"/>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注册地址</w:t>
            </w:r>
          </w:p>
        </w:tc>
        <w:tc>
          <w:tcPr>
            <w:tcW w:w="3693" w:type="dxa"/>
            <w:gridSpan w:val="5"/>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486" w:type="dxa"/>
            <w:gridSpan w:val="2"/>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邮政编码</w:t>
            </w:r>
          </w:p>
        </w:tc>
        <w:tc>
          <w:tcPr>
            <w:tcW w:w="2400" w:type="dxa"/>
            <w:gridSpan w:val="2"/>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760" w:type="dxa"/>
            <w:vMerge w:val="restart"/>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联系方式</w:t>
            </w:r>
          </w:p>
        </w:tc>
        <w:tc>
          <w:tcPr>
            <w:tcW w:w="1737" w:type="dxa"/>
            <w:gridSpan w:val="2"/>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联系人</w:t>
            </w:r>
          </w:p>
        </w:tc>
        <w:tc>
          <w:tcPr>
            <w:tcW w:w="1956" w:type="dxa"/>
            <w:gridSpan w:val="3"/>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486" w:type="dxa"/>
            <w:gridSpan w:val="2"/>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电话</w:t>
            </w:r>
          </w:p>
        </w:tc>
        <w:tc>
          <w:tcPr>
            <w:tcW w:w="2400" w:type="dxa"/>
            <w:gridSpan w:val="2"/>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760" w:type="dxa"/>
            <w:vMerge w:val="continue"/>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737" w:type="dxa"/>
            <w:gridSpan w:val="2"/>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传</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真</w:t>
            </w:r>
          </w:p>
        </w:tc>
        <w:tc>
          <w:tcPr>
            <w:tcW w:w="1956" w:type="dxa"/>
            <w:gridSpan w:val="3"/>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486" w:type="dxa"/>
            <w:gridSpan w:val="2"/>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网址</w:t>
            </w:r>
          </w:p>
        </w:tc>
        <w:tc>
          <w:tcPr>
            <w:tcW w:w="2400" w:type="dxa"/>
            <w:gridSpan w:val="2"/>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760" w:type="dxa"/>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7"/>
                <w:szCs w:val="27"/>
                <w:highlight w:val="none"/>
                <w14:textFill>
                  <w14:solidFill>
                    <w14:schemeClr w14:val="tx1"/>
                  </w14:solidFill>
                </w14:textFill>
              </w:rPr>
              <w:t>组织结构</w:t>
            </w:r>
          </w:p>
        </w:tc>
        <w:tc>
          <w:tcPr>
            <w:tcW w:w="7579" w:type="dxa"/>
            <w:gridSpan w:val="9"/>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法定代表人</w:t>
            </w:r>
          </w:p>
        </w:tc>
        <w:tc>
          <w:tcPr>
            <w:tcW w:w="847" w:type="dxa"/>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姓名</w:t>
            </w:r>
          </w:p>
        </w:tc>
        <w:tc>
          <w:tcPr>
            <w:tcW w:w="1451" w:type="dxa"/>
            <w:gridSpan w:val="2"/>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395" w:type="dxa"/>
            <w:gridSpan w:val="2"/>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技术职称</w:t>
            </w:r>
          </w:p>
        </w:tc>
        <w:tc>
          <w:tcPr>
            <w:tcW w:w="1380" w:type="dxa"/>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081" w:type="dxa"/>
            <w:gridSpan w:val="2"/>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电话</w:t>
            </w:r>
          </w:p>
        </w:tc>
        <w:tc>
          <w:tcPr>
            <w:tcW w:w="1425" w:type="dxa"/>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技术负责人</w:t>
            </w:r>
          </w:p>
        </w:tc>
        <w:tc>
          <w:tcPr>
            <w:tcW w:w="847" w:type="dxa"/>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姓名</w:t>
            </w:r>
          </w:p>
        </w:tc>
        <w:tc>
          <w:tcPr>
            <w:tcW w:w="1451" w:type="dxa"/>
            <w:gridSpan w:val="2"/>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395" w:type="dxa"/>
            <w:gridSpan w:val="2"/>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技术职称</w:t>
            </w:r>
          </w:p>
        </w:tc>
        <w:tc>
          <w:tcPr>
            <w:tcW w:w="1380" w:type="dxa"/>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081" w:type="dxa"/>
            <w:gridSpan w:val="2"/>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电话</w:t>
            </w:r>
          </w:p>
        </w:tc>
        <w:tc>
          <w:tcPr>
            <w:tcW w:w="1425" w:type="dxa"/>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成立时间</w:t>
            </w:r>
          </w:p>
        </w:tc>
        <w:tc>
          <w:tcPr>
            <w:tcW w:w="2298" w:type="dxa"/>
            <w:gridSpan w:val="3"/>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5281" w:type="dxa"/>
            <w:gridSpan w:val="6"/>
            <w:noWrap w:val="0"/>
            <w:vAlign w:val="center"/>
          </w:tcPr>
          <w:p>
            <w:pPr>
              <w:spacing w:line="24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员工人数: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企业资质等级 </w:t>
            </w:r>
          </w:p>
        </w:tc>
        <w:tc>
          <w:tcPr>
            <w:tcW w:w="2298" w:type="dxa"/>
            <w:gridSpan w:val="3"/>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142" w:type="dxa"/>
            <w:vMerge w:val="restart"/>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其中 </w:t>
            </w:r>
          </w:p>
        </w:tc>
        <w:tc>
          <w:tcPr>
            <w:tcW w:w="1633" w:type="dxa"/>
            <w:gridSpan w:val="2"/>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项目经理 </w:t>
            </w:r>
          </w:p>
        </w:tc>
        <w:tc>
          <w:tcPr>
            <w:tcW w:w="2506" w:type="dxa"/>
            <w:gridSpan w:val="3"/>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营业执照号 </w:t>
            </w:r>
          </w:p>
        </w:tc>
        <w:tc>
          <w:tcPr>
            <w:tcW w:w="2298" w:type="dxa"/>
            <w:gridSpan w:val="3"/>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142" w:type="dxa"/>
            <w:vMerge w:val="continue"/>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p>
        </w:tc>
        <w:tc>
          <w:tcPr>
            <w:tcW w:w="1633" w:type="dxa"/>
            <w:gridSpan w:val="2"/>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高级职称人员 </w:t>
            </w:r>
          </w:p>
        </w:tc>
        <w:tc>
          <w:tcPr>
            <w:tcW w:w="2506" w:type="dxa"/>
            <w:gridSpan w:val="3"/>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注册资金 </w:t>
            </w:r>
          </w:p>
        </w:tc>
        <w:tc>
          <w:tcPr>
            <w:tcW w:w="2298" w:type="dxa"/>
            <w:gridSpan w:val="3"/>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（万元） </w:t>
            </w:r>
          </w:p>
        </w:tc>
        <w:tc>
          <w:tcPr>
            <w:tcW w:w="1142" w:type="dxa"/>
            <w:vMerge w:val="continue"/>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p>
        </w:tc>
        <w:tc>
          <w:tcPr>
            <w:tcW w:w="1633" w:type="dxa"/>
            <w:gridSpan w:val="2"/>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中级职称人员 </w:t>
            </w:r>
          </w:p>
        </w:tc>
        <w:tc>
          <w:tcPr>
            <w:tcW w:w="2506" w:type="dxa"/>
            <w:gridSpan w:val="3"/>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开户银行 </w:t>
            </w:r>
          </w:p>
        </w:tc>
        <w:tc>
          <w:tcPr>
            <w:tcW w:w="2298" w:type="dxa"/>
            <w:gridSpan w:val="3"/>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142" w:type="dxa"/>
            <w:vMerge w:val="continue"/>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p>
        </w:tc>
        <w:tc>
          <w:tcPr>
            <w:tcW w:w="1633" w:type="dxa"/>
            <w:gridSpan w:val="2"/>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初级职称人员 </w:t>
            </w:r>
          </w:p>
        </w:tc>
        <w:tc>
          <w:tcPr>
            <w:tcW w:w="2506" w:type="dxa"/>
            <w:gridSpan w:val="3"/>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账号 </w:t>
            </w:r>
          </w:p>
        </w:tc>
        <w:tc>
          <w:tcPr>
            <w:tcW w:w="2298" w:type="dxa"/>
            <w:gridSpan w:val="3"/>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142" w:type="dxa"/>
            <w:vMerge w:val="continue"/>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p>
        </w:tc>
        <w:tc>
          <w:tcPr>
            <w:tcW w:w="1633" w:type="dxa"/>
            <w:gridSpan w:val="2"/>
            <w:noWrap w:val="0"/>
            <w:vAlign w:val="center"/>
          </w:tcPr>
          <w:p>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技工 </w:t>
            </w:r>
          </w:p>
        </w:tc>
        <w:tc>
          <w:tcPr>
            <w:tcW w:w="2506" w:type="dxa"/>
            <w:gridSpan w:val="3"/>
            <w:noWrap w:val="0"/>
            <w:vAlign w:val="center"/>
          </w:tcPr>
          <w:p>
            <w:pPr>
              <w:spacing w:line="240" w:lineRule="auto"/>
              <w:rPr>
                <w:rFonts w:hint="eastAsia" w:ascii="宋体" w:hAnsi="宋体" w:eastAsia="宋体" w:cs="宋体"/>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1760" w:type="dxa"/>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经营</w:t>
            </w:r>
            <w:r>
              <w:rPr>
                <w:rFonts w:hint="eastAsia" w:ascii="宋体" w:hAnsi="宋体" w:eastAsia="宋体" w:cs="宋体"/>
                <w:color w:val="000000" w:themeColor="text1"/>
                <w:szCs w:val="21"/>
                <w:highlight w:val="none"/>
                <w14:textFill>
                  <w14:solidFill>
                    <w14:schemeClr w14:val="tx1"/>
                  </w14:solidFill>
                </w14:textFill>
              </w:rPr>
              <w:t>范围</w:t>
            </w:r>
          </w:p>
        </w:tc>
        <w:tc>
          <w:tcPr>
            <w:tcW w:w="7579" w:type="dxa"/>
            <w:gridSpan w:val="9"/>
            <w:noWrap w:val="0"/>
            <w:vAlign w:val="center"/>
          </w:tcPr>
          <w:p>
            <w:pPr>
              <w:spacing w:line="240" w:lineRule="auto"/>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760" w:type="dxa"/>
            <w:noWrap w:val="0"/>
            <w:vAlign w:val="center"/>
          </w:tcPr>
          <w:p>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备注</w:t>
            </w:r>
          </w:p>
        </w:tc>
        <w:tc>
          <w:tcPr>
            <w:tcW w:w="7579" w:type="dxa"/>
            <w:gridSpan w:val="9"/>
            <w:noWrap w:val="0"/>
            <w:vAlign w:val="center"/>
          </w:tcPr>
          <w:p>
            <w:pPr>
              <w:spacing w:line="240" w:lineRule="auto"/>
              <w:rPr>
                <w:rFonts w:hint="eastAsia" w:ascii="宋体" w:hAnsi="宋体" w:eastAsia="宋体" w:cs="宋体"/>
                <w:color w:val="000000" w:themeColor="text1"/>
                <w:szCs w:val="21"/>
                <w:highlight w:val="none"/>
                <w14:textFill>
                  <w14:solidFill>
                    <w14:schemeClr w14:val="tx1"/>
                  </w14:solidFill>
                </w14:textFill>
              </w:rPr>
            </w:pPr>
          </w:p>
        </w:tc>
      </w:tr>
    </w:tbl>
    <w:p>
      <w:pPr>
        <w:spacing w:line="400" w:lineRule="exact"/>
        <w:jc w:val="center"/>
        <w:rPr>
          <w:rFonts w:hint="eastAsia" w:ascii="宋体" w:hAnsi="宋体" w:eastAsia="宋体" w:cs="宋体"/>
          <w:b/>
          <w:bCs/>
          <w:color w:val="000000" w:themeColor="text1"/>
          <w:sz w:val="28"/>
          <w:szCs w:val="21"/>
          <w:highlight w:val="none"/>
          <w14:textFill>
            <w14:solidFill>
              <w14:schemeClr w14:val="tx1"/>
            </w14:solidFill>
          </w14:textFill>
        </w:rPr>
      </w:pPr>
    </w:p>
    <w:p>
      <w:pPr>
        <w:spacing w:line="560" w:lineRule="exact"/>
        <w:ind w:firstLine="480" w:firstLineChars="200"/>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备注：本表后应附等材料的复印件</w:t>
      </w:r>
    </w:p>
    <w:p>
      <w:pPr>
        <w:spacing w:line="560" w:lineRule="exact"/>
        <w:rPr>
          <w:rFonts w:hint="eastAsia" w:ascii="宋体" w:hAnsi="宋体" w:eastAsia="宋体" w:cs="宋体"/>
          <w:b/>
          <w:bCs/>
          <w:color w:val="000000" w:themeColor="text1"/>
          <w:sz w:val="24"/>
          <w:highlight w:val="none"/>
          <w14:textFill>
            <w14:solidFill>
              <w14:schemeClr w14:val="tx1"/>
            </w14:solidFill>
          </w14:textFill>
        </w:rPr>
      </w:pPr>
    </w:p>
    <w:p>
      <w:pPr>
        <w:pStyle w:val="40"/>
        <w:jc w:val="left"/>
        <w:outlineLvl w:val="9"/>
        <w:rPr>
          <w:rFonts w:hint="eastAsia" w:ascii="宋体" w:hAnsi="宋体" w:eastAsia="宋体" w:cs="宋体"/>
          <w:b/>
          <w:color w:val="000000" w:themeColor="text1"/>
          <w:sz w:val="24"/>
          <w:szCs w:val="24"/>
          <w:highlight w:val="none"/>
          <w14:textFill>
            <w14:solidFill>
              <w14:schemeClr w14:val="tx1"/>
            </w14:solidFill>
          </w14:textFill>
        </w:rPr>
      </w:pPr>
    </w:p>
    <w:p>
      <w:pPr>
        <w:pStyle w:val="40"/>
        <w:jc w:val="left"/>
        <w:outlineLvl w:val="9"/>
        <w:rPr>
          <w:rFonts w:hint="eastAsia" w:ascii="宋体" w:hAnsi="宋体" w:eastAsia="宋体" w:cs="宋体"/>
          <w:b/>
          <w:color w:val="000000" w:themeColor="text1"/>
          <w:sz w:val="24"/>
          <w:szCs w:val="24"/>
          <w:highlight w:val="none"/>
          <w14:textFill>
            <w14:solidFill>
              <w14:schemeClr w14:val="tx1"/>
            </w14:solidFill>
          </w14:textFill>
        </w:rPr>
      </w:pPr>
    </w:p>
    <w:p>
      <w:pPr>
        <w:rPr>
          <w:rFonts w:hint="eastAsia" w:ascii="宋体" w:hAnsi="宋体" w:cs="宋体"/>
          <w:kern w:val="0"/>
          <w:sz w:val="28"/>
          <w:szCs w:val="28"/>
          <w:highlight w:val="none"/>
          <w:lang w:bidi="ar"/>
        </w:rPr>
      </w:pPr>
      <w:r>
        <w:rPr>
          <w:rFonts w:hint="eastAsia" w:ascii="宋体" w:hAnsi="宋体" w:cs="宋体"/>
          <w:kern w:val="0"/>
          <w:sz w:val="28"/>
          <w:szCs w:val="28"/>
          <w:highlight w:val="none"/>
          <w:lang w:bidi="ar"/>
        </w:rPr>
        <w:br w:type="page"/>
      </w:r>
    </w:p>
    <w:p>
      <w:pPr>
        <w:spacing w:line="360" w:lineRule="auto"/>
        <w:jc w:val="center"/>
        <w:rPr>
          <w:rFonts w:ascii="宋体" w:hAnsi="宋体" w:cs="宋体"/>
          <w:b/>
          <w:sz w:val="28"/>
          <w:szCs w:val="28"/>
          <w:highlight w:val="none"/>
        </w:rPr>
      </w:pPr>
      <w:r>
        <w:rPr>
          <w:rFonts w:hint="eastAsia" w:ascii="宋体" w:hAnsi="宋体" w:cs="宋体"/>
          <w:kern w:val="0"/>
          <w:sz w:val="28"/>
          <w:szCs w:val="28"/>
          <w:highlight w:val="none"/>
          <w:lang w:bidi="ar"/>
        </w:rPr>
        <w:t>（二）近年财务状况表</w:t>
      </w:r>
    </w:p>
    <w:p>
      <w:pPr>
        <w:spacing w:line="360" w:lineRule="auto"/>
        <w:jc w:val="left"/>
        <w:rPr>
          <w:rFonts w:ascii="宋体" w:hAnsi="宋体" w:cs="宋体"/>
          <w:b/>
          <w:sz w:val="24"/>
          <w:highlight w:val="none"/>
        </w:rPr>
      </w:pPr>
      <w:r>
        <w:rPr>
          <w:rFonts w:hint="eastAsia" w:ascii="宋体" w:hAnsi="宋体" w:cs="宋体"/>
          <w:b/>
          <w:sz w:val="24"/>
          <w:highlight w:val="none"/>
        </w:rPr>
        <w:t>附：</w:t>
      </w:r>
    </w:p>
    <w:p>
      <w:pPr>
        <w:spacing w:line="360" w:lineRule="auto"/>
        <w:jc w:val="left"/>
        <w:rPr>
          <w:rFonts w:ascii="宋体" w:hAnsi="宋体" w:cs="宋体"/>
          <w:kern w:val="0"/>
          <w:sz w:val="24"/>
          <w:highlight w:val="none"/>
          <w:lang w:bidi="ar"/>
        </w:rPr>
      </w:pPr>
      <w:r>
        <w:rPr>
          <w:rFonts w:hint="eastAsia" w:ascii="宋体" w:hAnsi="宋体" w:cs="宋体"/>
          <w:bCs/>
          <w:sz w:val="24"/>
          <w:highlight w:val="none"/>
        </w:rPr>
        <w:t>扫描件：</w:t>
      </w:r>
    </w:p>
    <w:p>
      <w:pPr>
        <w:numPr>
          <w:ilvl w:val="0"/>
          <w:numId w:val="7"/>
        </w:numPr>
        <w:spacing w:line="720" w:lineRule="auto"/>
        <w:jc w:val="center"/>
        <w:rPr>
          <w:rFonts w:hint="eastAsia" w:ascii="宋体" w:hAnsi="宋体" w:cs="宋体"/>
          <w:kern w:val="0"/>
          <w:sz w:val="28"/>
          <w:szCs w:val="28"/>
          <w:highlight w:val="none"/>
          <w:lang w:bidi="ar"/>
        </w:rPr>
      </w:pPr>
      <w:r>
        <w:rPr>
          <w:rFonts w:hint="eastAsia" w:ascii="宋体" w:hAnsi="宋体" w:cs="宋体"/>
          <w:kern w:val="0"/>
          <w:sz w:val="28"/>
          <w:szCs w:val="28"/>
          <w:highlight w:val="none"/>
          <w:lang w:bidi="ar"/>
        </w:rPr>
        <w:t>依法缴纳税收的证明</w:t>
      </w:r>
    </w:p>
    <w:p>
      <w:pPr>
        <w:spacing w:line="360" w:lineRule="auto"/>
        <w:jc w:val="left"/>
        <w:rPr>
          <w:rFonts w:ascii="宋体" w:hAnsi="宋体" w:cs="宋体"/>
          <w:b/>
          <w:sz w:val="24"/>
          <w:highlight w:val="none"/>
        </w:rPr>
      </w:pPr>
      <w:r>
        <w:rPr>
          <w:rFonts w:hint="eastAsia" w:ascii="宋体" w:hAnsi="宋体" w:cs="宋体"/>
          <w:b/>
          <w:sz w:val="24"/>
          <w:highlight w:val="none"/>
        </w:rPr>
        <w:t>附：</w:t>
      </w:r>
    </w:p>
    <w:p>
      <w:pPr>
        <w:spacing w:line="360" w:lineRule="auto"/>
        <w:jc w:val="left"/>
        <w:rPr>
          <w:rFonts w:hint="eastAsia" w:ascii="宋体" w:hAnsi="宋体" w:cs="宋体"/>
          <w:kern w:val="0"/>
          <w:sz w:val="28"/>
          <w:szCs w:val="28"/>
          <w:highlight w:val="none"/>
          <w:lang w:bidi="ar"/>
        </w:rPr>
      </w:pPr>
      <w:r>
        <w:rPr>
          <w:rFonts w:hint="eastAsia" w:ascii="宋体" w:hAnsi="宋体" w:cs="宋体"/>
          <w:bCs/>
          <w:sz w:val="24"/>
          <w:highlight w:val="none"/>
        </w:rPr>
        <w:t>扫描件：</w:t>
      </w:r>
    </w:p>
    <w:p>
      <w:pPr>
        <w:spacing w:line="720" w:lineRule="auto"/>
        <w:ind w:firstLine="0" w:firstLineChars="0"/>
        <w:jc w:val="center"/>
        <w:rPr>
          <w:rFonts w:ascii="宋体" w:hAnsi="宋体" w:cs="宋体"/>
          <w:kern w:val="0"/>
          <w:sz w:val="28"/>
          <w:szCs w:val="28"/>
          <w:highlight w:val="none"/>
          <w:lang w:bidi="ar"/>
        </w:rPr>
      </w:pPr>
      <w:r>
        <w:rPr>
          <w:rFonts w:hint="eastAsia" w:ascii="宋体" w:hAnsi="宋体" w:cs="宋体"/>
          <w:kern w:val="0"/>
          <w:sz w:val="28"/>
          <w:szCs w:val="28"/>
          <w:highlight w:val="none"/>
          <w:lang w:bidi="ar"/>
        </w:rPr>
        <w:t>（四）依法缴纳社会保障资金的证明</w:t>
      </w:r>
    </w:p>
    <w:p>
      <w:pPr>
        <w:spacing w:line="360" w:lineRule="auto"/>
        <w:jc w:val="left"/>
        <w:rPr>
          <w:rFonts w:ascii="宋体" w:hAnsi="宋体" w:cs="宋体"/>
          <w:b/>
          <w:sz w:val="24"/>
          <w:highlight w:val="none"/>
        </w:rPr>
      </w:pPr>
      <w:r>
        <w:rPr>
          <w:rFonts w:hint="eastAsia" w:ascii="宋体" w:hAnsi="宋体" w:cs="宋体"/>
          <w:b/>
          <w:sz w:val="24"/>
          <w:highlight w:val="none"/>
        </w:rPr>
        <w:t>附：</w:t>
      </w:r>
    </w:p>
    <w:p>
      <w:pPr>
        <w:spacing w:line="360" w:lineRule="auto"/>
        <w:jc w:val="left"/>
        <w:rPr>
          <w:rFonts w:ascii="宋体" w:hAnsi="宋体" w:cs="宋体"/>
          <w:bCs/>
          <w:sz w:val="24"/>
          <w:highlight w:val="none"/>
        </w:rPr>
      </w:pPr>
      <w:r>
        <w:rPr>
          <w:rFonts w:hint="eastAsia" w:ascii="宋体" w:hAnsi="宋体" w:cs="宋体"/>
          <w:bCs/>
          <w:sz w:val="24"/>
          <w:highlight w:val="none"/>
        </w:rPr>
        <w:t>扫描件：</w:t>
      </w:r>
    </w:p>
    <w:p>
      <w:pPr>
        <w:spacing w:line="240" w:lineRule="auto"/>
        <w:jc w:val="left"/>
        <w:rPr>
          <w:rFonts w:hint="eastAsia" w:ascii="宋体" w:hAnsi="宋体" w:cs="宋体"/>
          <w:b/>
          <w:sz w:val="24"/>
          <w:highlight w:val="none"/>
        </w:rPr>
      </w:pPr>
    </w:p>
    <w:p>
      <w:pPr>
        <w:spacing w:line="240" w:lineRule="auto"/>
        <w:jc w:val="left"/>
        <w:rPr>
          <w:rFonts w:hint="eastAsia" w:ascii="宋体" w:hAnsi="宋体" w:cs="宋体"/>
          <w:b/>
          <w:sz w:val="24"/>
          <w:highlight w:val="none"/>
        </w:rPr>
      </w:pPr>
      <w:r>
        <w:rPr>
          <w:rFonts w:hint="eastAsia" w:ascii="宋体" w:hAnsi="宋体" w:cs="宋体"/>
          <w:b/>
          <w:sz w:val="24"/>
          <w:highlight w:val="none"/>
        </w:rPr>
        <w:br w:type="page"/>
      </w:r>
    </w:p>
    <w:p>
      <w:pPr>
        <w:pStyle w:val="40"/>
        <w:jc w:val="center"/>
        <w:outlineLvl w:val="9"/>
        <w:rPr>
          <w:rFonts w:hint="eastAsia" w:ascii="宋体" w:hAnsi="宋体" w:eastAsia="宋体" w:cs="宋体"/>
          <w:bCs/>
          <w:color w:val="000000" w:themeColor="text1"/>
          <w:sz w:val="24"/>
          <w:szCs w:val="24"/>
          <w:highlight w:val="none"/>
          <w:lang w:eastAsia="zh-CN"/>
          <w14:textFill>
            <w14:solidFill>
              <w14:schemeClr w14:val="tx1"/>
            </w14:solidFill>
          </w14:textFill>
        </w:rPr>
      </w:pPr>
    </w:p>
    <w:p>
      <w:pPr>
        <w:pStyle w:val="40"/>
        <w:jc w:val="center"/>
        <w:outlineLvl w:val="9"/>
        <w:rPr>
          <w:rFonts w:hint="eastAsia" w:ascii="宋体" w:hAnsi="宋体" w:eastAsia="宋体" w:cs="宋体"/>
          <w:b/>
          <w:bCs w:val="0"/>
          <w:color w:val="000000" w:themeColor="text1"/>
          <w:sz w:val="24"/>
          <w:szCs w:val="24"/>
          <w:highlight w:val="none"/>
          <w:lang w:eastAsia="zh-CN"/>
          <w14:textFill>
            <w14:solidFill>
              <w14:schemeClr w14:val="tx1"/>
            </w14:solidFill>
          </w14:textFill>
        </w:rPr>
      </w:pPr>
    </w:p>
    <w:p>
      <w:pPr>
        <w:pStyle w:val="40"/>
        <w:jc w:val="center"/>
        <w:outlineLvl w:val="1"/>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（五）依法缴纳社会保障资金</w:t>
      </w:r>
    </w:p>
    <w:p>
      <w:pPr>
        <w:pStyle w:val="68"/>
        <w:widowControl/>
        <w:ind w:firstLine="241" w:firstLineChars="1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附：</w:t>
      </w:r>
      <w:r>
        <w:rPr>
          <w:rFonts w:hint="eastAsia" w:ascii="宋体" w:hAnsi="宋体" w:eastAsia="宋体" w:cs="宋体"/>
          <w:b/>
          <w:color w:val="000000" w:themeColor="text1"/>
          <w:sz w:val="24"/>
          <w:szCs w:val="24"/>
          <w:highlight w:val="none"/>
          <w:lang w:eastAsia="zh-CN"/>
          <w14:textFill>
            <w14:solidFill>
              <w14:schemeClr w14:val="tx1"/>
            </w14:solidFill>
          </w14:textFill>
        </w:rPr>
        <w:t>扫描件：</w:t>
      </w:r>
    </w:p>
    <w:p>
      <w:pPr>
        <w:keepNext w:val="0"/>
        <w:keepLines w:val="0"/>
        <w:widowControl/>
        <w:suppressLineNumbers w:val="0"/>
        <w:jc w:val="center"/>
        <w:rPr>
          <w:highlight w:val="none"/>
        </w:rPr>
      </w:pPr>
      <w:r>
        <w:rPr>
          <w:rFonts w:hint="eastAsia" w:ascii="宋体" w:hAnsi="宋体" w:eastAsia="宋体" w:cs="宋体"/>
          <w:b/>
          <w:bCs/>
          <w:color w:val="000000"/>
          <w:kern w:val="0"/>
          <w:sz w:val="30"/>
          <w:szCs w:val="30"/>
          <w:highlight w:val="none"/>
          <w:lang w:val="en-US" w:eastAsia="zh-CN" w:bidi="ar"/>
        </w:rPr>
        <w:t>依法缴纳税收和社会保障资金承诺函</w:t>
      </w:r>
    </w:p>
    <w:p>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pPr>
        <w:keepNext w:val="0"/>
        <w:keepLines w:val="0"/>
        <w:widowControl/>
        <w:suppressLineNumbers w:val="0"/>
        <w:spacing w:line="360" w:lineRule="auto"/>
        <w:jc w:val="left"/>
        <w:rPr>
          <w:highlight w:val="none"/>
        </w:rPr>
      </w:pPr>
      <w:r>
        <w:rPr>
          <w:rFonts w:hint="eastAsia" w:ascii="宋体" w:hAnsi="宋体" w:eastAsia="宋体" w:cs="宋体"/>
          <w:color w:val="000000"/>
          <w:kern w:val="0"/>
          <w:sz w:val="24"/>
          <w:szCs w:val="24"/>
          <w:highlight w:val="none"/>
          <w:lang w:val="en-US" w:eastAsia="zh-CN" w:bidi="ar"/>
        </w:rPr>
        <w:t xml:space="preserve">致  </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w:t>
      </w:r>
      <w:r>
        <w:rPr>
          <w:rFonts w:hint="eastAsia" w:ascii="宋体" w:hAnsi="宋体" w:cs="宋体"/>
          <w:color w:val="000000"/>
          <w:kern w:val="0"/>
          <w:sz w:val="24"/>
          <w:szCs w:val="24"/>
          <w:highlight w:val="none"/>
          <w:lang w:val="en-US" w:eastAsia="zh-CN" w:bidi="ar"/>
        </w:rPr>
        <w:t>招标人</w:t>
      </w:r>
      <w:r>
        <w:rPr>
          <w:rFonts w:hint="eastAsia" w:ascii="宋体" w:hAnsi="宋体" w:eastAsia="宋体" w:cs="宋体"/>
          <w:color w:val="000000"/>
          <w:kern w:val="0"/>
          <w:sz w:val="24"/>
          <w:szCs w:val="24"/>
          <w:highlight w:val="none"/>
          <w:lang w:val="en-US" w:eastAsia="zh-CN" w:bidi="ar"/>
        </w:rPr>
        <w:t xml:space="preserve">或采购代理机构）： </w:t>
      </w:r>
    </w:p>
    <w:p>
      <w:pPr>
        <w:keepNext w:val="0"/>
        <w:keepLines w:val="0"/>
        <w:widowControl/>
        <w:suppressLineNumbers w:val="0"/>
        <w:spacing w:line="360" w:lineRule="auto"/>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我方在参加</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（项目名称）（项目编号：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 ）政 </w:t>
      </w:r>
    </w:p>
    <w:p>
      <w:pPr>
        <w:keepNext w:val="0"/>
        <w:keepLines w:val="0"/>
        <w:widowControl/>
        <w:suppressLineNumbers w:val="0"/>
        <w:spacing w:line="360" w:lineRule="auto"/>
        <w:jc w:val="left"/>
        <w:rPr>
          <w:highlight w:val="none"/>
        </w:rPr>
      </w:pPr>
      <w:r>
        <w:rPr>
          <w:rFonts w:hint="eastAsia" w:ascii="宋体" w:hAnsi="宋体" w:eastAsia="宋体" w:cs="宋体"/>
          <w:color w:val="000000"/>
          <w:kern w:val="0"/>
          <w:sz w:val="24"/>
          <w:szCs w:val="24"/>
          <w:highlight w:val="none"/>
          <w:lang w:val="en-US" w:eastAsia="zh-CN" w:bidi="ar"/>
        </w:rPr>
        <w:t>府采购活动前，已依法缴纳税收和社会保障资金，符合《中华人民共和国政府采购法实施条例》第十七条第一款第二项规定和</w:t>
      </w:r>
      <w:r>
        <w:rPr>
          <w:rFonts w:hint="eastAsia" w:ascii="宋体" w:hAnsi="宋体" w:cs="宋体"/>
          <w:color w:val="000000"/>
          <w:kern w:val="0"/>
          <w:sz w:val="24"/>
          <w:szCs w:val="24"/>
          <w:highlight w:val="none"/>
          <w:lang w:val="en-US" w:eastAsia="zh-CN" w:bidi="ar"/>
        </w:rPr>
        <w:t>招标文件</w:t>
      </w:r>
      <w:r>
        <w:rPr>
          <w:rFonts w:hint="eastAsia" w:ascii="宋体" w:hAnsi="宋体" w:eastAsia="宋体" w:cs="宋体"/>
          <w:color w:val="000000"/>
          <w:kern w:val="0"/>
          <w:sz w:val="24"/>
          <w:szCs w:val="24"/>
          <w:highlight w:val="none"/>
          <w:lang w:val="en-US" w:eastAsia="zh-CN" w:bidi="ar"/>
        </w:rPr>
        <w:t xml:space="preserve">关于缴纳税收和社会保障资金的资格要求。 </w:t>
      </w:r>
    </w:p>
    <w:p>
      <w:pPr>
        <w:keepNext w:val="0"/>
        <w:keepLines w:val="0"/>
        <w:widowControl/>
        <w:suppressLineNumbers w:val="0"/>
        <w:spacing w:line="360" w:lineRule="auto"/>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 xml:space="preserve">特此承诺。 </w:t>
      </w:r>
    </w:p>
    <w:p>
      <w:pPr>
        <w:keepNext w:val="0"/>
        <w:keepLines w:val="0"/>
        <w:widowControl/>
        <w:suppressLineNumbers w:val="0"/>
        <w:spacing w:line="360" w:lineRule="auto"/>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 xml:space="preserve">我方对上述承诺真实性、合法性、有效性负责，如有虚假承诺，依法承担相应责任并接受处罚。 </w:t>
      </w:r>
    </w:p>
    <w:p>
      <w:pPr>
        <w:keepNext w:val="0"/>
        <w:keepLines w:val="0"/>
        <w:widowControl/>
        <w:suppressLineNumbers w:val="0"/>
        <w:spacing w:line="360" w:lineRule="auto"/>
        <w:jc w:val="left"/>
        <w:rPr>
          <w:rFonts w:hint="eastAsia" w:ascii="宋体" w:hAnsi="宋体" w:eastAsia="宋体" w:cs="宋体"/>
          <w:color w:val="000000"/>
          <w:kern w:val="0"/>
          <w:sz w:val="24"/>
          <w:szCs w:val="24"/>
          <w:highlight w:val="none"/>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24"/>
          <w:szCs w:val="24"/>
          <w:highlight w:val="none"/>
          <w:lang w:val="en-US" w:eastAsia="zh-CN" w:bidi="ar"/>
        </w:rPr>
      </w:pPr>
    </w:p>
    <w:p>
      <w:pPr>
        <w:keepNext w:val="0"/>
        <w:keepLines w:val="0"/>
        <w:widowControl/>
        <w:suppressLineNumbers w:val="0"/>
        <w:spacing w:line="360" w:lineRule="auto"/>
        <w:jc w:val="right"/>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投标人</w:t>
      </w:r>
      <w:r>
        <w:rPr>
          <w:rFonts w:hint="eastAsia" w:ascii="宋体" w:hAnsi="宋体" w:eastAsia="宋体" w:cs="宋体"/>
          <w:color w:val="000000"/>
          <w:kern w:val="0"/>
          <w:sz w:val="24"/>
          <w:szCs w:val="24"/>
          <w:highlight w:val="none"/>
          <w:lang w:val="en-US" w:eastAsia="zh-CN" w:bidi="ar"/>
        </w:rPr>
        <w:t>全称：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（盖公司公章） </w:t>
      </w:r>
    </w:p>
    <w:p>
      <w:pPr>
        <w:keepNext w:val="0"/>
        <w:keepLines w:val="0"/>
        <w:widowControl/>
        <w:suppressLineNumbers w:val="0"/>
        <w:spacing w:line="360" w:lineRule="auto"/>
        <w:jc w:val="center"/>
        <w:rPr>
          <w:highlight w:val="none"/>
        </w:rPr>
      </w:pPr>
      <w:r>
        <w:rPr>
          <w:rFonts w:hint="eastAsia" w:ascii="宋体" w:hAnsi="宋体" w:eastAsia="宋体" w:cs="宋体"/>
          <w:color w:val="000000"/>
          <w:kern w:val="0"/>
          <w:sz w:val="24"/>
          <w:szCs w:val="24"/>
          <w:highlight w:val="none"/>
          <w:lang w:val="en-US" w:eastAsia="zh-CN" w:bidi="ar"/>
        </w:rPr>
        <w:t xml:space="preserve">                                   年 月 日 </w:t>
      </w:r>
    </w:p>
    <w:p>
      <w:pPr>
        <w:keepNext w:val="0"/>
        <w:keepLines w:val="0"/>
        <w:widowControl/>
        <w:suppressLineNumbers w:val="0"/>
        <w:spacing w:line="360" w:lineRule="auto"/>
        <w:jc w:val="left"/>
        <w:rPr>
          <w:rFonts w:hint="eastAsia" w:ascii="宋体" w:hAnsi="宋体" w:eastAsia="宋体" w:cs="宋体"/>
          <w:color w:val="000000"/>
          <w:kern w:val="0"/>
          <w:sz w:val="24"/>
          <w:szCs w:val="24"/>
          <w:highlight w:val="none"/>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24"/>
          <w:szCs w:val="24"/>
          <w:highlight w:val="none"/>
          <w:lang w:val="en-US" w:eastAsia="zh-CN" w:bidi="ar"/>
        </w:rPr>
      </w:pPr>
    </w:p>
    <w:p>
      <w:pPr>
        <w:keepNext w:val="0"/>
        <w:keepLines w:val="0"/>
        <w:widowControl/>
        <w:suppressLineNumbers w:val="0"/>
        <w:spacing w:line="360" w:lineRule="auto"/>
        <w:jc w:val="left"/>
        <w:rPr>
          <w:highlight w:val="none"/>
        </w:rPr>
      </w:pPr>
      <w:r>
        <w:rPr>
          <w:rFonts w:hint="eastAsia" w:ascii="宋体" w:hAnsi="宋体" w:eastAsia="宋体" w:cs="宋体"/>
          <w:color w:val="000000"/>
          <w:kern w:val="0"/>
          <w:sz w:val="24"/>
          <w:szCs w:val="24"/>
          <w:highlight w:val="none"/>
          <w:lang w:val="en-US" w:eastAsia="zh-CN" w:bidi="ar"/>
        </w:rPr>
        <w:t xml:space="preserve">注： </w:t>
      </w:r>
    </w:p>
    <w:p>
      <w:pPr>
        <w:keepNext w:val="0"/>
        <w:keepLines w:val="0"/>
        <w:widowControl/>
        <w:suppressLineNumbers w:val="0"/>
        <w:spacing w:line="360" w:lineRule="auto"/>
        <w:jc w:val="left"/>
        <w:rPr>
          <w:highlight w:val="none"/>
        </w:rPr>
      </w:pPr>
      <w:r>
        <w:rPr>
          <w:rFonts w:hint="eastAsia" w:ascii="宋体" w:hAnsi="宋体" w:eastAsia="宋体" w:cs="宋体"/>
          <w:color w:val="000000"/>
          <w:kern w:val="0"/>
          <w:sz w:val="24"/>
          <w:szCs w:val="24"/>
          <w:highlight w:val="none"/>
          <w:lang w:val="en-US" w:eastAsia="zh-CN" w:bidi="ar"/>
        </w:rPr>
        <w:t>1. 依法免税或不需要缴纳社会保障资金的</w:t>
      </w:r>
      <w:r>
        <w:rPr>
          <w:rFonts w:hint="eastAsia" w:ascii="宋体" w:hAnsi="宋体" w:cs="宋体"/>
          <w:color w:val="000000"/>
          <w:kern w:val="0"/>
          <w:sz w:val="24"/>
          <w:szCs w:val="24"/>
          <w:highlight w:val="none"/>
          <w:lang w:val="en-US" w:eastAsia="zh-CN" w:bidi="ar"/>
        </w:rPr>
        <w:t>投标人</w:t>
      </w:r>
      <w:r>
        <w:rPr>
          <w:rFonts w:hint="eastAsia" w:ascii="宋体" w:hAnsi="宋体" w:eastAsia="宋体" w:cs="宋体"/>
          <w:color w:val="000000"/>
          <w:kern w:val="0"/>
          <w:sz w:val="24"/>
          <w:szCs w:val="24"/>
          <w:highlight w:val="none"/>
          <w:lang w:val="en-US" w:eastAsia="zh-CN" w:bidi="ar"/>
        </w:rPr>
        <w:t xml:space="preserve">，应提供相关证明材料。 </w:t>
      </w:r>
    </w:p>
    <w:p>
      <w:pPr>
        <w:keepNext w:val="0"/>
        <w:keepLines w:val="0"/>
        <w:widowControl/>
        <w:suppressLineNumbers w:val="0"/>
        <w:spacing w:line="360" w:lineRule="auto"/>
        <w:jc w:val="left"/>
        <w:rPr>
          <w:highlight w:val="none"/>
        </w:rPr>
      </w:pPr>
      <w:r>
        <w:rPr>
          <w:rFonts w:ascii="Calibri" w:hAnsi="Calibri" w:eastAsia="宋体" w:cs="Calibri"/>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未在山东省内缴纳税收和社会保障资金的</w:t>
      </w:r>
      <w:r>
        <w:rPr>
          <w:rFonts w:hint="eastAsia" w:ascii="宋体" w:hAnsi="宋体" w:cs="宋体"/>
          <w:color w:val="000000"/>
          <w:kern w:val="0"/>
          <w:sz w:val="24"/>
          <w:szCs w:val="24"/>
          <w:highlight w:val="none"/>
          <w:lang w:val="en-US" w:eastAsia="zh-CN" w:bidi="ar"/>
        </w:rPr>
        <w:t>投标人</w:t>
      </w:r>
      <w:r>
        <w:rPr>
          <w:rFonts w:hint="eastAsia" w:ascii="宋体" w:hAnsi="宋体" w:eastAsia="宋体" w:cs="宋体"/>
          <w:color w:val="000000"/>
          <w:kern w:val="0"/>
          <w:sz w:val="24"/>
          <w:szCs w:val="24"/>
          <w:highlight w:val="none"/>
          <w:lang w:val="en-US" w:eastAsia="zh-CN" w:bidi="ar"/>
        </w:rPr>
        <w:t>，需按</w:t>
      </w:r>
      <w:r>
        <w:rPr>
          <w:rFonts w:hint="eastAsia" w:ascii="宋体" w:hAnsi="宋体" w:cs="宋体"/>
          <w:color w:val="000000"/>
          <w:kern w:val="0"/>
          <w:sz w:val="24"/>
          <w:szCs w:val="24"/>
          <w:highlight w:val="none"/>
          <w:lang w:val="en-US" w:eastAsia="zh-CN" w:bidi="ar"/>
        </w:rPr>
        <w:t>招标文件</w:t>
      </w:r>
      <w:r>
        <w:rPr>
          <w:rFonts w:hint="eastAsia" w:ascii="宋体" w:hAnsi="宋体" w:eastAsia="宋体" w:cs="宋体"/>
          <w:color w:val="000000"/>
          <w:kern w:val="0"/>
          <w:sz w:val="24"/>
          <w:szCs w:val="24"/>
          <w:highlight w:val="none"/>
          <w:lang w:val="en-US" w:eastAsia="zh-CN" w:bidi="ar"/>
        </w:rPr>
        <w:t xml:space="preserve">要求提供缴纳税收和 </w:t>
      </w:r>
    </w:p>
    <w:p>
      <w:pPr>
        <w:keepNext w:val="0"/>
        <w:keepLines w:val="0"/>
        <w:widowControl/>
        <w:suppressLineNumbers w:val="0"/>
        <w:spacing w:line="360" w:lineRule="auto"/>
        <w:jc w:val="left"/>
        <w:rPr>
          <w:highlight w:val="none"/>
        </w:rPr>
      </w:pPr>
      <w:r>
        <w:rPr>
          <w:rFonts w:hint="eastAsia" w:ascii="宋体" w:hAnsi="宋体" w:eastAsia="宋体" w:cs="宋体"/>
          <w:color w:val="000000"/>
          <w:kern w:val="0"/>
          <w:sz w:val="24"/>
          <w:szCs w:val="24"/>
          <w:highlight w:val="none"/>
          <w:lang w:val="en-US" w:eastAsia="zh-CN" w:bidi="ar"/>
        </w:rPr>
        <w:t>社会保障资金的证明材料</w:t>
      </w:r>
    </w:p>
    <w:p>
      <w:pPr>
        <w:pStyle w:val="40"/>
        <w:jc w:val="center"/>
        <w:outlineLvl w:val="9"/>
        <w:rPr>
          <w:rFonts w:hint="eastAsia" w:ascii="宋体" w:hAnsi="宋体" w:eastAsia="宋体" w:cs="宋体"/>
          <w:bCs/>
          <w:color w:val="000000" w:themeColor="text1"/>
          <w:sz w:val="28"/>
          <w:szCs w:val="28"/>
          <w:highlight w:val="none"/>
          <w14:textFill>
            <w14:solidFill>
              <w14:schemeClr w14:val="tx1"/>
            </w14:solidFill>
          </w14:textFill>
        </w:rPr>
      </w:pPr>
    </w:p>
    <w:p>
      <w:pP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br w:type="page"/>
      </w:r>
    </w:p>
    <w:p>
      <w:pPr>
        <w:spacing w:line="360" w:lineRule="auto"/>
        <w:jc w:val="cente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t>（六）履约合同的设备技术能力证明表</w:t>
      </w:r>
    </w:p>
    <w:tbl>
      <w:tblPr>
        <w:tblStyle w:val="74"/>
        <w:tblW w:w="96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3"/>
        <w:gridCol w:w="1465"/>
        <w:gridCol w:w="124"/>
        <w:gridCol w:w="1645"/>
        <w:gridCol w:w="1346"/>
        <w:gridCol w:w="1849"/>
        <w:gridCol w:w="13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trPr>
        <w:tc>
          <w:tcPr>
            <w:tcW w:w="1913" w:type="dxa"/>
            <w:noWrap w:val="0"/>
            <w:vAlign w:val="center"/>
          </w:tcPr>
          <w:p>
            <w:pPr>
              <w:autoSpaceDE w:val="0"/>
              <w:autoSpaceDN w:val="0"/>
              <w:spacing w:before="50" w:after="120"/>
              <w:jc w:val="center"/>
              <w:rPr>
                <w:rFonts w:hint="eastAsia" w:ascii="宋体" w:hAnsi="宋体" w:eastAsia="宋体" w:cs="宋体"/>
                <w:b/>
                <w:bCs/>
                <w:color w:val="000000" w:themeColor="text1"/>
                <w:sz w:val="24"/>
                <w:highlight w:val="none"/>
                <w:lang w:val="zh-CN"/>
                <w14:textFill>
                  <w14:solidFill>
                    <w14:schemeClr w14:val="tx1"/>
                  </w14:solidFill>
                </w14:textFill>
              </w:rPr>
            </w:pPr>
            <w:r>
              <w:rPr>
                <w:rFonts w:hint="eastAsia" w:ascii="宋体" w:hAnsi="宋体" w:eastAsia="宋体" w:cs="宋体"/>
                <w:b/>
                <w:bCs/>
                <w:color w:val="000000" w:themeColor="text1"/>
                <w:sz w:val="24"/>
                <w:highlight w:val="none"/>
                <w:lang w:val="zh-CN"/>
                <w14:textFill>
                  <w14:solidFill>
                    <w14:schemeClr w14:val="tx1"/>
                  </w14:solidFill>
                </w14:textFill>
              </w:rPr>
              <w:t>单位名称</w:t>
            </w:r>
          </w:p>
          <w:p>
            <w:pPr>
              <w:autoSpaceDE w:val="0"/>
              <w:autoSpaceDN w:val="0"/>
              <w:spacing w:before="50" w:after="120"/>
              <w:jc w:val="center"/>
              <w:rPr>
                <w:rFonts w:hint="eastAsia" w:ascii="宋体" w:hAnsi="宋体" w:eastAsia="宋体" w:cs="宋体"/>
                <w:b/>
                <w:bCs/>
                <w:color w:val="000000" w:themeColor="text1"/>
                <w:sz w:val="24"/>
                <w:highlight w:val="none"/>
                <w:lang w:val="zh-CN"/>
                <w14:textFill>
                  <w14:solidFill>
                    <w14:schemeClr w14:val="tx1"/>
                  </w14:solidFill>
                </w14:textFill>
              </w:rPr>
            </w:pPr>
            <w:r>
              <w:rPr>
                <w:rFonts w:hint="eastAsia" w:ascii="宋体" w:hAnsi="宋体" w:eastAsia="宋体" w:cs="宋体"/>
                <w:b/>
                <w:bCs/>
                <w:color w:val="000000" w:themeColor="text1"/>
                <w:sz w:val="24"/>
                <w:highlight w:val="none"/>
                <w:lang w:val="zh-CN"/>
                <w14:textFill>
                  <w14:solidFill>
                    <w14:schemeClr w14:val="tx1"/>
                  </w14:solidFill>
                </w14:textFill>
              </w:rPr>
              <w:t>（盖公章）</w:t>
            </w:r>
          </w:p>
        </w:tc>
        <w:tc>
          <w:tcPr>
            <w:tcW w:w="7762" w:type="dxa"/>
            <w:gridSpan w:val="6"/>
            <w:noWrap w:val="0"/>
            <w:vAlign w:val="center"/>
          </w:tcPr>
          <w:p>
            <w:pPr>
              <w:autoSpaceDE w:val="0"/>
              <w:autoSpaceDN w:val="0"/>
              <w:spacing w:before="50" w:after="120"/>
              <w:jc w:val="left"/>
              <w:rPr>
                <w:rFonts w:hint="eastAsia" w:ascii="宋体" w:hAnsi="宋体" w:eastAsia="宋体" w:cs="宋体"/>
                <w:b/>
                <w:bCs/>
                <w:color w:val="000000" w:themeColor="text1"/>
                <w:sz w:val="24"/>
                <w:highlight w:val="none"/>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913" w:type="dxa"/>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技术人员数量</w:t>
            </w:r>
          </w:p>
        </w:tc>
        <w:tc>
          <w:tcPr>
            <w:tcW w:w="1465" w:type="dxa"/>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769" w:type="dxa"/>
            <w:gridSpan w:val="2"/>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管理人员数量</w:t>
            </w:r>
          </w:p>
        </w:tc>
        <w:tc>
          <w:tcPr>
            <w:tcW w:w="1346" w:type="dxa"/>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849" w:type="dxa"/>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生产人员数量</w:t>
            </w:r>
          </w:p>
        </w:tc>
        <w:tc>
          <w:tcPr>
            <w:tcW w:w="1333" w:type="dxa"/>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9675" w:type="dxa"/>
            <w:gridSpan w:val="7"/>
            <w:noWrap w:val="0"/>
            <w:vAlign w:val="top"/>
          </w:tcPr>
          <w:p>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生产设备情况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913" w:type="dxa"/>
            <w:noWrap w:val="0"/>
            <w:vAlign w:val="top"/>
          </w:tcPr>
          <w:p>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序号</w:t>
            </w:r>
          </w:p>
        </w:tc>
        <w:tc>
          <w:tcPr>
            <w:tcW w:w="1589" w:type="dxa"/>
            <w:gridSpan w:val="2"/>
            <w:noWrap w:val="0"/>
            <w:vAlign w:val="top"/>
          </w:tcPr>
          <w:p>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设备名称</w:t>
            </w:r>
          </w:p>
        </w:tc>
        <w:tc>
          <w:tcPr>
            <w:tcW w:w="4840" w:type="dxa"/>
            <w:gridSpan w:val="3"/>
            <w:noWrap w:val="0"/>
            <w:vAlign w:val="top"/>
          </w:tcPr>
          <w:p>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设备规格</w:t>
            </w:r>
          </w:p>
        </w:tc>
        <w:tc>
          <w:tcPr>
            <w:tcW w:w="1333" w:type="dxa"/>
            <w:noWrap w:val="0"/>
            <w:vAlign w:val="top"/>
          </w:tcPr>
          <w:p>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设备数量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913" w:type="dxa"/>
            <w:noWrap w:val="0"/>
            <w:vAlign w:val="top"/>
          </w:tcPr>
          <w:p>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p>
        </w:tc>
        <w:tc>
          <w:tcPr>
            <w:tcW w:w="1589" w:type="dxa"/>
            <w:gridSpan w:val="2"/>
            <w:noWrap w:val="0"/>
            <w:vAlign w:val="top"/>
          </w:tcPr>
          <w:p>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p>
        </w:tc>
        <w:tc>
          <w:tcPr>
            <w:tcW w:w="4840" w:type="dxa"/>
            <w:gridSpan w:val="3"/>
            <w:noWrap w:val="0"/>
            <w:vAlign w:val="top"/>
          </w:tcPr>
          <w:p>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p>
        </w:tc>
        <w:tc>
          <w:tcPr>
            <w:tcW w:w="1333" w:type="dxa"/>
            <w:noWrap w:val="0"/>
            <w:vAlign w:val="top"/>
          </w:tcPr>
          <w:p>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913" w:type="dxa"/>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589" w:type="dxa"/>
            <w:gridSpan w:val="2"/>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4840" w:type="dxa"/>
            <w:gridSpan w:val="3"/>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333" w:type="dxa"/>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9675" w:type="dxa"/>
            <w:gridSpan w:val="7"/>
            <w:noWrap w:val="0"/>
            <w:vAlign w:val="top"/>
          </w:tcPr>
          <w:p>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检验设备情况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913" w:type="dxa"/>
            <w:noWrap w:val="0"/>
            <w:vAlign w:val="top"/>
          </w:tcPr>
          <w:p>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序号</w:t>
            </w:r>
          </w:p>
        </w:tc>
        <w:tc>
          <w:tcPr>
            <w:tcW w:w="1589" w:type="dxa"/>
            <w:gridSpan w:val="2"/>
            <w:noWrap w:val="0"/>
            <w:vAlign w:val="top"/>
          </w:tcPr>
          <w:p>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设备名称</w:t>
            </w:r>
          </w:p>
        </w:tc>
        <w:tc>
          <w:tcPr>
            <w:tcW w:w="4840" w:type="dxa"/>
            <w:gridSpan w:val="3"/>
            <w:noWrap w:val="0"/>
            <w:vAlign w:val="top"/>
          </w:tcPr>
          <w:p>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设备规格</w:t>
            </w:r>
          </w:p>
        </w:tc>
        <w:tc>
          <w:tcPr>
            <w:tcW w:w="1333" w:type="dxa"/>
            <w:noWrap w:val="0"/>
            <w:vAlign w:val="top"/>
          </w:tcPr>
          <w:p>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设备数量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913" w:type="dxa"/>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589" w:type="dxa"/>
            <w:gridSpan w:val="2"/>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4840" w:type="dxa"/>
            <w:gridSpan w:val="3"/>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333" w:type="dxa"/>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913" w:type="dxa"/>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589" w:type="dxa"/>
            <w:gridSpan w:val="2"/>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4840" w:type="dxa"/>
            <w:gridSpan w:val="3"/>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333" w:type="dxa"/>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1913" w:type="dxa"/>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589" w:type="dxa"/>
            <w:gridSpan w:val="2"/>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4840" w:type="dxa"/>
            <w:gridSpan w:val="3"/>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333" w:type="dxa"/>
            <w:noWrap w:val="0"/>
            <w:vAlign w:val="top"/>
          </w:tcPr>
          <w:p>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r>
    </w:tbl>
    <w:p>
      <w:pPr>
        <w:autoSpaceDE w:val="0"/>
        <w:autoSpaceDN w:val="0"/>
        <w:spacing w:before="50" w:after="12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b/>
          <w:bCs/>
          <w:color w:val="000000" w:themeColor="text1"/>
          <w:sz w:val="24"/>
          <w:highlight w:val="none"/>
          <w:lang w:val="zh-CN"/>
          <w14:textFill>
            <w14:solidFill>
              <w14:schemeClr w14:val="tx1"/>
            </w14:solidFill>
          </w14:textFill>
        </w:rPr>
        <w:t>1、本表由投标人填写，不填写本表投标无效</w:t>
      </w:r>
      <w:r>
        <w:rPr>
          <w:rFonts w:hint="eastAsia" w:ascii="宋体" w:hAnsi="宋体" w:eastAsia="宋体" w:cs="宋体"/>
          <w:color w:val="000000" w:themeColor="text1"/>
          <w:sz w:val="24"/>
          <w:highlight w:val="none"/>
          <w:lang w:val="zh-CN"/>
          <w14:textFill>
            <w14:solidFill>
              <w14:schemeClr w14:val="tx1"/>
            </w14:solidFill>
          </w14:textFill>
        </w:rPr>
        <w:t>；</w:t>
      </w:r>
    </w:p>
    <w:p>
      <w:pPr>
        <w:autoSpaceDE w:val="0"/>
        <w:autoSpaceDN w:val="0"/>
        <w:spacing w:before="50" w:after="12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2、本表为投标人具有履行合同所必需的设备和专业技术能力说明，需后附证明材料，不提供为不实质响应</w:t>
      </w:r>
      <w:r>
        <w:rPr>
          <w:rFonts w:hint="eastAsia" w:ascii="宋体" w:hAnsi="宋体" w:cs="宋体"/>
          <w:color w:val="000000" w:themeColor="text1"/>
          <w:sz w:val="24"/>
          <w:highlight w:val="none"/>
          <w:lang w:val="en-US" w:eastAsia="zh-CN"/>
          <w14:textFill>
            <w14:solidFill>
              <w14:schemeClr w14:val="tx1"/>
            </w14:solidFill>
          </w14:textFill>
        </w:rPr>
        <w:t>招标</w:t>
      </w:r>
      <w:r>
        <w:rPr>
          <w:rFonts w:hint="eastAsia" w:ascii="宋体" w:hAnsi="宋体" w:eastAsia="宋体" w:cs="宋体"/>
          <w:color w:val="000000" w:themeColor="text1"/>
          <w:sz w:val="24"/>
          <w:highlight w:val="none"/>
          <w:lang w:val="zh-CN"/>
          <w14:textFill>
            <w14:solidFill>
              <w14:schemeClr w14:val="tx1"/>
            </w14:solidFill>
          </w14:textFill>
        </w:rPr>
        <w:t>文件要求，对代理商根据实际情况填写（无需设备的可只填写人员情况）。</w:t>
      </w:r>
    </w:p>
    <w:p>
      <w:pPr>
        <w:autoSpaceDE w:val="0"/>
        <w:autoSpaceDN w:val="0"/>
        <w:adjustRightInd w:val="0"/>
        <w:spacing w:line="360" w:lineRule="auto"/>
        <w:rPr>
          <w:rFonts w:hint="eastAsia" w:ascii="宋体" w:hAnsi="宋体" w:eastAsia="宋体" w:cs="宋体"/>
          <w:color w:val="000000" w:themeColor="text1"/>
          <w:kern w:val="0"/>
          <w:szCs w:val="21"/>
          <w:highlight w:val="none"/>
          <w:lang w:val="zh-CN"/>
          <w14:textFill>
            <w14:solidFill>
              <w14:schemeClr w14:val="tx1"/>
            </w14:solidFill>
          </w14:textFill>
        </w:rPr>
      </w:pPr>
    </w:p>
    <w:p>
      <w:pPr>
        <w:rPr>
          <w:rFonts w:hint="eastAsia" w:ascii="宋体" w:hAnsi="宋体" w:eastAsia="宋体" w:cs="宋体"/>
          <w:b/>
          <w:color w:val="000000" w:themeColor="text1"/>
          <w:sz w:val="24"/>
          <w:highlight w:val="none"/>
          <w14:textFill>
            <w14:solidFill>
              <w14:schemeClr w14:val="tx1"/>
            </w14:solidFill>
          </w14:textFill>
        </w:rPr>
      </w:pPr>
    </w:p>
    <w:p>
      <w:pPr>
        <w:spacing w:line="540" w:lineRule="exact"/>
        <w:ind w:firstLine="3373" w:firstLineChars="1050"/>
        <w:rPr>
          <w:rFonts w:hint="eastAsia" w:ascii="宋体" w:hAnsi="宋体" w:eastAsia="宋体" w:cs="宋体"/>
          <w:b/>
          <w:color w:val="000000" w:themeColor="text1"/>
          <w:sz w:val="32"/>
          <w:highlight w:val="none"/>
          <w14:textFill>
            <w14:solidFill>
              <w14:schemeClr w14:val="tx1"/>
            </w14:solidFill>
          </w14:textFill>
        </w:rPr>
      </w:pPr>
    </w:p>
    <w:p>
      <w:pPr>
        <w:spacing w:line="540" w:lineRule="exact"/>
        <w:ind w:firstLine="3373" w:firstLineChars="1050"/>
        <w:rPr>
          <w:rFonts w:hint="eastAsia" w:ascii="宋体" w:hAnsi="宋体" w:eastAsia="宋体" w:cs="宋体"/>
          <w:b/>
          <w:color w:val="000000" w:themeColor="text1"/>
          <w:sz w:val="32"/>
          <w:highlight w:val="none"/>
          <w14:textFill>
            <w14:solidFill>
              <w14:schemeClr w14:val="tx1"/>
            </w14:solidFill>
          </w14:textFill>
        </w:rPr>
      </w:pPr>
    </w:p>
    <w:p>
      <w:pPr>
        <w:spacing w:line="540" w:lineRule="exact"/>
        <w:ind w:firstLine="3373" w:firstLineChars="1050"/>
        <w:rPr>
          <w:rFonts w:hint="eastAsia" w:ascii="宋体" w:hAnsi="宋体" w:eastAsia="宋体" w:cs="宋体"/>
          <w:b/>
          <w:color w:val="000000" w:themeColor="text1"/>
          <w:sz w:val="32"/>
          <w:highlight w:val="none"/>
          <w14:textFill>
            <w14:solidFill>
              <w14:schemeClr w14:val="tx1"/>
            </w14:solidFill>
          </w14:textFill>
        </w:rPr>
      </w:pPr>
    </w:p>
    <w:p>
      <w:pPr>
        <w:spacing w:line="540" w:lineRule="exact"/>
        <w:ind w:firstLine="3373" w:firstLineChars="1050"/>
        <w:rPr>
          <w:rFonts w:hint="eastAsia" w:ascii="宋体" w:hAnsi="宋体" w:eastAsia="宋体" w:cs="宋体"/>
          <w:b/>
          <w:color w:val="000000" w:themeColor="text1"/>
          <w:sz w:val="32"/>
          <w:highlight w:val="none"/>
          <w14:textFill>
            <w14:solidFill>
              <w14:schemeClr w14:val="tx1"/>
            </w14:solidFill>
          </w14:textFill>
        </w:rPr>
      </w:pPr>
    </w:p>
    <w:p>
      <w:pPr>
        <w:spacing w:line="540" w:lineRule="exact"/>
        <w:ind w:firstLine="3373" w:firstLineChars="1050"/>
        <w:rPr>
          <w:rFonts w:hint="eastAsia" w:ascii="宋体" w:hAnsi="宋体" w:eastAsia="宋体" w:cs="宋体"/>
          <w:b/>
          <w:color w:val="000000" w:themeColor="text1"/>
          <w:sz w:val="32"/>
          <w:highlight w:val="none"/>
          <w14:textFill>
            <w14:solidFill>
              <w14:schemeClr w14:val="tx1"/>
            </w14:solidFill>
          </w14:textFill>
        </w:rPr>
      </w:pPr>
    </w:p>
    <w:p>
      <w:pPr>
        <w:spacing w:line="540" w:lineRule="exact"/>
        <w:ind w:firstLine="3373" w:firstLineChars="1050"/>
        <w:rPr>
          <w:rFonts w:hint="eastAsia" w:ascii="宋体" w:hAnsi="宋体" w:eastAsia="宋体" w:cs="宋体"/>
          <w:b/>
          <w:color w:val="000000" w:themeColor="text1"/>
          <w:sz w:val="32"/>
          <w:highlight w:val="none"/>
          <w14:textFill>
            <w14:solidFill>
              <w14:schemeClr w14:val="tx1"/>
            </w14:solidFill>
          </w14:textFill>
        </w:rPr>
      </w:pPr>
    </w:p>
    <w:p>
      <w:pPr>
        <w:spacing w:line="540" w:lineRule="exact"/>
        <w:ind w:firstLine="3373" w:firstLineChars="1050"/>
        <w:rPr>
          <w:rFonts w:hint="eastAsia" w:ascii="宋体" w:hAnsi="宋体" w:eastAsia="宋体" w:cs="宋体"/>
          <w:b/>
          <w:color w:val="000000" w:themeColor="text1"/>
          <w:sz w:val="32"/>
          <w:highlight w:val="none"/>
          <w14:textFill>
            <w14:solidFill>
              <w14:schemeClr w14:val="tx1"/>
            </w14:solidFill>
          </w14:textFill>
        </w:rPr>
      </w:pPr>
    </w:p>
    <w:p>
      <w:pPr>
        <w:spacing w:line="540" w:lineRule="exact"/>
        <w:ind w:firstLine="3373" w:firstLineChars="1050"/>
        <w:rPr>
          <w:rFonts w:hint="eastAsia" w:ascii="宋体" w:hAnsi="宋体" w:eastAsia="宋体" w:cs="宋体"/>
          <w:b/>
          <w:color w:val="000000" w:themeColor="text1"/>
          <w:sz w:val="32"/>
          <w:highlight w:val="none"/>
          <w14:textFill>
            <w14:solidFill>
              <w14:schemeClr w14:val="tx1"/>
            </w14:solidFill>
          </w14:textFill>
        </w:rPr>
      </w:pPr>
    </w:p>
    <w:p>
      <w:pPr>
        <w:spacing w:line="540" w:lineRule="exact"/>
        <w:ind w:firstLine="3373" w:firstLineChars="1050"/>
        <w:rPr>
          <w:rFonts w:hint="eastAsia" w:ascii="宋体" w:hAnsi="宋体" w:eastAsia="宋体" w:cs="宋体"/>
          <w:b/>
          <w:color w:val="000000" w:themeColor="text1"/>
          <w:sz w:val="32"/>
          <w:highlight w:val="none"/>
          <w14:textFill>
            <w14:solidFill>
              <w14:schemeClr w14:val="tx1"/>
            </w14:solidFill>
          </w14:textFill>
        </w:rPr>
      </w:pPr>
    </w:p>
    <w:p>
      <w:pPr>
        <w:rPr>
          <w:rFonts w:hint="eastAsia" w:ascii="宋体" w:hAnsi="宋体" w:eastAsia="宋体" w:cs="宋体"/>
          <w:b/>
          <w:color w:val="000000" w:themeColor="text1"/>
          <w:sz w:val="28"/>
          <w:szCs w:val="28"/>
          <w:highlight w:val="none"/>
          <w:lang w:val="zh-CN"/>
          <w14:textFill>
            <w14:solidFill>
              <w14:schemeClr w14:val="tx1"/>
            </w14:solidFill>
          </w14:textFill>
        </w:rPr>
      </w:pPr>
      <w:r>
        <w:rPr>
          <w:rFonts w:hint="eastAsia" w:ascii="宋体" w:hAnsi="宋体" w:eastAsia="宋体" w:cs="宋体"/>
          <w:b/>
          <w:color w:val="000000" w:themeColor="text1"/>
          <w:sz w:val="28"/>
          <w:szCs w:val="28"/>
          <w:highlight w:val="none"/>
          <w:lang w:val="zh-CN"/>
          <w14:textFill>
            <w14:solidFill>
              <w14:schemeClr w14:val="tx1"/>
            </w14:solidFill>
          </w14:textFill>
        </w:rPr>
        <w:br w:type="page"/>
      </w:r>
    </w:p>
    <w:p>
      <w:pPr>
        <w:spacing w:line="360" w:lineRule="auto"/>
        <w:jc w:val="cente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t>（七）无重大违法记录声明</w:t>
      </w:r>
    </w:p>
    <w:p>
      <w:pPr>
        <w:spacing w:line="540" w:lineRule="exact"/>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致</w:t>
      </w:r>
      <w:r>
        <w:rPr>
          <w:rFonts w:hint="eastAsia" w:ascii="宋体" w:hAnsi="宋体" w:cs="宋体"/>
          <w:color w:val="000000" w:themeColor="text1"/>
          <w:kern w:val="0"/>
          <w:sz w:val="24"/>
          <w:szCs w:val="24"/>
          <w:highlight w:val="none"/>
          <w:lang w:val="zh-CN"/>
          <w14:textFill>
            <w14:solidFill>
              <w14:schemeClr w14:val="tx1"/>
            </w14:solidFill>
          </w14:textFill>
        </w:rPr>
        <w:t>山东昌润项目管理有限公司</w:t>
      </w:r>
      <w:r>
        <w:rPr>
          <w:rFonts w:hint="eastAsia" w:ascii="宋体" w:hAnsi="宋体" w:eastAsia="宋体" w:cs="宋体"/>
          <w:color w:val="000000" w:themeColor="text1"/>
          <w:kern w:val="0"/>
          <w:sz w:val="24"/>
          <w:szCs w:val="24"/>
          <w:highlight w:val="none"/>
          <w:lang w:val="zh-CN"/>
          <w14:textFill>
            <w14:solidFill>
              <w14:schemeClr w14:val="tx1"/>
            </w14:solidFill>
          </w14:textFill>
        </w:rPr>
        <w:t>：</w:t>
      </w:r>
    </w:p>
    <w:p>
      <w:pPr>
        <w:spacing w:line="540" w:lineRule="exact"/>
        <w:ind w:firstLine="360" w:firstLineChars="15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我方在参加政府采购活动前3年内，在经营活动中没有重大违法记录。</w:t>
      </w:r>
    </w:p>
    <w:p>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特此声明。</w:t>
      </w:r>
    </w:p>
    <w:p>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如果以上声明不真实，我方全部承担虚假响应（投标）的责任，并接受依法施行的处罚。</w:t>
      </w:r>
    </w:p>
    <w:p>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p>
    <w:p>
      <w:pPr>
        <w:spacing w:line="540" w:lineRule="exact"/>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投标人全称：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（盖单位公章）</w:t>
      </w:r>
    </w:p>
    <w:p>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年  月  日</w:t>
      </w:r>
    </w:p>
    <w:p>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p>
    <w:p>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注：重大违法记录，是指投标人因违法经营受到刑事处罚或者责令停产停业、吊销许可证或者执照、较大数额罚款等行政处罚。</w:t>
      </w:r>
    </w:p>
    <w:p>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投标人在参加政府采购活动前3年内因违法经营被禁止在一定期限内参加政府采购活动，期限届满的，可以参加政府采购活动。</w:t>
      </w:r>
    </w:p>
    <w:p>
      <w:pPr>
        <w:autoSpaceDE w:val="0"/>
        <w:autoSpaceDN w:val="0"/>
        <w:adjustRightInd w:val="0"/>
        <w:spacing w:line="360" w:lineRule="auto"/>
        <w:ind w:firstLine="283" w:firstLineChars="118"/>
        <w:rPr>
          <w:rFonts w:hint="eastAsia" w:ascii="宋体" w:hAnsi="宋体" w:eastAsia="宋体" w:cs="宋体"/>
          <w:color w:val="000000" w:themeColor="text1"/>
          <w:kern w:val="0"/>
          <w:sz w:val="24"/>
          <w:szCs w:val="24"/>
          <w:highlight w:val="none"/>
          <w14:textFill>
            <w14:solidFill>
              <w14:schemeClr w14:val="tx1"/>
            </w14:solidFill>
          </w14:textFill>
        </w:rPr>
      </w:pPr>
    </w:p>
    <w:p>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pPr>
        <w:spacing w:line="360" w:lineRule="auto"/>
        <w:jc w:val="center"/>
        <w:rPr>
          <w:rFonts w:hint="eastAsia" w:ascii="宋体" w:hAnsi="宋体" w:eastAsia="宋体" w:cs="宋体"/>
          <w:b/>
          <w:color w:val="000000" w:themeColor="text1"/>
          <w:sz w:val="28"/>
          <w:szCs w:val="28"/>
          <w:highlight w:val="none"/>
          <w:lang w:val="zh-CN"/>
          <w14:textFill>
            <w14:solidFill>
              <w14:schemeClr w14:val="tx1"/>
            </w14:solidFill>
          </w14:textFill>
        </w:rPr>
      </w:pPr>
    </w:p>
    <w:p>
      <w:pPr>
        <w:spacing w:line="360" w:lineRule="auto"/>
        <w:jc w:val="center"/>
        <w:rPr>
          <w:rFonts w:hint="eastAsia" w:ascii="宋体" w:hAnsi="宋体" w:eastAsia="宋体" w:cs="宋体"/>
          <w:b/>
          <w:color w:val="000000" w:themeColor="text1"/>
          <w:sz w:val="28"/>
          <w:szCs w:val="28"/>
          <w:highlight w:val="none"/>
          <w:lang w:val="zh-CN"/>
          <w14:textFill>
            <w14:solidFill>
              <w14:schemeClr w14:val="tx1"/>
            </w14:solidFill>
          </w14:textFill>
        </w:rPr>
      </w:pPr>
    </w:p>
    <w:p>
      <w:pP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br w:type="page"/>
      </w:r>
    </w:p>
    <w:p>
      <w:pPr>
        <w:spacing w:line="360" w:lineRule="auto"/>
        <w:jc w:val="cente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t>（八）信用记录承诺</w:t>
      </w:r>
    </w:p>
    <w:p>
      <w:pPr>
        <w:shd w:val="clear" w:color="auto" w:fill="FFFFFF"/>
        <w:autoSpaceDE w:val="0"/>
        <w:spacing w:line="360" w:lineRule="auto"/>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致</w:t>
      </w:r>
      <w:r>
        <w:rPr>
          <w:rFonts w:hint="eastAsia" w:ascii="宋体" w:hAnsi="宋体" w:cs="宋体"/>
          <w:color w:val="000000" w:themeColor="text1"/>
          <w:kern w:val="0"/>
          <w:sz w:val="24"/>
          <w:szCs w:val="24"/>
          <w:highlight w:val="none"/>
          <w:lang w:val="zh-CN"/>
          <w14:textFill>
            <w14:solidFill>
              <w14:schemeClr w14:val="tx1"/>
            </w14:solidFill>
          </w14:textFill>
        </w:rPr>
        <w:t>山东昌润项目管理有限公司</w:t>
      </w:r>
      <w:r>
        <w:rPr>
          <w:rFonts w:hint="eastAsia" w:ascii="宋体" w:hAnsi="宋体" w:eastAsia="宋体" w:cs="宋体"/>
          <w:color w:val="000000" w:themeColor="text1"/>
          <w:kern w:val="0"/>
          <w:sz w:val="24"/>
          <w:szCs w:val="24"/>
          <w:highlight w:val="none"/>
          <w:lang w:val="zh-CN"/>
          <w14:textFill>
            <w14:solidFill>
              <w14:schemeClr w14:val="tx1"/>
            </w14:solidFill>
          </w14:textFill>
        </w:rPr>
        <w:t>：</w:t>
      </w:r>
    </w:p>
    <w:p>
      <w:pPr>
        <w:spacing w:line="360" w:lineRule="auto"/>
        <w:ind w:left="0" w:leftChars="0" w:firstLine="480" w:firstLineChars="200"/>
        <w:jc w:val="left"/>
        <w:textAlignment w:val="baseline"/>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我方郑重承诺，在参与</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项目（编号：</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）采购期间，未被列入“信用中国”网站（www.creditchina.gov.cn）失信被执行人、重大税收违法案件当事人名单及中国政府采购网（www.ccgp.gov.cn）“政府采购严重违法失信行为信息记录”。</w:t>
      </w:r>
    </w:p>
    <w:p>
      <w:pPr>
        <w:spacing w:line="360" w:lineRule="auto"/>
        <w:ind w:firstLine="480" w:firstLineChars="200"/>
        <w:jc w:val="left"/>
        <w:textAlignment w:val="baseline"/>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（后附我方在上述网站查询结果截图）</w:t>
      </w:r>
    </w:p>
    <w:p>
      <w:pPr>
        <w:spacing w:line="360" w:lineRule="auto"/>
        <w:ind w:firstLine="6240" w:firstLineChars="2600"/>
        <w:jc w:val="left"/>
        <w:textAlignment w:val="baseline"/>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投标人</w:t>
      </w:r>
      <w:r>
        <w:rPr>
          <w:rFonts w:hint="eastAsia" w:ascii="宋体" w:hAnsi="宋体" w:eastAsia="宋体" w:cs="宋体"/>
          <w:color w:val="000000" w:themeColor="text1"/>
          <w:kern w:val="0"/>
          <w:sz w:val="24"/>
          <w:szCs w:val="24"/>
          <w:highlight w:val="none"/>
          <w14:textFill>
            <w14:solidFill>
              <w14:schemeClr w14:val="tx1"/>
            </w14:solidFill>
          </w14:textFill>
        </w:rPr>
        <w:t xml:space="preserve">全称：（盖单位公章） </w:t>
      </w:r>
    </w:p>
    <w:p>
      <w:pPr>
        <w:spacing w:line="360" w:lineRule="auto"/>
        <w:ind w:firstLine="6960" w:firstLineChars="2900"/>
        <w:jc w:val="left"/>
        <w:textAlignment w:val="baseline"/>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年</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 月</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 日</w:t>
      </w:r>
    </w:p>
    <w:tbl>
      <w:tblPr>
        <w:tblStyle w:val="74"/>
        <w:tblW w:w="9421" w:type="dxa"/>
        <w:jc w:val="center"/>
        <w:tblLayout w:type="fixed"/>
        <w:tblCellMar>
          <w:top w:w="0" w:type="dxa"/>
          <w:left w:w="0" w:type="dxa"/>
          <w:bottom w:w="0" w:type="dxa"/>
          <w:right w:w="0" w:type="dxa"/>
        </w:tblCellMar>
      </w:tblPr>
      <w:tblGrid>
        <w:gridCol w:w="9421"/>
      </w:tblGrid>
      <w:tr>
        <w:tblPrEx>
          <w:tblCellMar>
            <w:top w:w="0" w:type="dxa"/>
            <w:left w:w="0" w:type="dxa"/>
            <w:bottom w:w="0" w:type="dxa"/>
            <w:right w:w="0" w:type="dxa"/>
          </w:tblCellMar>
        </w:tblPrEx>
        <w:trPr>
          <w:trHeight w:val="1468" w:hRule="atLeast"/>
          <w:jc w:val="center"/>
        </w:trPr>
        <w:tc>
          <w:tcPr>
            <w:tcW w:w="942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40" w:lineRule="auto"/>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“信用中国”网站（www.creditchina.gov.cn）截图（共</w:t>
            </w:r>
            <w:r>
              <w:rPr>
                <w:rFonts w:hint="eastAsia" w:ascii="宋体" w:hAnsi="宋体" w:cs="宋体"/>
                <w:b/>
                <w:bCs/>
                <w:color w:val="000000" w:themeColor="text1"/>
                <w:highlight w:val="none"/>
                <w:lang w:val="en-US" w:eastAsia="zh-CN"/>
                <w14:textFill>
                  <w14:solidFill>
                    <w14:schemeClr w14:val="tx1"/>
                  </w14:solidFill>
                </w14:textFill>
              </w:rPr>
              <w:t>2</w:t>
            </w:r>
            <w:r>
              <w:rPr>
                <w:rFonts w:hint="eastAsia" w:ascii="宋体" w:hAnsi="宋体" w:eastAsia="宋体" w:cs="宋体"/>
                <w:b/>
                <w:bCs/>
                <w:color w:val="000000" w:themeColor="text1"/>
                <w:highlight w:val="none"/>
                <w14:textFill>
                  <w14:solidFill>
                    <w14:schemeClr w14:val="tx1"/>
                  </w14:solidFill>
                </w14:textFill>
              </w:rPr>
              <w:t>个）</w:t>
            </w:r>
          </w:p>
          <w:p>
            <w:pP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具体步骤如下：</w:t>
            </w:r>
          </w:p>
          <w:p>
            <w:pPr>
              <w:numPr>
                <w:ilvl w:val="0"/>
                <w:numId w:val="0"/>
              </w:numPr>
              <w:spacing w:line="24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在</w:t>
            </w:r>
            <w:r>
              <w:rPr>
                <w:rFonts w:hint="eastAsia" w:ascii="宋体" w:hAnsi="宋体" w:eastAsia="宋体" w:cs="宋体"/>
                <w:color w:val="000000" w:themeColor="text1"/>
                <w:highlight w:val="none"/>
                <w14:textFill>
                  <w14:solidFill>
                    <w14:schemeClr w14:val="tx1"/>
                  </w14:solidFill>
                </w14:textFill>
              </w:rPr>
              <w:t>“信用中国”网站（www.creditchina.gov.cn）首页信用信息搜索栏输入</w:t>
            </w:r>
            <w:r>
              <w:rPr>
                <w:rFonts w:hint="eastAsia" w:ascii="宋体" w:hAnsi="宋体" w:eastAsia="宋体" w:cs="宋体"/>
                <w:color w:val="000000" w:themeColor="text1"/>
                <w:highlight w:val="none"/>
                <w:lang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名称</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分别点击“失信被执行人”、“ 重大税收违法案件当事人名单”，将</w:t>
            </w: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个页面</w:t>
            </w:r>
            <w:r>
              <w:rPr>
                <w:rFonts w:hint="eastAsia" w:ascii="宋体" w:hAnsi="宋体" w:eastAsia="宋体" w:cs="宋体"/>
                <w:color w:val="000000" w:themeColor="text1"/>
                <w:highlight w:val="none"/>
                <w:lang w:eastAsia="zh-CN"/>
                <w14:textFill>
                  <w14:solidFill>
                    <w14:schemeClr w14:val="tx1"/>
                  </w14:solidFill>
                </w14:textFill>
              </w:rPr>
              <w:t>分别</w:t>
            </w:r>
            <w:r>
              <w:rPr>
                <w:rFonts w:hint="eastAsia" w:ascii="宋体" w:hAnsi="宋体" w:eastAsia="宋体" w:cs="宋体"/>
                <w:color w:val="000000" w:themeColor="text1"/>
                <w:highlight w:val="none"/>
                <w14:textFill>
                  <w14:solidFill>
                    <w14:schemeClr w14:val="tx1"/>
                  </w14:solidFill>
                </w14:textFill>
              </w:rPr>
              <w:t>进行截图（每个搜索栏均需显示</w:t>
            </w:r>
            <w:r>
              <w:rPr>
                <w:rFonts w:hint="eastAsia" w:ascii="宋体" w:hAnsi="宋体" w:eastAsia="宋体" w:cs="宋体"/>
                <w:color w:val="000000" w:themeColor="text1"/>
                <w:highlight w:val="none"/>
                <w:lang w:val="en-US"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名称）</w:t>
            </w:r>
            <w:r>
              <w:rPr>
                <w:rFonts w:hint="eastAsia" w:ascii="宋体" w:hAnsi="宋体" w:eastAsia="宋体" w:cs="宋体"/>
                <w:color w:val="000000" w:themeColor="text1"/>
                <w:highlight w:val="none"/>
                <w:lang w:eastAsia="zh-CN"/>
                <w14:textFill>
                  <w14:solidFill>
                    <w14:schemeClr w14:val="tx1"/>
                  </w14:solidFill>
                </w14:textFill>
              </w:rPr>
              <w:t>；</w:t>
            </w:r>
          </w:p>
        </w:tc>
      </w:tr>
      <w:tr>
        <w:tblPrEx>
          <w:tblCellMar>
            <w:top w:w="0" w:type="dxa"/>
            <w:left w:w="0" w:type="dxa"/>
            <w:bottom w:w="0" w:type="dxa"/>
            <w:right w:w="0" w:type="dxa"/>
          </w:tblCellMar>
        </w:tblPrEx>
        <w:trPr>
          <w:trHeight w:val="1468" w:hRule="atLeast"/>
          <w:jc w:val="center"/>
        </w:trPr>
        <w:tc>
          <w:tcPr>
            <w:tcW w:w="942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40" w:lineRule="auto"/>
              <w:jc w:val="center"/>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中国政府采购网（www.ccgp.gov.cn）截图</w:t>
            </w:r>
            <w:r>
              <w:rPr>
                <w:rFonts w:hint="eastAsia" w:ascii="宋体" w:hAnsi="宋体" w:eastAsia="宋体" w:cs="宋体"/>
                <w:b/>
                <w:bCs/>
                <w:color w:val="000000" w:themeColor="text1"/>
                <w:sz w:val="21"/>
                <w:szCs w:val="21"/>
                <w:highlight w:val="none"/>
                <w14:textFill>
                  <w14:solidFill>
                    <w14:schemeClr w14:val="tx1"/>
                  </w14:solidFill>
                </w14:textFill>
              </w:rPr>
              <w:t>（共</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
                <w:bCs/>
                <w:color w:val="000000" w:themeColor="text1"/>
                <w:sz w:val="21"/>
                <w:szCs w:val="21"/>
                <w:highlight w:val="none"/>
                <w14:textFill>
                  <w14:solidFill>
                    <w14:schemeClr w14:val="tx1"/>
                  </w14:solidFill>
                </w14:textFill>
              </w:rPr>
              <w:t>个）</w:t>
            </w:r>
          </w:p>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具体步骤如下：</w:t>
            </w:r>
          </w:p>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中国政府采购网首页→政府采购严重违法失信行为信息记录→输入</w:t>
            </w:r>
            <w:r>
              <w:rPr>
                <w:rFonts w:hint="eastAsia" w:ascii="宋体" w:hAnsi="宋体" w:eastAsia="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名称所得截图</w:t>
            </w:r>
          </w:p>
        </w:tc>
      </w:tr>
    </w:tbl>
    <w:p>
      <w:pPr>
        <w:spacing w:line="360" w:lineRule="auto"/>
        <w:ind w:left="0" w:leftChars="0" w:firstLine="480" w:firstLineChars="200"/>
        <w:jc w:val="left"/>
        <w:textAlignment w:val="baseline"/>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注：</w:t>
      </w:r>
    </w:p>
    <w:p>
      <w:pPr>
        <w:spacing w:line="360" w:lineRule="auto"/>
        <w:ind w:left="0" w:leftChars="0" w:firstLine="480" w:firstLineChars="200"/>
        <w:jc w:val="left"/>
        <w:textAlignment w:val="baseline"/>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①需提供开标截止时间前截图，截图中应显示网站域名，页面信息必须明确显示参与本项目企业全称。</w:t>
      </w:r>
    </w:p>
    <w:p>
      <w:pPr>
        <w:spacing w:line="360" w:lineRule="auto"/>
        <w:ind w:left="0" w:leftChars="0" w:firstLine="480" w:firstLineChars="200"/>
        <w:jc w:val="left"/>
        <w:textAlignment w:val="baseline"/>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②</w:t>
      </w:r>
      <w:r>
        <w:rPr>
          <w:rFonts w:hint="eastAsia" w:ascii="宋体" w:hAnsi="宋体" w:cs="宋体"/>
          <w:color w:val="000000" w:themeColor="text1"/>
          <w:kern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kern w:val="0"/>
          <w:sz w:val="24"/>
          <w:szCs w:val="24"/>
          <w:highlight w:val="none"/>
          <w14:textFill>
            <w14:solidFill>
              <w14:schemeClr w14:val="tx1"/>
            </w14:solidFill>
          </w14:textFill>
        </w:rPr>
        <w:t>或者</w:t>
      </w:r>
      <w:r>
        <w:rPr>
          <w:rFonts w:hint="eastAsia" w:ascii="宋体" w:hAnsi="宋体" w:cs="宋体"/>
          <w:color w:val="000000" w:themeColor="text1"/>
          <w:kern w:val="0"/>
          <w:sz w:val="24"/>
          <w:szCs w:val="24"/>
          <w:highlight w:val="none"/>
          <w:lang w:eastAsia="zh-CN"/>
          <w14:textFill>
            <w14:solidFill>
              <w14:schemeClr w14:val="tx1"/>
            </w14:solidFill>
          </w14:textFill>
        </w:rPr>
        <w:t>招标代理机构</w:t>
      </w:r>
      <w:r>
        <w:rPr>
          <w:rFonts w:hint="eastAsia" w:ascii="宋体" w:hAnsi="宋体" w:eastAsia="宋体" w:cs="宋体"/>
          <w:color w:val="000000" w:themeColor="text1"/>
          <w:kern w:val="0"/>
          <w:sz w:val="24"/>
          <w:szCs w:val="24"/>
          <w:highlight w:val="none"/>
          <w14:textFill>
            <w14:solidFill>
              <w14:schemeClr w14:val="tx1"/>
            </w14:solidFill>
          </w14:textFill>
        </w:rPr>
        <w:t>将对</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投标人</w:t>
      </w:r>
      <w:r>
        <w:rPr>
          <w:rFonts w:hint="eastAsia" w:ascii="宋体" w:hAnsi="宋体" w:eastAsia="宋体" w:cs="宋体"/>
          <w:color w:val="000000" w:themeColor="text1"/>
          <w:kern w:val="0"/>
          <w:sz w:val="24"/>
          <w:szCs w:val="24"/>
          <w:highlight w:val="none"/>
          <w14:textFill>
            <w14:solidFill>
              <w14:schemeClr w14:val="tx1"/>
            </w14:solidFill>
          </w14:textFill>
        </w:rPr>
        <w:t>信用记录进行甄别，对列入失信被执行人、重大税收违法案件当事人名单、政府采购严重违法失信行为记录名单</w:t>
      </w:r>
      <w:r>
        <w:rPr>
          <w:rFonts w:hint="eastAsia" w:ascii="宋体" w:hAnsi="宋体" w:eastAsia="宋体" w:cs="宋体"/>
          <w:color w:val="000000" w:themeColor="text1"/>
          <w:kern w:val="0"/>
          <w:sz w:val="24"/>
          <w:szCs w:val="24"/>
          <w:highlight w:val="none"/>
          <w:lang w:eastAsia="zh-CN"/>
          <w14:textFill>
            <w14:solidFill>
              <w14:schemeClr w14:val="tx1"/>
            </w14:solidFill>
          </w14:textFill>
        </w:rPr>
        <w:t>等严重失信行为</w:t>
      </w:r>
      <w:r>
        <w:rPr>
          <w:rFonts w:hint="eastAsia" w:ascii="宋体" w:hAnsi="宋体" w:eastAsia="宋体" w:cs="宋体"/>
          <w:color w:val="000000" w:themeColor="text1"/>
          <w:kern w:val="0"/>
          <w:sz w:val="24"/>
          <w:szCs w:val="24"/>
          <w:highlight w:val="none"/>
          <w14:textFill>
            <w14:solidFill>
              <w14:schemeClr w14:val="tx1"/>
            </w14:solidFill>
          </w14:textFill>
        </w:rPr>
        <w:t>的</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投标人</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eastAsia="zh-CN"/>
          <w14:textFill>
            <w14:solidFill>
              <w14:schemeClr w14:val="tx1"/>
            </w14:solidFill>
          </w14:textFill>
        </w:rPr>
        <w:t>其投标</w:t>
      </w:r>
      <w:r>
        <w:rPr>
          <w:rFonts w:hint="eastAsia" w:ascii="宋体" w:hAnsi="宋体" w:eastAsia="宋体" w:cs="宋体"/>
          <w:color w:val="000000" w:themeColor="text1"/>
          <w:kern w:val="0"/>
          <w:sz w:val="24"/>
          <w:szCs w:val="24"/>
          <w:highlight w:val="none"/>
          <w14:textFill>
            <w14:solidFill>
              <w14:schemeClr w14:val="tx1"/>
            </w14:solidFill>
          </w14:textFill>
        </w:rPr>
        <w:t>将</w:t>
      </w:r>
      <w:r>
        <w:rPr>
          <w:rFonts w:hint="eastAsia" w:ascii="宋体" w:hAnsi="宋体" w:eastAsia="宋体" w:cs="宋体"/>
          <w:color w:val="000000" w:themeColor="text1"/>
          <w:kern w:val="0"/>
          <w:sz w:val="24"/>
          <w:szCs w:val="24"/>
          <w:highlight w:val="none"/>
          <w:lang w:eastAsia="zh-CN"/>
          <w14:textFill>
            <w14:solidFill>
              <w14:schemeClr w14:val="tx1"/>
            </w14:solidFill>
          </w14:textFill>
        </w:rPr>
        <w:t>作为无效投标</w:t>
      </w:r>
      <w:r>
        <w:rPr>
          <w:rFonts w:hint="eastAsia" w:ascii="宋体" w:hAnsi="宋体" w:eastAsia="宋体" w:cs="宋体"/>
          <w:color w:val="000000" w:themeColor="text1"/>
          <w:kern w:val="0"/>
          <w:sz w:val="24"/>
          <w:szCs w:val="24"/>
          <w:highlight w:val="none"/>
          <w14:textFill>
            <w14:solidFill>
              <w14:schemeClr w14:val="tx1"/>
            </w14:solidFill>
          </w14:textFill>
        </w:rPr>
        <w:t>。满足《中华人民共和国政府采购法》第二十二条有关规定，但存在一般失信行为的投标人，可以在缴纳投标保证金后参与投标评审。</w:t>
      </w:r>
    </w:p>
    <w:p>
      <w:pPr>
        <w:spacing w:line="360" w:lineRule="auto"/>
        <w:ind w:left="0" w:leftChars="0" w:firstLine="482" w:firstLineChars="200"/>
        <w:jc w:val="left"/>
        <w:textAlignment w:val="baseline"/>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③提供截图不全或不符合要求的按无效</w:t>
      </w:r>
      <w:r>
        <w:rPr>
          <w:rFonts w:hint="eastAsia" w:ascii="宋体" w:hAnsi="宋体" w:eastAsia="宋体" w:cs="宋体"/>
          <w:b/>
          <w:bCs/>
          <w:color w:val="000000" w:themeColor="text1"/>
          <w:kern w:val="0"/>
          <w:sz w:val="24"/>
          <w:szCs w:val="24"/>
          <w:highlight w:val="none"/>
          <w:lang w:eastAsia="zh-CN"/>
          <w14:textFill>
            <w14:solidFill>
              <w14:schemeClr w14:val="tx1"/>
            </w14:solidFill>
          </w14:textFill>
        </w:rPr>
        <w:t>投标</w:t>
      </w:r>
      <w:r>
        <w:rPr>
          <w:rFonts w:hint="eastAsia" w:ascii="宋体" w:hAnsi="宋体" w:eastAsia="宋体" w:cs="宋体"/>
          <w:b/>
          <w:bCs/>
          <w:color w:val="000000" w:themeColor="text1"/>
          <w:kern w:val="0"/>
          <w:sz w:val="24"/>
          <w:szCs w:val="24"/>
          <w:highlight w:val="none"/>
          <w14:textFill>
            <w14:solidFill>
              <w14:schemeClr w14:val="tx1"/>
            </w14:solidFill>
          </w14:textFill>
        </w:rPr>
        <w:t>处理。</w:t>
      </w:r>
    </w:p>
    <w:p>
      <w:pPr>
        <w:spacing w:line="360" w:lineRule="auto"/>
        <w:ind w:left="0" w:leftChars="0" w:firstLine="480" w:firstLineChars="200"/>
        <w:jc w:val="left"/>
        <w:textAlignment w:val="baseline"/>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14:textFill>
            <w14:solidFill>
              <w14:schemeClr w14:val="tx1"/>
            </w14:solidFill>
          </w14:textFill>
        </w:rPr>
        <w:t>④</w:t>
      </w:r>
      <w:r>
        <w:rPr>
          <w:rFonts w:hint="eastAsia" w:ascii="宋体" w:hAnsi="宋体" w:eastAsia="宋体" w:cs="宋体"/>
          <w:color w:val="000000" w:themeColor="text1"/>
          <w:kern w:val="0"/>
          <w:sz w:val="24"/>
          <w:szCs w:val="24"/>
          <w:highlight w:val="none"/>
          <w14:textFill>
            <w14:solidFill>
              <w14:schemeClr w14:val="tx1"/>
            </w14:solidFill>
          </w14:textFill>
        </w:rPr>
        <w:t>两个以上的自然人、法人或者其他组织组成一个联合体，以一个</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投标人</w:t>
      </w:r>
      <w:r>
        <w:rPr>
          <w:rFonts w:hint="eastAsia" w:ascii="宋体" w:hAnsi="宋体" w:eastAsia="宋体" w:cs="宋体"/>
          <w:color w:val="000000" w:themeColor="text1"/>
          <w:kern w:val="0"/>
          <w:sz w:val="24"/>
          <w:szCs w:val="24"/>
          <w:highlight w:val="none"/>
          <w14:textFill>
            <w14:solidFill>
              <w14:schemeClr w14:val="tx1"/>
            </w14:solidFill>
          </w14:textFill>
        </w:rPr>
        <w:t>的身份共同参加政府采购活动的，应当对所有联合体成员进行信用记录查询并附证明截图，联合体成员存在不良信用记录的，视同联合体存在不良信用记录。</w:t>
      </w:r>
    </w:p>
    <w:p>
      <w:pPr>
        <w:pStyle w:val="40"/>
        <w:ind w:left="0" w:leftChars="0" w:firstLine="0" w:firstLineChars="0"/>
        <w:jc w:val="center"/>
        <w:outlineLvl w:val="1"/>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（九）投标需要说明的其它材料</w:t>
      </w:r>
    </w:p>
    <w:p>
      <w:pPr>
        <w:spacing w:line="360" w:lineRule="auto"/>
        <w:jc w:val="left"/>
        <w:rPr>
          <w:rFonts w:ascii="宋体" w:hAnsi="宋体" w:cs="宋体"/>
          <w:b/>
          <w:sz w:val="24"/>
          <w:highlight w:val="none"/>
        </w:rPr>
      </w:pPr>
      <w:r>
        <w:rPr>
          <w:rFonts w:hint="eastAsia" w:ascii="宋体" w:hAnsi="宋体" w:cs="宋体"/>
          <w:b/>
          <w:sz w:val="24"/>
          <w:highlight w:val="none"/>
        </w:rPr>
        <w:t>附：</w:t>
      </w:r>
    </w:p>
    <w:p>
      <w:pPr>
        <w:spacing w:line="360" w:lineRule="auto"/>
        <w:jc w:val="left"/>
        <w:rPr>
          <w:rFonts w:ascii="宋体" w:hAnsi="宋体" w:cs="宋体"/>
          <w:bCs/>
          <w:sz w:val="24"/>
          <w:highlight w:val="none"/>
        </w:rPr>
      </w:pPr>
      <w:r>
        <w:rPr>
          <w:rFonts w:hint="eastAsia" w:ascii="宋体" w:hAnsi="宋体" w:cs="宋体"/>
          <w:bCs/>
          <w:sz w:val="24"/>
          <w:highlight w:val="none"/>
        </w:rPr>
        <w:t>扫描件：</w:t>
      </w:r>
    </w:p>
    <w:p>
      <w:pPr>
        <w:spacing w:before="60" w:after="60" w:line="460" w:lineRule="exact"/>
        <w:jc w:val="center"/>
        <w:rPr>
          <w:rFonts w:hint="eastAsia" w:ascii="宋体" w:hAnsi="宋体" w:eastAsia="宋体" w:cs="宋体"/>
          <w:b w:val="0"/>
          <w:bCs w:val="0"/>
          <w:color w:val="000000" w:themeColor="text1"/>
          <w:sz w:val="32"/>
          <w:szCs w:val="22"/>
          <w:highlight w:val="none"/>
          <w:lang w:eastAsia="zh-CN"/>
          <w14:textFill>
            <w14:solidFill>
              <w14:schemeClr w14:val="tx1"/>
            </w14:solidFill>
          </w14:textFill>
        </w:rPr>
      </w:pPr>
    </w:p>
    <w:p>
      <w:pPr>
        <w:spacing w:line="360" w:lineRule="auto"/>
        <w:jc w:val="cente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t xml:space="preserve">近年完成的类似项目情况表 </w:t>
      </w:r>
    </w:p>
    <w:p>
      <w:pPr>
        <w:pStyle w:val="40"/>
        <w:outlineLvl w:val="9"/>
        <w:rPr>
          <w:rFonts w:hint="eastAsia" w:ascii="宋体" w:hAnsi="宋体" w:eastAsia="宋体" w:cs="宋体"/>
          <w:b/>
          <w:color w:val="000000" w:themeColor="text1"/>
          <w:sz w:val="28"/>
          <w:szCs w:val="28"/>
          <w:highlight w:val="none"/>
          <w14:textFill>
            <w14:solidFill>
              <w14:schemeClr w14:val="tx1"/>
            </w14:solidFill>
          </w14:textFill>
        </w:rPr>
      </w:pPr>
    </w:p>
    <w:tbl>
      <w:tblPr>
        <w:tblStyle w:val="74"/>
        <w:tblW w:w="9920"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1958"/>
        <w:gridCol w:w="7962"/>
      </w:tblGrid>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项目名称</w:t>
            </w:r>
          </w:p>
        </w:tc>
        <w:tc>
          <w:tcPr>
            <w:tcW w:w="7962"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项目所在地</w:t>
            </w:r>
          </w:p>
        </w:tc>
        <w:tc>
          <w:tcPr>
            <w:tcW w:w="7962"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eastAsia="zh-CN" w:bidi="ar"/>
                <w14:textFill>
                  <w14:solidFill>
                    <w14:schemeClr w14:val="tx1"/>
                  </w14:solidFill>
                </w14:textFill>
              </w:rPr>
              <w:t>招标人</w:t>
            </w:r>
            <w:r>
              <w:rPr>
                <w:rFonts w:hint="eastAsia" w:ascii="宋体" w:hAnsi="宋体" w:eastAsia="宋体" w:cs="宋体"/>
                <w:color w:val="000000" w:themeColor="text1"/>
                <w:kern w:val="0"/>
                <w:szCs w:val="21"/>
                <w:highlight w:val="none"/>
                <w:lang w:bidi="ar"/>
                <w14:textFill>
                  <w14:solidFill>
                    <w14:schemeClr w14:val="tx1"/>
                  </w14:solidFill>
                </w14:textFill>
              </w:rPr>
              <w:t>名称</w:t>
            </w:r>
          </w:p>
        </w:tc>
        <w:tc>
          <w:tcPr>
            <w:tcW w:w="7962"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eastAsia="zh-CN" w:bidi="ar"/>
                <w14:textFill>
                  <w14:solidFill>
                    <w14:schemeClr w14:val="tx1"/>
                  </w14:solidFill>
                </w14:textFill>
              </w:rPr>
              <w:t>招标人</w:t>
            </w:r>
            <w:r>
              <w:rPr>
                <w:rFonts w:hint="eastAsia" w:ascii="宋体" w:hAnsi="宋体" w:eastAsia="宋体" w:cs="宋体"/>
                <w:color w:val="000000" w:themeColor="text1"/>
                <w:kern w:val="0"/>
                <w:szCs w:val="21"/>
                <w:highlight w:val="none"/>
                <w:lang w:bidi="ar"/>
                <w14:textFill>
                  <w14:solidFill>
                    <w14:schemeClr w14:val="tx1"/>
                  </w14:solidFill>
                </w14:textFill>
              </w:rPr>
              <w:t>地址</w:t>
            </w:r>
          </w:p>
        </w:tc>
        <w:tc>
          <w:tcPr>
            <w:tcW w:w="7962"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招标人</w:t>
            </w:r>
            <w:r>
              <w:rPr>
                <w:rFonts w:hint="eastAsia" w:ascii="宋体" w:hAnsi="宋体" w:eastAsia="宋体" w:cs="宋体"/>
                <w:color w:val="000000" w:themeColor="text1"/>
                <w:szCs w:val="21"/>
                <w:highlight w:val="none"/>
                <w:lang w:bidi="ar"/>
                <w14:textFill>
                  <w14:solidFill>
                    <w14:schemeClr w14:val="tx1"/>
                  </w14:solidFill>
                </w14:textFill>
              </w:rPr>
              <w:t>联系人及电话</w:t>
            </w:r>
          </w:p>
        </w:tc>
        <w:tc>
          <w:tcPr>
            <w:tcW w:w="7962"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 xml:space="preserve">合同价格 </w:t>
            </w:r>
          </w:p>
        </w:tc>
        <w:tc>
          <w:tcPr>
            <w:tcW w:w="7962"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开工日期</w:t>
            </w:r>
          </w:p>
        </w:tc>
        <w:tc>
          <w:tcPr>
            <w:tcW w:w="7962"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完成日期</w:t>
            </w:r>
          </w:p>
        </w:tc>
        <w:tc>
          <w:tcPr>
            <w:tcW w:w="7962"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承担的工作</w:t>
            </w:r>
          </w:p>
        </w:tc>
        <w:tc>
          <w:tcPr>
            <w:tcW w:w="7962"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完成情况</w:t>
            </w:r>
          </w:p>
        </w:tc>
        <w:tc>
          <w:tcPr>
            <w:tcW w:w="7962"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技术负责人</w:t>
            </w:r>
          </w:p>
        </w:tc>
        <w:tc>
          <w:tcPr>
            <w:tcW w:w="7962"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项目描述</w:t>
            </w:r>
          </w:p>
        </w:tc>
        <w:tc>
          <w:tcPr>
            <w:tcW w:w="7962"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500"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备注</w:t>
            </w:r>
          </w:p>
        </w:tc>
        <w:tc>
          <w:tcPr>
            <w:tcW w:w="7962" w:type="dxa"/>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000000" w:themeColor="text1"/>
                <w:szCs w:val="21"/>
                <w:highlight w:val="none"/>
                <w14:textFill>
                  <w14:solidFill>
                    <w14:schemeClr w14:val="tx1"/>
                  </w14:solidFill>
                </w14:textFill>
              </w:rPr>
            </w:pPr>
          </w:p>
        </w:tc>
      </w:tr>
    </w:tbl>
    <w:p>
      <w:pPr>
        <w:pStyle w:val="6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备注：</w:t>
      </w:r>
    </w:p>
    <w:p>
      <w:pPr>
        <w:pStyle w:val="68"/>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leftChars="0"/>
        <w:textAlignment w:val="auto"/>
        <w:rPr>
          <w:rFonts w:hint="eastAsia" w:ascii="宋体" w:hAnsi="宋体" w:eastAsia="宋体" w:cs="宋体"/>
          <w:color w:val="000000" w:themeColor="text1"/>
          <w:highlight w:val="none"/>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本表应链接合同</w:t>
      </w:r>
      <w:r>
        <w:rPr>
          <w:rFonts w:hint="eastAsia" w:cs="宋体"/>
          <w:color w:val="000000" w:themeColor="text1"/>
          <w:highlight w:val="none"/>
          <w:lang w:eastAsia="zh-CN"/>
          <w14:textFill>
            <w14:solidFill>
              <w14:schemeClr w14:val="tx1"/>
            </w14:solidFill>
          </w14:textFill>
        </w:rPr>
        <w:t>原件彩色扫描件</w:t>
      </w:r>
      <w:r>
        <w:rPr>
          <w:rFonts w:hint="eastAsia" w:ascii="宋体" w:hAnsi="宋体" w:eastAsia="宋体" w:cs="宋体"/>
          <w:color w:val="000000" w:themeColor="text1"/>
          <w:highlight w:val="none"/>
          <w14:textFill>
            <w14:solidFill>
              <w14:schemeClr w14:val="tx1"/>
            </w14:solidFill>
          </w14:textFill>
        </w:rPr>
        <w:t>。</w:t>
      </w:r>
    </w:p>
    <w:p>
      <w:pPr>
        <w:spacing w:line="360" w:lineRule="auto"/>
        <w:jc w:val="left"/>
        <w:rPr>
          <w:rFonts w:ascii="宋体" w:hAnsi="宋体" w:cs="宋体"/>
          <w:b/>
          <w:sz w:val="24"/>
          <w:highlight w:val="none"/>
        </w:rPr>
      </w:pPr>
      <w:r>
        <w:rPr>
          <w:rFonts w:hint="eastAsia" w:ascii="宋体" w:hAnsi="宋体" w:cs="宋体"/>
          <w:b/>
          <w:sz w:val="24"/>
          <w:highlight w:val="none"/>
        </w:rPr>
        <w:t>附：</w:t>
      </w:r>
    </w:p>
    <w:p>
      <w:pPr>
        <w:spacing w:line="360" w:lineRule="auto"/>
        <w:jc w:val="left"/>
        <w:rPr>
          <w:rFonts w:ascii="宋体" w:hAnsi="宋体" w:cs="宋体"/>
          <w:bCs/>
          <w:sz w:val="24"/>
          <w:highlight w:val="none"/>
        </w:rPr>
      </w:pPr>
      <w:r>
        <w:rPr>
          <w:rFonts w:hint="eastAsia" w:ascii="宋体" w:hAnsi="宋体" w:cs="宋体"/>
          <w:bCs/>
          <w:sz w:val="24"/>
          <w:highlight w:val="none"/>
        </w:rPr>
        <w:t>扫描件：</w:t>
      </w:r>
    </w:p>
    <w:p>
      <w:pPr>
        <w:spacing w:before="60" w:after="60" w:line="460" w:lineRule="exact"/>
        <w:jc w:val="center"/>
        <w:rPr>
          <w:rFonts w:hint="eastAsia" w:ascii="宋体" w:hAnsi="宋体" w:eastAsia="宋体" w:cs="宋体"/>
          <w:b/>
          <w:bCs/>
          <w:color w:val="000000" w:themeColor="text1"/>
          <w:sz w:val="32"/>
          <w:szCs w:val="22"/>
          <w:highlight w:val="none"/>
          <w:lang w:eastAsia="zh-CN"/>
          <w14:textFill>
            <w14:solidFill>
              <w14:schemeClr w14:val="tx1"/>
            </w14:solidFill>
          </w14:textFill>
        </w:rPr>
      </w:pPr>
    </w:p>
    <w:p>
      <w:pPr>
        <w:pStyle w:val="5"/>
        <w:outlineLvl w:val="9"/>
        <w:rPr>
          <w:rFonts w:hint="eastAsia" w:ascii="宋体" w:hAnsi="宋体" w:eastAsia="宋体" w:cs="宋体"/>
          <w:b/>
          <w:bCs/>
          <w:color w:val="000000" w:themeColor="text1"/>
          <w:sz w:val="32"/>
          <w:szCs w:val="22"/>
          <w:highlight w:val="none"/>
          <w:lang w:eastAsia="zh-CN"/>
          <w14:textFill>
            <w14:solidFill>
              <w14:schemeClr w14:val="tx1"/>
            </w14:solidFill>
          </w14:textFill>
        </w:rPr>
      </w:pPr>
    </w:p>
    <w:p>
      <w:pPr>
        <w:rPr>
          <w:rFonts w:hint="eastAsia" w:ascii="宋体" w:hAnsi="宋体" w:eastAsia="宋体" w:cs="宋体"/>
          <w:b/>
          <w:bCs/>
          <w:color w:val="000000" w:themeColor="text1"/>
          <w:sz w:val="32"/>
          <w:szCs w:val="22"/>
          <w:highlight w:val="none"/>
          <w:lang w:eastAsia="zh-CN"/>
          <w14:textFill>
            <w14:solidFill>
              <w14:schemeClr w14:val="tx1"/>
            </w14:solidFill>
          </w14:textFill>
        </w:rPr>
      </w:pPr>
    </w:p>
    <w:p>
      <w:pPr>
        <w:spacing w:before="60" w:after="60" w:line="460" w:lineRule="exact"/>
        <w:jc w:val="both"/>
        <w:rPr>
          <w:rFonts w:hint="eastAsia" w:ascii="宋体" w:hAnsi="宋体" w:eastAsia="宋体" w:cs="宋体"/>
          <w:b/>
          <w:bCs/>
          <w:color w:val="000000" w:themeColor="text1"/>
          <w:sz w:val="32"/>
          <w:szCs w:val="22"/>
          <w:highlight w:val="none"/>
          <w:lang w:eastAsia="zh-CN"/>
          <w14:textFill>
            <w14:solidFill>
              <w14:schemeClr w14:val="tx1"/>
            </w14:solidFill>
          </w14:textFill>
        </w:rPr>
      </w:pPr>
    </w:p>
    <w:p>
      <w:pPr>
        <w:spacing w:before="60" w:after="60" w:line="460" w:lineRule="exact"/>
        <w:jc w:val="center"/>
        <w:rPr>
          <w:rFonts w:hint="eastAsia" w:ascii="宋体" w:hAnsi="宋体" w:eastAsia="宋体" w:cs="宋体"/>
          <w:b/>
          <w:bCs/>
          <w:color w:val="000000" w:themeColor="text1"/>
          <w:sz w:val="32"/>
          <w:szCs w:val="22"/>
          <w:highlight w:val="none"/>
          <w:lang w:eastAsia="zh-CN"/>
          <w14:textFill>
            <w14:solidFill>
              <w14:schemeClr w14:val="tx1"/>
            </w14:solidFill>
          </w14:textFill>
        </w:rPr>
      </w:pPr>
    </w:p>
    <w:p>
      <w:pP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br w:type="page"/>
      </w:r>
    </w:p>
    <w:p>
      <w:pPr>
        <w:spacing w:line="360" w:lineRule="auto"/>
        <w:jc w:val="cente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t>拟投入本项目从业人员</w:t>
      </w:r>
    </w:p>
    <w:tbl>
      <w:tblPr>
        <w:tblStyle w:val="74"/>
        <w:tblW w:w="9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309"/>
        <w:gridCol w:w="718"/>
        <w:gridCol w:w="661"/>
        <w:gridCol w:w="760"/>
        <w:gridCol w:w="971"/>
        <w:gridCol w:w="773"/>
        <w:gridCol w:w="999"/>
        <w:gridCol w:w="873"/>
        <w:gridCol w:w="983"/>
        <w:gridCol w:w="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59" w:type="dxa"/>
            <w:noWrap w:val="0"/>
            <w:vAlign w:val="center"/>
          </w:tcPr>
          <w:p>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14:textFill>
                  <w14:solidFill>
                    <w14:schemeClr w14:val="tx1"/>
                  </w14:solidFill>
                </w14:textFill>
              </w:rPr>
              <w:t>姓名</w:t>
            </w:r>
          </w:p>
          <w:p>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14:textFill>
                  <w14:solidFill>
                    <w14:schemeClr w14:val="tx1"/>
                  </w14:solidFill>
                </w14:textFill>
              </w:rPr>
              <w:t>（必填）</w:t>
            </w:r>
          </w:p>
        </w:tc>
        <w:tc>
          <w:tcPr>
            <w:tcW w:w="1309" w:type="dxa"/>
            <w:noWrap w:val="0"/>
            <w:vAlign w:val="center"/>
          </w:tcPr>
          <w:p>
            <w:pPr>
              <w:spacing w:line="240" w:lineRule="auto"/>
              <w:jc w:val="center"/>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身份证号</w:t>
            </w:r>
          </w:p>
          <w:p>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（必填）</w:t>
            </w:r>
          </w:p>
        </w:tc>
        <w:tc>
          <w:tcPr>
            <w:tcW w:w="718" w:type="dxa"/>
            <w:noWrap w:val="0"/>
            <w:vAlign w:val="center"/>
          </w:tcPr>
          <w:p>
            <w:pPr>
              <w:keepNext w:val="0"/>
              <w:keepLines w:val="0"/>
              <w:widowControl/>
              <w:suppressLineNumbers w:val="0"/>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 xml:space="preserve">性别 </w:t>
            </w:r>
          </w:p>
        </w:tc>
        <w:tc>
          <w:tcPr>
            <w:tcW w:w="661" w:type="dxa"/>
            <w:noWrap w:val="0"/>
            <w:vAlign w:val="center"/>
          </w:tcPr>
          <w:p>
            <w:pPr>
              <w:keepNext w:val="0"/>
              <w:keepLines w:val="0"/>
              <w:widowControl/>
              <w:suppressLineNumbers w:val="0"/>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 xml:space="preserve">学历 </w:t>
            </w:r>
          </w:p>
        </w:tc>
        <w:tc>
          <w:tcPr>
            <w:tcW w:w="760" w:type="dxa"/>
            <w:noWrap w:val="0"/>
            <w:vAlign w:val="center"/>
          </w:tcPr>
          <w:p>
            <w:pPr>
              <w:keepNext w:val="0"/>
              <w:keepLines w:val="0"/>
              <w:widowControl/>
              <w:suppressLineNumbers w:val="0"/>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 xml:space="preserve">职称 </w:t>
            </w:r>
          </w:p>
        </w:tc>
        <w:tc>
          <w:tcPr>
            <w:tcW w:w="971" w:type="dxa"/>
            <w:noWrap w:val="0"/>
            <w:vAlign w:val="center"/>
          </w:tcPr>
          <w:p>
            <w:pPr>
              <w:keepNext w:val="0"/>
              <w:keepLines w:val="0"/>
              <w:widowControl/>
              <w:suppressLineNumbers w:val="0"/>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职务</w:t>
            </w:r>
          </w:p>
        </w:tc>
        <w:tc>
          <w:tcPr>
            <w:tcW w:w="773" w:type="dxa"/>
            <w:noWrap w:val="0"/>
            <w:vAlign w:val="center"/>
          </w:tcPr>
          <w:p>
            <w:pPr>
              <w:keepNext w:val="0"/>
              <w:keepLines w:val="0"/>
              <w:widowControl/>
              <w:suppressLineNumbers w:val="0"/>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 xml:space="preserve">性别 </w:t>
            </w:r>
          </w:p>
        </w:tc>
        <w:tc>
          <w:tcPr>
            <w:tcW w:w="999" w:type="dxa"/>
            <w:noWrap w:val="0"/>
            <w:vAlign w:val="center"/>
          </w:tcPr>
          <w:p>
            <w:pPr>
              <w:spacing w:line="240" w:lineRule="auto"/>
              <w:jc w:val="center"/>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从业</w:t>
            </w:r>
          </w:p>
          <w:p>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年限</w:t>
            </w:r>
          </w:p>
        </w:tc>
        <w:tc>
          <w:tcPr>
            <w:tcW w:w="873" w:type="dxa"/>
            <w:noWrap w:val="0"/>
            <w:vAlign w:val="center"/>
          </w:tcPr>
          <w:p>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14:textFill>
                  <w14:solidFill>
                    <w14:schemeClr w14:val="tx1"/>
                  </w14:solidFill>
                </w14:textFill>
              </w:rPr>
              <w:t>资质</w:t>
            </w:r>
          </w:p>
          <w:p>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14:textFill>
                  <w14:solidFill>
                    <w14:schemeClr w14:val="tx1"/>
                  </w14:solidFill>
                </w14:textFill>
              </w:rPr>
              <w:t>证书</w:t>
            </w:r>
          </w:p>
        </w:tc>
        <w:tc>
          <w:tcPr>
            <w:tcW w:w="983" w:type="dxa"/>
            <w:noWrap w:val="0"/>
            <w:vAlign w:val="center"/>
          </w:tcPr>
          <w:p>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14:textFill>
                  <w14:solidFill>
                    <w14:schemeClr w14:val="tx1"/>
                  </w14:solidFill>
                </w14:textFill>
              </w:rPr>
              <w:t>获奖</w:t>
            </w:r>
          </w:p>
          <w:p>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14:textFill>
                  <w14:solidFill>
                    <w14:schemeClr w14:val="tx1"/>
                  </w14:solidFill>
                </w14:textFill>
              </w:rPr>
              <w:t>情况</w:t>
            </w:r>
          </w:p>
        </w:tc>
        <w:tc>
          <w:tcPr>
            <w:tcW w:w="745" w:type="dxa"/>
            <w:noWrap w:val="0"/>
            <w:vAlign w:val="center"/>
          </w:tcPr>
          <w:p>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95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130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18"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661"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60"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71"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7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9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87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8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45"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95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130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18"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661"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60"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71"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7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9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87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8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45"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95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130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18"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661"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60"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71"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7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9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87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8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45"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95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130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18"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661"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60"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71"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7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9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87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8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45"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95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130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18"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661"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60"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71"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7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9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87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8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45"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95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130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18"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661"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60"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71"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7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99"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87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83"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45" w:type="dxa"/>
            <w:noWrap w:val="0"/>
            <w:vAlign w:val="top"/>
          </w:tcPr>
          <w:p>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r>
    </w:tbl>
    <w:p>
      <w:pPr>
        <w:spacing w:line="360" w:lineRule="auto"/>
        <w:jc w:val="left"/>
        <w:rPr>
          <w:rFonts w:ascii="宋体" w:hAnsi="宋体" w:cs="宋体"/>
          <w:b/>
          <w:sz w:val="24"/>
          <w:highlight w:val="none"/>
        </w:rPr>
      </w:pPr>
      <w:r>
        <w:rPr>
          <w:rFonts w:hint="eastAsia" w:ascii="宋体" w:hAnsi="宋体" w:cs="宋体"/>
          <w:b/>
          <w:sz w:val="24"/>
          <w:highlight w:val="none"/>
        </w:rPr>
        <w:t>附：</w:t>
      </w:r>
    </w:p>
    <w:p>
      <w:pPr>
        <w:spacing w:line="360" w:lineRule="auto"/>
        <w:jc w:val="left"/>
        <w:rPr>
          <w:rFonts w:ascii="宋体" w:hAnsi="宋体" w:cs="宋体"/>
          <w:bCs/>
          <w:sz w:val="24"/>
          <w:highlight w:val="none"/>
        </w:rPr>
      </w:pPr>
      <w:r>
        <w:rPr>
          <w:rFonts w:hint="eastAsia" w:ascii="宋体" w:hAnsi="宋体" w:cs="宋体"/>
          <w:bCs/>
          <w:sz w:val="24"/>
          <w:highlight w:val="none"/>
        </w:rPr>
        <w:t>扫描件：</w:t>
      </w:r>
    </w:p>
    <w:p>
      <w:pPr>
        <w:pStyle w:val="40"/>
        <w:jc w:val="center"/>
        <w:outlineLvl w:val="9"/>
        <w:rPr>
          <w:rFonts w:hint="eastAsia" w:ascii="宋体" w:hAnsi="宋体" w:eastAsia="宋体" w:cs="宋体"/>
          <w:b/>
          <w:color w:val="000000" w:themeColor="text1"/>
          <w:sz w:val="28"/>
          <w:szCs w:val="28"/>
          <w:highlight w:val="none"/>
          <w:lang w:eastAsia="zh-CN"/>
          <w14:textFill>
            <w14:solidFill>
              <w14:schemeClr w14:val="tx1"/>
            </w14:solidFill>
          </w14:textFill>
        </w:rPr>
      </w:pPr>
    </w:p>
    <w:p>
      <w:pPr>
        <w:pStyle w:val="40"/>
        <w:jc w:val="center"/>
        <w:outlineLvl w:val="9"/>
        <w:rPr>
          <w:rFonts w:hint="eastAsia" w:ascii="宋体" w:hAnsi="宋体" w:eastAsia="宋体" w:cs="宋体"/>
          <w:b/>
          <w:color w:val="000000" w:themeColor="text1"/>
          <w:sz w:val="28"/>
          <w:szCs w:val="28"/>
          <w:highlight w:val="none"/>
          <w:lang w:eastAsia="zh-CN"/>
          <w14:textFill>
            <w14:solidFill>
              <w14:schemeClr w14:val="tx1"/>
            </w14:solidFill>
          </w14:textFill>
        </w:rPr>
      </w:pPr>
    </w:p>
    <w:p>
      <w:pPr>
        <w:spacing w:line="360" w:lineRule="auto"/>
        <w:jc w:val="cente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t>企业获奖</w:t>
      </w:r>
    </w:p>
    <w:p>
      <w:pPr>
        <w:pStyle w:val="40"/>
        <w:jc w:val="center"/>
        <w:outlineLvl w:val="9"/>
        <w:rPr>
          <w:rFonts w:hint="eastAsia" w:ascii="宋体" w:hAnsi="宋体" w:eastAsia="宋体" w:cs="宋体"/>
          <w:b/>
          <w:color w:val="000000" w:themeColor="text1"/>
          <w:sz w:val="28"/>
          <w:szCs w:val="28"/>
          <w:highlight w:val="none"/>
          <w:lang w:eastAsia="zh-CN"/>
          <w14:textFill>
            <w14:solidFill>
              <w14:schemeClr w14:val="tx1"/>
            </w14:solidFill>
          </w14:textFill>
        </w:rPr>
      </w:pPr>
    </w:p>
    <w:p>
      <w:pPr>
        <w:spacing w:line="360" w:lineRule="auto"/>
        <w:jc w:val="left"/>
        <w:rPr>
          <w:rFonts w:ascii="宋体" w:hAnsi="宋体" w:cs="宋体"/>
          <w:b/>
          <w:sz w:val="24"/>
          <w:highlight w:val="none"/>
        </w:rPr>
      </w:pPr>
      <w:r>
        <w:rPr>
          <w:rFonts w:hint="eastAsia" w:ascii="宋体" w:hAnsi="宋体" w:cs="宋体"/>
          <w:b/>
          <w:sz w:val="24"/>
          <w:highlight w:val="none"/>
        </w:rPr>
        <w:t>附：</w:t>
      </w:r>
    </w:p>
    <w:p>
      <w:pPr>
        <w:spacing w:line="360" w:lineRule="auto"/>
        <w:jc w:val="left"/>
        <w:rPr>
          <w:rFonts w:ascii="宋体" w:hAnsi="宋体" w:cs="宋体"/>
          <w:bCs/>
          <w:sz w:val="24"/>
          <w:highlight w:val="none"/>
        </w:rPr>
      </w:pPr>
      <w:r>
        <w:rPr>
          <w:rFonts w:hint="eastAsia" w:ascii="宋体" w:hAnsi="宋体" w:cs="宋体"/>
          <w:bCs/>
          <w:sz w:val="24"/>
          <w:highlight w:val="none"/>
        </w:rPr>
        <w:t>扫描件：</w:t>
      </w:r>
    </w:p>
    <w:p>
      <w:pPr>
        <w:pStyle w:val="40"/>
        <w:jc w:val="both"/>
        <w:outlineLvl w:val="9"/>
        <w:rPr>
          <w:rFonts w:hint="eastAsia" w:ascii="宋体" w:hAnsi="宋体" w:eastAsia="宋体" w:cs="宋体"/>
          <w:b/>
          <w:color w:val="000000" w:themeColor="text1"/>
          <w:sz w:val="28"/>
          <w:szCs w:val="28"/>
          <w:highlight w:val="none"/>
          <w:lang w:eastAsia="zh-CN"/>
          <w14:textFill>
            <w14:solidFill>
              <w14:schemeClr w14:val="tx1"/>
            </w14:solidFill>
          </w14:textFill>
        </w:rPr>
      </w:pPr>
    </w:p>
    <w:p>
      <w:pPr>
        <w:spacing w:before="60" w:after="60" w:line="460" w:lineRule="exact"/>
        <w:jc w:val="center"/>
        <w:rPr>
          <w:rFonts w:hint="eastAsia" w:ascii="宋体" w:hAnsi="宋体" w:eastAsia="宋体" w:cs="宋体"/>
          <w:b/>
          <w:bCs/>
          <w:color w:val="000000" w:themeColor="text1"/>
          <w:sz w:val="32"/>
          <w:szCs w:val="22"/>
          <w:highlight w:val="none"/>
          <w:lang w:eastAsia="zh-CN"/>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t>企业各类证书</w:t>
      </w:r>
    </w:p>
    <w:p>
      <w:pPr>
        <w:spacing w:line="360" w:lineRule="auto"/>
        <w:jc w:val="left"/>
        <w:rPr>
          <w:rFonts w:ascii="宋体" w:hAnsi="宋体" w:cs="宋体"/>
          <w:b/>
          <w:sz w:val="24"/>
          <w:highlight w:val="none"/>
        </w:rPr>
      </w:pPr>
      <w:r>
        <w:rPr>
          <w:rFonts w:hint="eastAsia" w:ascii="宋体" w:hAnsi="宋体" w:cs="宋体"/>
          <w:b/>
          <w:sz w:val="24"/>
          <w:highlight w:val="none"/>
        </w:rPr>
        <w:t>附：</w:t>
      </w:r>
    </w:p>
    <w:p>
      <w:pPr>
        <w:spacing w:line="360" w:lineRule="auto"/>
        <w:jc w:val="left"/>
        <w:rPr>
          <w:rFonts w:ascii="宋体" w:hAnsi="宋体" w:cs="宋体"/>
          <w:bCs/>
          <w:sz w:val="24"/>
          <w:highlight w:val="none"/>
        </w:rPr>
      </w:pPr>
      <w:r>
        <w:rPr>
          <w:rFonts w:hint="eastAsia" w:ascii="宋体" w:hAnsi="宋体" w:cs="宋体"/>
          <w:bCs/>
          <w:sz w:val="24"/>
          <w:highlight w:val="none"/>
        </w:rPr>
        <w:t>扫描件：</w:t>
      </w:r>
    </w:p>
    <w:p>
      <w:p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p>
    <w:p>
      <w:pPr>
        <w:pStyle w:val="40"/>
        <w:jc w:val="center"/>
        <w:outlineLvl w:val="9"/>
        <w:rPr>
          <w:rFonts w:hint="eastAsia" w:ascii="宋体" w:hAnsi="宋体" w:eastAsia="宋体" w:cs="宋体"/>
          <w:b/>
          <w:color w:val="000000" w:themeColor="text1"/>
          <w:sz w:val="28"/>
          <w:szCs w:val="28"/>
          <w:highlight w:val="none"/>
          <w:lang w:eastAsia="zh-CN"/>
          <w14:textFill>
            <w14:solidFill>
              <w14:schemeClr w14:val="tx1"/>
            </w14:solidFill>
          </w14:textFill>
        </w:rPr>
      </w:pPr>
    </w:p>
    <w:p>
      <w:pPr>
        <w:spacing w:before="60" w:after="60" w:line="460" w:lineRule="exact"/>
        <w:jc w:val="center"/>
        <w:rPr>
          <w:rFonts w:hint="eastAsia" w:ascii="宋体" w:hAnsi="宋体" w:eastAsia="宋体" w:cs="宋体"/>
          <w:b/>
          <w:bCs/>
          <w:color w:val="000000" w:themeColor="text1"/>
          <w:sz w:val="32"/>
          <w:szCs w:val="22"/>
          <w:highlight w:val="none"/>
          <w:lang w:eastAsia="zh-CN"/>
          <w14:textFill>
            <w14:solidFill>
              <w14:schemeClr w14:val="tx1"/>
            </w14:solidFill>
          </w14:textFill>
        </w:rPr>
      </w:pPr>
    </w:p>
    <w:p>
      <w:pP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br w:type="page"/>
      </w:r>
    </w:p>
    <w:p>
      <w:pPr>
        <w:spacing w:before="60" w:after="60" w:line="460" w:lineRule="exact"/>
        <w:jc w:val="cente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t>商务响应表</w:t>
      </w:r>
    </w:p>
    <w:p>
      <w:pPr>
        <w:pageBreakBefore w:val="0"/>
        <w:kinsoku/>
        <w:wordWrap/>
        <w:overflowPunct/>
        <w:bidi w:val="0"/>
        <w:spacing w:line="360" w:lineRule="auto"/>
        <w:ind w:right="0" w:rightChars="0" w:firstLine="420" w:firstLineChars="200"/>
        <w:jc w:val="left"/>
        <w:rPr>
          <w:rFonts w:hint="eastAsia" w:ascii="宋体" w:hAnsi="宋体" w:eastAsia="宋体" w:cs="宋体"/>
          <w:color w:val="000000" w:themeColor="text1"/>
          <w:highlight w:val="none"/>
          <w14:textFill>
            <w14:solidFill>
              <w14:schemeClr w14:val="tx1"/>
            </w14:solidFill>
          </w14:textFill>
        </w:rPr>
      </w:pPr>
    </w:p>
    <w:p>
      <w:pPr>
        <w:pageBreakBefore w:val="0"/>
        <w:kinsoku/>
        <w:wordWrap/>
        <w:overflowPunct/>
        <w:bidi w:val="0"/>
        <w:spacing w:line="360" w:lineRule="auto"/>
        <w:ind w:right="0" w:rightChars="0"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招标编号：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p>
    <w:tbl>
      <w:tblPr>
        <w:tblStyle w:val="74"/>
        <w:tblW w:w="9380" w:type="dxa"/>
        <w:jc w:val="center"/>
        <w:tblLayout w:type="fixed"/>
        <w:tblCellMar>
          <w:top w:w="0" w:type="dxa"/>
          <w:left w:w="108" w:type="dxa"/>
          <w:bottom w:w="0" w:type="dxa"/>
          <w:right w:w="108" w:type="dxa"/>
        </w:tblCellMar>
      </w:tblPr>
      <w:tblGrid>
        <w:gridCol w:w="945"/>
        <w:gridCol w:w="2108"/>
        <w:gridCol w:w="2108"/>
        <w:gridCol w:w="2333"/>
        <w:gridCol w:w="1886"/>
      </w:tblGrid>
      <w:tr>
        <w:tblPrEx>
          <w:tblCellMar>
            <w:top w:w="0" w:type="dxa"/>
            <w:left w:w="108" w:type="dxa"/>
            <w:bottom w:w="0" w:type="dxa"/>
            <w:right w:w="108" w:type="dxa"/>
          </w:tblCellMar>
        </w:tblPrEx>
        <w:trPr>
          <w:trHeight w:val="599" w:hRule="atLeast"/>
          <w:jc w:val="center"/>
        </w:trPr>
        <w:tc>
          <w:tcPr>
            <w:tcW w:w="945"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2108" w:type="dxa"/>
            <w:tcBorders>
              <w:top w:val="single" w:color="auto" w:sz="6" w:space="0"/>
              <w:left w:val="single" w:color="auto" w:sz="6" w:space="0"/>
              <w:bottom w:val="single" w:color="auto" w:sz="6" w:space="0"/>
              <w:right w:val="single" w:color="auto" w:sz="4" w:space="0"/>
            </w:tcBorders>
            <w:noWrap w:val="0"/>
            <w:vAlign w:val="center"/>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招标文件要求</w:t>
            </w:r>
          </w:p>
        </w:tc>
        <w:tc>
          <w:tcPr>
            <w:tcW w:w="2108" w:type="dxa"/>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投标文件实际情况</w:t>
            </w:r>
          </w:p>
        </w:tc>
        <w:tc>
          <w:tcPr>
            <w:tcW w:w="2333"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偏差内容</w:t>
            </w:r>
          </w:p>
        </w:tc>
        <w:tc>
          <w:tcPr>
            <w:tcW w:w="1886"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说明（正偏离/负偏离/无偏离）</w:t>
            </w:r>
          </w:p>
        </w:tc>
      </w:tr>
      <w:tr>
        <w:tblPrEx>
          <w:tblCellMar>
            <w:top w:w="0" w:type="dxa"/>
            <w:left w:w="108" w:type="dxa"/>
            <w:bottom w:w="0" w:type="dxa"/>
            <w:right w:w="108" w:type="dxa"/>
          </w:tblCellMar>
        </w:tblPrEx>
        <w:trPr>
          <w:trHeight w:val="599" w:hRule="atLeast"/>
          <w:jc w:val="center"/>
        </w:trPr>
        <w:tc>
          <w:tcPr>
            <w:tcW w:w="94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1</w:t>
            </w:r>
          </w:p>
        </w:tc>
        <w:tc>
          <w:tcPr>
            <w:tcW w:w="210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08" w:type="dxa"/>
            <w:tcBorders>
              <w:top w:val="single" w:color="auto" w:sz="6" w:space="0"/>
              <w:left w:val="single" w:color="auto" w:sz="4"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33"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86"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tblPrEx>
          <w:tblCellMar>
            <w:top w:w="0" w:type="dxa"/>
            <w:left w:w="108" w:type="dxa"/>
            <w:bottom w:w="0" w:type="dxa"/>
            <w:right w:w="108" w:type="dxa"/>
          </w:tblCellMar>
        </w:tblPrEx>
        <w:trPr>
          <w:trHeight w:val="599" w:hRule="atLeast"/>
          <w:jc w:val="center"/>
        </w:trPr>
        <w:tc>
          <w:tcPr>
            <w:tcW w:w="94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2</w:t>
            </w:r>
          </w:p>
        </w:tc>
        <w:tc>
          <w:tcPr>
            <w:tcW w:w="210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08" w:type="dxa"/>
            <w:tcBorders>
              <w:top w:val="single" w:color="auto" w:sz="6" w:space="0"/>
              <w:left w:val="single" w:color="auto" w:sz="4"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33"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86"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tblPrEx>
          <w:tblCellMar>
            <w:top w:w="0" w:type="dxa"/>
            <w:left w:w="108" w:type="dxa"/>
            <w:bottom w:w="0" w:type="dxa"/>
            <w:right w:w="108" w:type="dxa"/>
          </w:tblCellMar>
        </w:tblPrEx>
        <w:trPr>
          <w:trHeight w:val="599" w:hRule="atLeast"/>
          <w:jc w:val="center"/>
        </w:trPr>
        <w:tc>
          <w:tcPr>
            <w:tcW w:w="94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3</w:t>
            </w:r>
          </w:p>
        </w:tc>
        <w:tc>
          <w:tcPr>
            <w:tcW w:w="210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08" w:type="dxa"/>
            <w:tcBorders>
              <w:top w:val="single" w:color="auto" w:sz="6" w:space="0"/>
              <w:left w:val="single" w:color="auto" w:sz="4"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33"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86"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tblPrEx>
          <w:tblCellMar>
            <w:top w:w="0" w:type="dxa"/>
            <w:left w:w="108" w:type="dxa"/>
            <w:bottom w:w="0" w:type="dxa"/>
            <w:right w:w="108" w:type="dxa"/>
          </w:tblCellMar>
        </w:tblPrEx>
        <w:trPr>
          <w:trHeight w:val="599" w:hRule="atLeast"/>
          <w:jc w:val="center"/>
        </w:trPr>
        <w:tc>
          <w:tcPr>
            <w:tcW w:w="94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4</w:t>
            </w:r>
          </w:p>
        </w:tc>
        <w:tc>
          <w:tcPr>
            <w:tcW w:w="210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08" w:type="dxa"/>
            <w:tcBorders>
              <w:top w:val="single" w:color="auto" w:sz="6" w:space="0"/>
              <w:left w:val="single" w:color="auto" w:sz="4"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33"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86" w:type="dxa"/>
            <w:tcBorders>
              <w:top w:val="single" w:color="auto" w:sz="6" w:space="0"/>
              <w:left w:val="single" w:color="auto" w:sz="6" w:space="0"/>
              <w:bottom w:val="nil"/>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tblPrEx>
          <w:tblCellMar>
            <w:top w:w="0" w:type="dxa"/>
            <w:left w:w="108" w:type="dxa"/>
            <w:bottom w:w="0" w:type="dxa"/>
            <w:right w:w="108" w:type="dxa"/>
          </w:tblCellMar>
        </w:tblPrEx>
        <w:trPr>
          <w:trHeight w:val="599" w:hRule="atLeast"/>
          <w:jc w:val="center"/>
        </w:trPr>
        <w:tc>
          <w:tcPr>
            <w:tcW w:w="94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5</w:t>
            </w:r>
          </w:p>
        </w:tc>
        <w:tc>
          <w:tcPr>
            <w:tcW w:w="210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08" w:type="dxa"/>
            <w:tcBorders>
              <w:top w:val="single" w:color="auto" w:sz="6" w:space="0"/>
              <w:left w:val="single" w:color="auto" w:sz="4"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33"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86"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tblPrEx>
          <w:tblCellMar>
            <w:top w:w="0" w:type="dxa"/>
            <w:left w:w="108" w:type="dxa"/>
            <w:bottom w:w="0" w:type="dxa"/>
            <w:right w:w="108" w:type="dxa"/>
          </w:tblCellMar>
        </w:tblPrEx>
        <w:trPr>
          <w:trHeight w:val="599" w:hRule="atLeast"/>
          <w:jc w:val="center"/>
        </w:trPr>
        <w:tc>
          <w:tcPr>
            <w:tcW w:w="94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w:t>
            </w:r>
          </w:p>
        </w:tc>
        <w:tc>
          <w:tcPr>
            <w:tcW w:w="210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08" w:type="dxa"/>
            <w:tcBorders>
              <w:top w:val="single" w:color="auto" w:sz="6" w:space="0"/>
              <w:left w:val="single" w:color="auto" w:sz="4"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33"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86"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bl>
    <w:p>
      <w:pPr>
        <w:pageBreakBefore w:val="0"/>
        <w:kinsoku/>
        <w:wordWrap/>
        <w:overflowPunct/>
        <w:autoSpaceDE w:val="0"/>
        <w:autoSpaceDN w:val="0"/>
        <w:bidi w:val="0"/>
        <w:spacing w:line="360" w:lineRule="auto"/>
        <w:ind w:left="0" w:leftChars="0" w:right="0" w:rightChars="0" w:firstLine="480" w:firstLineChars="200"/>
        <w:jc w:val="left"/>
        <w:rPr>
          <w:rFonts w:hint="eastAsia" w:ascii="宋体" w:hAnsi="宋体" w:eastAsia="宋体" w:cs="宋体"/>
          <w:color w:val="000000" w:themeColor="text1"/>
          <w:sz w:val="24"/>
          <w:szCs w:val="24"/>
          <w:highlight w:val="none"/>
          <w:lang w:val="zh-CN"/>
          <w14:textFill>
            <w14:solidFill>
              <w14:schemeClr w14:val="tx1"/>
            </w14:solidFill>
          </w14:textFill>
        </w:rPr>
      </w:pPr>
    </w:p>
    <w:p>
      <w:pPr>
        <w:pageBreakBefore w:val="0"/>
        <w:tabs>
          <w:tab w:val="left" w:pos="3247"/>
        </w:tabs>
        <w:kinsoku/>
        <w:wordWrap/>
        <w:overflowPunct/>
        <w:bidi w:val="0"/>
        <w:spacing w:line="360" w:lineRule="auto"/>
        <w:ind w:left="0" w:leftChars="0" w:right="0" w:rightChars="0" w:firstLine="0" w:firstLineChars="0"/>
        <w:jc w:val="center"/>
        <w:rPr>
          <w:rFonts w:hint="eastAsia" w:ascii="宋体" w:hAnsi="宋体" w:eastAsia="宋体" w:cs="宋体"/>
          <w:b/>
          <w:bCs/>
          <w:color w:val="000000" w:themeColor="text1"/>
          <w:sz w:val="28"/>
          <w:szCs w:val="28"/>
          <w:highlight w:val="none"/>
          <w14:textFill>
            <w14:solidFill>
              <w14:schemeClr w14:val="tx1"/>
            </w14:solidFill>
          </w14:textFill>
        </w:rPr>
      </w:pPr>
    </w:p>
    <w:p>
      <w:pPr>
        <w:spacing w:before="60" w:after="60" w:line="460" w:lineRule="exact"/>
        <w:jc w:val="cente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t>技术响应表</w:t>
      </w:r>
    </w:p>
    <w:p>
      <w:pPr>
        <w:pageBreakBefore w:val="0"/>
        <w:kinsoku/>
        <w:wordWrap/>
        <w:overflowPunct/>
        <w:bidi w:val="0"/>
        <w:spacing w:line="360" w:lineRule="auto"/>
        <w:ind w:right="0" w:rightChars="0"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招标编号：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p>
    <w:tbl>
      <w:tblPr>
        <w:tblStyle w:val="74"/>
        <w:tblW w:w="9315" w:type="dxa"/>
        <w:jc w:val="center"/>
        <w:tblLayout w:type="fixed"/>
        <w:tblCellMar>
          <w:top w:w="0" w:type="dxa"/>
          <w:left w:w="108" w:type="dxa"/>
          <w:bottom w:w="0" w:type="dxa"/>
          <w:right w:w="108" w:type="dxa"/>
        </w:tblCellMar>
      </w:tblPr>
      <w:tblGrid>
        <w:gridCol w:w="844"/>
        <w:gridCol w:w="2117"/>
        <w:gridCol w:w="2117"/>
        <w:gridCol w:w="2340"/>
        <w:gridCol w:w="1897"/>
      </w:tblGrid>
      <w:tr>
        <w:tblPrEx>
          <w:tblCellMar>
            <w:top w:w="0" w:type="dxa"/>
            <w:left w:w="108" w:type="dxa"/>
            <w:bottom w:w="0" w:type="dxa"/>
            <w:right w:w="108" w:type="dxa"/>
          </w:tblCellMar>
        </w:tblPrEx>
        <w:trPr>
          <w:trHeight w:val="510" w:hRule="atLeast"/>
          <w:jc w:val="center"/>
        </w:trPr>
        <w:tc>
          <w:tcPr>
            <w:tcW w:w="844"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2117" w:type="dxa"/>
            <w:tcBorders>
              <w:top w:val="single" w:color="auto" w:sz="6" w:space="0"/>
              <w:left w:val="single" w:color="auto" w:sz="6" w:space="0"/>
              <w:bottom w:val="single" w:color="auto" w:sz="6" w:space="0"/>
              <w:right w:val="single" w:color="auto" w:sz="4" w:space="0"/>
            </w:tcBorders>
            <w:noWrap w:val="0"/>
            <w:vAlign w:val="center"/>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招标文件要求</w:t>
            </w:r>
          </w:p>
        </w:tc>
        <w:tc>
          <w:tcPr>
            <w:tcW w:w="2117" w:type="dxa"/>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投标文件实际情况</w:t>
            </w:r>
          </w:p>
        </w:tc>
        <w:tc>
          <w:tcPr>
            <w:tcW w:w="2340"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偏差内容</w:t>
            </w:r>
          </w:p>
        </w:tc>
        <w:tc>
          <w:tcPr>
            <w:tcW w:w="1897"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说明（正偏离/负偏离/无偏离）</w:t>
            </w:r>
          </w:p>
        </w:tc>
      </w:tr>
      <w:tr>
        <w:tblPrEx>
          <w:tblCellMar>
            <w:top w:w="0" w:type="dxa"/>
            <w:left w:w="108" w:type="dxa"/>
            <w:bottom w:w="0" w:type="dxa"/>
            <w:right w:w="108" w:type="dxa"/>
          </w:tblCellMar>
        </w:tblPrEx>
        <w:trPr>
          <w:trHeight w:val="510" w:hRule="atLeast"/>
          <w:jc w:val="center"/>
        </w:trPr>
        <w:tc>
          <w:tcPr>
            <w:tcW w:w="844"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1</w:t>
            </w:r>
          </w:p>
        </w:tc>
        <w:tc>
          <w:tcPr>
            <w:tcW w:w="2117"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17" w:type="dxa"/>
            <w:tcBorders>
              <w:top w:val="single" w:color="auto" w:sz="6" w:space="0"/>
              <w:left w:val="single" w:color="auto" w:sz="4"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40"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97"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tblPrEx>
          <w:tblCellMar>
            <w:top w:w="0" w:type="dxa"/>
            <w:left w:w="108" w:type="dxa"/>
            <w:bottom w:w="0" w:type="dxa"/>
            <w:right w:w="108" w:type="dxa"/>
          </w:tblCellMar>
        </w:tblPrEx>
        <w:trPr>
          <w:trHeight w:val="510" w:hRule="atLeast"/>
          <w:jc w:val="center"/>
        </w:trPr>
        <w:tc>
          <w:tcPr>
            <w:tcW w:w="844"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2</w:t>
            </w:r>
          </w:p>
        </w:tc>
        <w:tc>
          <w:tcPr>
            <w:tcW w:w="2117"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17" w:type="dxa"/>
            <w:tcBorders>
              <w:top w:val="single" w:color="auto" w:sz="6" w:space="0"/>
              <w:left w:val="single" w:color="auto" w:sz="4"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40"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97"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tblPrEx>
          <w:tblCellMar>
            <w:top w:w="0" w:type="dxa"/>
            <w:left w:w="108" w:type="dxa"/>
            <w:bottom w:w="0" w:type="dxa"/>
            <w:right w:w="108" w:type="dxa"/>
          </w:tblCellMar>
        </w:tblPrEx>
        <w:trPr>
          <w:trHeight w:val="510" w:hRule="atLeast"/>
          <w:jc w:val="center"/>
        </w:trPr>
        <w:tc>
          <w:tcPr>
            <w:tcW w:w="844"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3</w:t>
            </w:r>
          </w:p>
        </w:tc>
        <w:tc>
          <w:tcPr>
            <w:tcW w:w="2117"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17" w:type="dxa"/>
            <w:tcBorders>
              <w:top w:val="single" w:color="auto" w:sz="6" w:space="0"/>
              <w:left w:val="single" w:color="auto" w:sz="4"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40"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97"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tblPrEx>
          <w:tblCellMar>
            <w:top w:w="0" w:type="dxa"/>
            <w:left w:w="108" w:type="dxa"/>
            <w:bottom w:w="0" w:type="dxa"/>
            <w:right w:w="108" w:type="dxa"/>
          </w:tblCellMar>
        </w:tblPrEx>
        <w:trPr>
          <w:trHeight w:val="510" w:hRule="atLeast"/>
          <w:jc w:val="center"/>
        </w:trPr>
        <w:tc>
          <w:tcPr>
            <w:tcW w:w="844"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4</w:t>
            </w:r>
          </w:p>
        </w:tc>
        <w:tc>
          <w:tcPr>
            <w:tcW w:w="2117"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17" w:type="dxa"/>
            <w:tcBorders>
              <w:top w:val="single" w:color="auto" w:sz="6" w:space="0"/>
              <w:left w:val="single" w:color="auto" w:sz="4"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40"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97" w:type="dxa"/>
            <w:tcBorders>
              <w:top w:val="single" w:color="auto" w:sz="6" w:space="0"/>
              <w:left w:val="single" w:color="auto" w:sz="6" w:space="0"/>
              <w:bottom w:val="nil"/>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tblPrEx>
          <w:tblCellMar>
            <w:top w:w="0" w:type="dxa"/>
            <w:left w:w="108" w:type="dxa"/>
            <w:bottom w:w="0" w:type="dxa"/>
            <w:right w:w="108" w:type="dxa"/>
          </w:tblCellMar>
        </w:tblPrEx>
        <w:trPr>
          <w:trHeight w:val="510" w:hRule="atLeast"/>
          <w:jc w:val="center"/>
        </w:trPr>
        <w:tc>
          <w:tcPr>
            <w:tcW w:w="844"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5</w:t>
            </w:r>
          </w:p>
        </w:tc>
        <w:tc>
          <w:tcPr>
            <w:tcW w:w="2117"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17" w:type="dxa"/>
            <w:tcBorders>
              <w:top w:val="single" w:color="auto" w:sz="6" w:space="0"/>
              <w:left w:val="single" w:color="auto" w:sz="4"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40"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97"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tblPrEx>
          <w:tblCellMar>
            <w:top w:w="0" w:type="dxa"/>
            <w:left w:w="108" w:type="dxa"/>
            <w:bottom w:w="0" w:type="dxa"/>
            <w:right w:w="108" w:type="dxa"/>
          </w:tblCellMar>
        </w:tblPrEx>
        <w:trPr>
          <w:trHeight w:val="510" w:hRule="atLeast"/>
          <w:jc w:val="center"/>
        </w:trPr>
        <w:tc>
          <w:tcPr>
            <w:tcW w:w="844"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w:t>
            </w:r>
          </w:p>
        </w:tc>
        <w:tc>
          <w:tcPr>
            <w:tcW w:w="2117"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17" w:type="dxa"/>
            <w:tcBorders>
              <w:top w:val="single" w:color="auto" w:sz="6" w:space="0"/>
              <w:left w:val="single" w:color="auto" w:sz="4"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40"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97"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bl>
    <w:p>
      <w:pPr>
        <w:spacing w:before="60" w:after="60" w:line="460" w:lineRule="exact"/>
        <w:jc w:val="center"/>
        <w:rPr>
          <w:rFonts w:hint="eastAsia" w:ascii="宋体" w:hAnsi="宋体" w:eastAsia="宋体" w:cs="宋体"/>
          <w:b/>
          <w:bCs/>
          <w:color w:val="000000" w:themeColor="text1"/>
          <w:sz w:val="32"/>
          <w:szCs w:val="22"/>
          <w:highlight w:val="none"/>
          <w:lang w:val="en-US" w:eastAsia="zh-CN"/>
          <w14:textFill>
            <w14:solidFill>
              <w14:schemeClr w14:val="tx1"/>
            </w14:solidFill>
          </w14:textFill>
        </w:rPr>
      </w:pPr>
    </w:p>
    <w:p>
      <w:pPr>
        <w:spacing w:before="60" w:after="60" w:line="460" w:lineRule="exact"/>
        <w:jc w:val="center"/>
        <w:rPr>
          <w:rFonts w:hint="eastAsia" w:ascii="宋体" w:hAnsi="宋体" w:eastAsia="宋体" w:cs="宋体"/>
          <w:b/>
          <w:bCs/>
          <w:color w:val="000000" w:themeColor="text1"/>
          <w:sz w:val="32"/>
          <w:szCs w:val="22"/>
          <w:highlight w:val="none"/>
          <w:lang w:val="en-US" w:eastAsia="zh-CN"/>
          <w14:textFill>
            <w14:solidFill>
              <w14:schemeClr w14:val="tx1"/>
            </w14:solidFill>
          </w14:textFill>
        </w:rPr>
      </w:pPr>
    </w:p>
    <w:p>
      <w:pPr>
        <w:spacing w:before="60" w:after="60" w:line="460" w:lineRule="exact"/>
        <w:jc w:val="center"/>
        <w:rPr>
          <w:rFonts w:hint="eastAsia" w:ascii="宋体" w:hAnsi="宋体" w:eastAsia="宋体" w:cs="宋体"/>
          <w:b/>
          <w:bCs/>
          <w:color w:val="000000" w:themeColor="text1"/>
          <w:sz w:val="32"/>
          <w:szCs w:val="22"/>
          <w:highlight w:val="none"/>
          <w:lang w:val="en-US" w:eastAsia="zh-CN"/>
          <w14:textFill>
            <w14:solidFill>
              <w14:schemeClr w14:val="tx1"/>
            </w14:solidFill>
          </w14:textFill>
        </w:rPr>
      </w:pPr>
    </w:p>
    <w:p>
      <w:pPr>
        <w:rPr>
          <w:rFonts w:hint="eastAsia" w:ascii="宋体" w:hAnsi="宋体" w:eastAsia="宋体" w:cs="宋体"/>
          <w:b/>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en-US" w:eastAsia="zh-CN" w:bidi="ar-SA"/>
          <w14:textFill>
            <w14:solidFill>
              <w14:schemeClr w14:val="tx1"/>
            </w14:solidFill>
          </w14:textFill>
        </w:rPr>
        <w:br w:type="page"/>
      </w:r>
    </w:p>
    <w:p>
      <w:pPr>
        <w:spacing w:before="60" w:after="60" w:line="460" w:lineRule="exact"/>
        <w:jc w:val="center"/>
        <w:rPr>
          <w:rFonts w:hint="eastAsia" w:ascii="宋体" w:hAnsi="宋体" w:eastAsia="宋体" w:cs="宋体"/>
          <w:b/>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en-US" w:eastAsia="zh-CN" w:bidi="ar-SA"/>
          <w14:textFill>
            <w14:solidFill>
              <w14:schemeClr w14:val="tx1"/>
            </w14:solidFill>
          </w14:textFill>
        </w:rPr>
        <w:t>分项报价表</w:t>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                                           </w:t>
      </w:r>
    </w:p>
    <w:tbl>
      <w:tblPr>
        <w:tblStyle w:val="74"/>
        <w:tblW w:w="9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312"/>
        <w:gridCol w:w="704"/>
        <w:gridCol w:w="751"/>
        <w:gridCol w:w="1492"/>
        <w:gridCol w:w="855"/>
        <w:gridCol w:w="867"/>
        <w:gridCol w:w="1085"/>
        <w:gridCol w:w="1126"/>
        <w:gridCol w:w="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61" w:type="dxa"/>
            <w:noWrap w:val="0"/>
            <w:vAlign w:val="center"/>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序号</w:t>
            </w:r>
          </w:p>
        </w:tc>
        <w:tc>
          <w:tcPr>
            <w:tcW w:w="1312" w:type="dxa"/>
            <w:noWrap w:val="0"/>
            <w:vAlign w:val="center"/>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名称</w:t>
            </w:r>
          </w:p>
        </w:tc>
        <w:tc>
          <w:tcPr>
            <w:tcW w:w="704" w:type="dxa"/>
            <w:noWrap w:val="0"/>
            <w:vAlign w:val="center"/>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单位</w:t>
            </w:r>
          </w:p>
        </w:tc>
        <w:tc>
          <w:tcPr>
            <w:tcW w:w="751" w:type="dxa"/>
            <w:noWrap w:val="0"/>
            <w:vAlign w:val="center"/>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数量</w:t>
            </w:r>
          </w:p>
        </w:tc>
        <w:tc>
          <w:tcPr>
            <w:tcW w:w="1492" w:type="dxa"/>
            <w:noWrap w:val="0"/>
            <w:vAlign w:val="center"/>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规格型号及技术参数</w:t>
            </w:r>
          </w:p>
        </w:tc>
        <w:tc>
          <w:tcPr>
            <w:tcW w:w="855" w:type="dxa"/>
            <w:noWrap w:val="0"/>
            <w:vAlign w:val="center"/>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单价（元）</w:t>
            </w:r>
          </w:p>
        </w:tc>
        <w:tc>
          <w:tcPr>
            <w:tcW w:w="867" w:type="dxa"/>
            <w:noWrap w:val="0"/>
            <w:vAlign w:val="center"/>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合价（元）</w:t>
            </w:r>
          </w:p>
        </w:tc>
        <w:tc>
          <w:tcPr>
            <w:tcW w:w="1085" w:type="dxa"/>
            <w:noWrap w:val="0"/>
            <w:vAlign w:val="center"/>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产地</w:t>
            </w:r>
          </w:p>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品牌</w:t>
            </w:r>
          </w:p>
        </w:tc>
        <w:tc>
          <w:tcPr>
            <w:tcW w:w="1126" w:type="dxa"/>
            <w:noWrap w:val="0"/>
            <w:vAlign w:val="center"/>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生产厂家</w:t>
            </w:r>
          </w:p>
        </w:tc>
        <w:tc>
          <w:tcPr>
            <w:tcW w:w="767" w:type="dxa"/>
            <w:noWrap w:val="0"/>
            <w:vAlign w:val="center"/>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661" w:type="dxa"/>
            <w:noWrap w:val="0"/>
            <w:vAlign w:val="center"/>
          </w:tcPr>
          <w:p>
            <w:pPr>
              <w:pStyle w:val="50"/>
              <w:pBdr>
                <w:bottom w:val="none" w:color="auto" w:sz="0" w:space="0"/>
              </w:pBdr>
              <w:tabs>
                <w:tab w:val="clear" w:pos="4153"/>
                <w:tab w:val="clear" w:pos="8306"/>
              </w:tabs>
              <w:snapToGrid/>
              <w:spacing w:line="28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1</w:t>
            </w:r>
          </w:p>
        </w:tc>
        <w:tc>
          <w:tcPr>
            <w:tcW w:w="1312" w:type="dxa"/>
            <w:noWrap w:val="0"/>
            <w:vAlign w:val="center"/>
          </w:tcPr>
          <w:p>
            <w:pPr>
              <w:autoSpaceDN w:val="0"/>
              <w:spacing w:line="400" w:lineRule="exact"/>
              <w:jc w:val="center"/>
              <w:textAlignment w:val="center"/>
              <w:rPr>
                <w:rFonts w:hint="eastAsia" w:ascii="宋体" w:hAnsi="宋体" w:eastAsia="宋体" w:cs="宋体"/>
                <w:color w:val="000000" w:themeColor="text1"/>
                <w:sz w:val="22"/>
                <w:szCs w:val="22"/>
                <w:highlight w:val="none"/>
                <w14:textFill>
                  <w14:solidFill>
                    <w14:schemeClr w14:val="tx1"/>
                  </w14:solidFill>
                </w14:textFill>
              </w:rPr>
            </w:pPr>
          </w:p>
        </w:tc>
        <w:tc>
          <w:tcPr>
            <w:tcW w:w="704"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51"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492"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55"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67"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085"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126"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67"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61" w:type="dxa"/>
            <w:noWrap w:val="0"/>
            <w:vAlign w:val="center"/>
          </w:tcPr>
          <w:p>
            <w:pPr>
              <w:pStyle w:val="50"/>
              <w:pBdr>
                <w:bottom w:val="none" w:color="auto" w:sz="0" w:space="0"/>
              </w:pBdr>
              <w:tabs>
                <w:tab w:val="clear" w:pos="4153"/>
                <w:tab w:val="clear" w:pos="8306"/>
              </w:tabs>
              <w:snapToGrid/>
              <w:spacing w:line="28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2</w:t>
            </w:r>
          </w:p>
        </w:tc>
        <w:tc>
          <w:tcPr>
            <w:tcW w:w="1312" w:type="dxa"/>
            <w:noWrap w:val="0"/>
            <w:vAlign w:val="center"/>
          </w:tcPr>
          <w:p>
            <w:pPr>
              <w:autoSpaceDN w:val="0"/>
              <w:spacing w:line="400" w:lineRule="exact"/>
              <w:jc w:val="center"/>
              <w:textAlignment w:val="center"/>
              <w:rPr>
                <w:rFonts w:hint="eastAsia" w:ascii="宋体" w:hAnsi="宋体" w:eastAsia="宋体" w:cs="宋体"/>
                <w:color w:val="000000" w:themeColor="text1"/>
                <w:sz w:val="22"/>
                <w:szCs w:val="22"/>
                <w:highlight w:val="none"/>
                <w14:textFill>
                  <w14:solidFill>
                    <w14:schemeClr w14:val="tx1"/>
                  </w14:solidFill>
                </w14:textFill>
              </w:rPr>
            </w:pPr>
          </w:p>
        </w:tc>
        <w:tc>
          <w:tcPr>
            <w:tcW w:w="704"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51"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492"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55"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67"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085"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126"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67"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61" w:type="dxa"/>
            <w:noWrap w:val="0"/>
            <w:vAlign w:val="center"/>
          </w:tcPr>
          <w:p>
            <w:pPr>
              <w:pStyle w:val="50"/>
              <w:pBdr>
                <w:bottom w:val="none" w:color="auto" w:sz="0" w:space="0"/>
              </w:pBdr>
              <w:tabs>
                <w:tab w:val="clear" w:pos="4153"/>
                <w:tab w:val="clear" w:pos="8306"/>
              </w:tabs>
              <w:snapToGrid/>
              <w:spacing w:line="28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3</w:t>
            </w:r>
          </w:p>
        </w:tc>
        <w:tc>
          <w:tcPr>
            <w:tcW w:w="1312" w:type="dxa"/>
            <w:noWrap w:val="0"/>
            <w:vAlign w:val="center"/>
          </w:tcPr>
          <w:p>
            <w:pPr>
              <w:autoSpaceDN w:val="0"/>
              <w:spacing w:line="400" w:lineRule="exact"/>
              <w:jc w:val="center"/>
              <w:textAlignment w:val="center"/>
              <w:rPr>
                <w:rFonts w:hint="eastAsia" w:ascii="宋体" w:hAnsi="宋体" w:eastAsia="宋体" w:cs="宋体"/>
                <w:color w:val="000000" w:themeColor="text1"/>
                <w:sz w:val="22"/>
                <w:szCs w:val="22"/>
                <w:highlight w:val="none"/>
                <w14:textFill>
                  <w14:solidFill>
                    <w14:schemeClr w14:val="tx1"/>
                  </w14:solidFill>
                </w14:textFill>
              </w:rPr>
            </w:pPr>
          </w:p>
        </w:tc>
        <w:tc>
          <w:tcPr>
            <w:tcW w:w="704"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51"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492"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55"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67"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085"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126"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67"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61" w:type="dxa"/>
            <w:noWrap w:val="0"/>
            <w:vAlign w:val="center"/>
          </w:tcPr>
          <w:p>
            <w:pPr>
              <w:pStyle w:val="50"/>
              <w:pBdr>
                <w:bottom w:val="none" w:color="auto" w:sz="0" w:space="0"/>
              </w:pBdr>
              <w:tabs>
                <w:tab w:val="clear" w:pos="4153"/>
                <w:tab w:val="clear" w:pos="8306"/>
              </w:tabs>
              <w:snapToGrid/>
              <w:spacing w:line="28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w:t>
            </w:r>
          </w:p>
        </w:tc>
        <w:tc>
          <w:tcPr>
            <w:tcW w:w="1312"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04"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51"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492"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55"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67"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085"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126"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67"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61" w:type="dxa"/>
            <w:noWrap w:val="0"/>
            <w:vAlign w:val="center"/>
          </w:tcPr>
          <w:p>
            <w:pPr>
              <w:pStyle w:val="50"/>
              <w:pBdr>
                <w:bottom w:val="none" w:color="auto" w:sz="0" w:space="0"/>
              </w:pBdr>
              <w:tabs>
                <w:tab w:val="clear" w:pos="4153"/>
                <w:tab w:val="clear" w:pos="8306"/>
              </w:tabs>
              <w:snapToGrid/>
              <w:spacing w:line="280" w:lineRule="exact"/>
              <w:rPr>
                <w:rFonts w:hint="eastAsia" w:ascii="宋体" w:hAnsi="宋体" w:eastAsia="宋体" w:cs="宋体"/>
                <w:color w:val="000000" w:themeColor="text1"/>
                <w:sz w:val="22"/>
                <w:szCs w:val="22"/>
                <w:highlight w:val="none"/>
                <w14:textFill>
                  <w14:solidFill>
                    <w14:schemeClr w14:val="tx1"/>
                  </w14:solidFill>
                </w14:textFill>
              </w:rPr>
            </w:pPr>
          </w:p>
        </w:tc>
        <w:tc>
          <w:tcPr>
            <w:tcW w:w="1312"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04"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51"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492"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55"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67"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085"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126"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67"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61" w:type="dxa"/>
            <w:noWrap w:val="0"/>
            <w:vAlign w:val="center"/>
          </w:tcPr>
          <w:p>
            <w:pPr>
              <w:pStyle w:val="50"/>
              <w:pBdr>
                <w:bottom w:val="none" w:color="auto" w:sz="0" w:space="0"/>
              </w:pBdr>
              <w:tabs>
                <w:tab w:val="clear" w:pos="4153"/>
                <w:tab w:val="clear" w:pos="8306"/>
              </w:tabs>
              <w:snapToGrid/>
              <w:spacing w:line="280" w:lineRule="exact"/>
              <w:rPr>
                <w:rFonts w:hint="eastAsia" w:ascii="宋体" w:hAnsi="宋体" w:eastAsia="宋体" w:cs="宋体"/>
                <w:color w:val="000000" w:themeColor="text1"/>
                <w:sz w:val="22"/>
                <w:szCs w:val="22"/>
                <w:highlight w:val="none"/>
                <w14:textFill>
                  <w14:solidFill>
                    <w14:schemeClr w14:val="tx1"/>
                  </w14:solidFill>
                </w14:textFill>
              </w:rPr>
            </w:pPr>
          </w:p>
        </w:tc>
        <w:tc>
          <w:tcPr>
            <w:tcW w:w="1312"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04"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51"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492"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55"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67" w:type="dxa"/>
            <w:noWrap w:val="0"/>
            <w:vAlign w:val="center"/>
          </w:tcPr>
          <w:p>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085"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126"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67" w:type="dxa"/>
            <w:noWrap w:val="0"/>
            <w:vAlign w:val="center"/>
          </w:tcPr>
          <w:p>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1973" w:type="dxa"/>
            <w:gridSpan w:val="2"/>
            <w:noWrap w:val="0"/>
            <w:vAlign w:val="center"/>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报价合计</w:t>
            </w:r>
          </w:p>
        </w:tc>
        <w:tc>
          <w:tcPr>
            <w:tcW w:w="7647" w:type="dxa"/>
            <w:gridSpan w:val="8"/>
            <w:noWrap w:val="0"/>
            <w:vAlign w:val="center"/>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大写：                                小写：        万元</w:t>
            </w:r>
          </w:p>
        </w:tc>
      </w:tr>
    </w:tbl>
    <w:p>
      <w:pPr>
        <w:pStyle w:val="31"/>
        <w:tabs>
          <w:tab w:val="left" w:pos="5284"/>
          <w:tab w:val="left" w:pos="9519"/>
        </w:tabs>
        <w:spacing w:line="360" w:lineRule="auto"/>
        <w:ind w:left="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p>
    <w:p>
      <w:pPr>
        <w:pStyle w:val="31"/>
        <w:tabs>
          <w:tab w:val="left" w:pos="5284"/>
          <w:tab w:val="left" w:pos="9519"/>
        </w:tabs>
        <w:spacing w:line="360" w:lineRule="auto"/>
        <w:ind w:left="0"/>
        <w:rPr>
          <w:rFonts w:asciiTheme="minorEastAsia" w:hAnsiTheme="minorEastAsia" w:eastAsiaTheme="minorEastAsia" w:cstheme="minorEastAsia"/>
          <w:color w:val="auto"/>
          <w:sz w:val="22"/>
          <w:szCs w:val="22"/>
          <w:highlight w:val="none"/>
          <w:u w:val="single"/>
        </w:rPr>
      </w:pPr>
      <w:r>
        <w:rPr>
          <w:rFonts w:hint="eastAsia" w:asciiTheme="minorEastAsia" w:hAnsiTheme="minorEastAsia" w:eastAsiaTheme="minorEastAsia" w:cstheme="minorEastAsia"/>
          <w:color w:val="auto"/>
          <w:sz w:val="22"/>
          <w:szCs w:val="22"/>
          <w:highlight w:val="none"/>
          <w:lang w:eastAsia="zh-CN"/>
        </w:rPr>
        <w:t>投标人</w:t>
      </w:r>
      <w:r>
        <w:rPr>
          <w:rFonts w:hint="eastAsia" w:asciiTheme="minorEastAsia" w:hAnsiTheme="minorEastAsia" w:eastAsiaTheme="minorEastAsia" w:cstheme="minorEastAsia"/>
          <w:color w:val="auto"/>
          <w:sz w:val="22"/>
          <w:szCs w:val="22"/>
          <w:highlight w:val="none"/>
        </w:rPr>
        <w:t>名称（公章）：</w:t>
      </w:r>
      <w:r>
        <w:rPr>
          <w:rFonts w:hint="eastAsia" w:asciiTheme="minorEastAsia" w:hAnsiTheme="minorEastAsia" w:eastAsiaTheme="minorEastAsia" w:cstheme="minorEastAsia"/>
          <w:color w:val="auto"/>
          <w:sz w:val="22"/>
          <w:szCs w:val="22"/>
          <w:highlight w:val="none"/>
          <w:u w:val="single"/>
        </w:rPr>
        <w:t xml:space="preserve">           </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auto"/>
          <w:sz w:val="22"/>
          <w:szCs w:val="22"/>
          <w:highlight w:val="none"/>
        </w:rPr>
        <w:t>法定代表人</w:t>
      </w:r>
      <w:r>
        <w:rPr>
          <w:rFonts w:hint="eastAsia" w:asciiTheme="minorEastAsia" w:hAnsiTheme="minorEastAsia" w:eastAsiaTheme="minorEastAsia" w:cstheme="minorEastAsia"/>
          <w:color w:val="auto"/>
          <w:sz w:val="22"/>
          <w:szCs w:val="22"/>
          <w:highlight w:val="none"/>
          <w:lang w:eastAsia="zh-CN"/>
        </w:rPr>
        <w:t>及</w:t>
      </w:r>
      <w:r>
        <w:rPr>
          <w:rFonts w:hint="eastAsia" w:asciiTheme="minorEastAsia" w:hAnsiTheme="minorEastAsia" w:eastAsiaTheme="minorEastAsia" w:cstheme="minorEastAsia"/>
          <w:color w:val="auto"/>
          <w:sz w:val="22"/>
          <w:szCs w:val="22"/>
          <w:highlight w:val="none"/>
        </w:rPr>
        <w:t>授权代表签字：</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u w:val="single"/>
          <w:lang w:val="en-US" w:eastAsia="zh-CN"/>
        </w:rPr>
        <w:t xml:space="preserve">    </w:t>
      </w:r>
      <w:r>
        <w:rPr>
          <w:rFonts w:hint="eastAsia" w:asciiTheme="minorEastAsia" w:hAnsiTheme="minorEastAsia" w:eastAsiaTheme="minorEastAsia" w:cstheme="minorEastAsia"/>
          <w:color w:val="auto"/>
          <w:sz w:val="22"/>
          <w:szCs w:val="22"/>
          <w:highlight w:val="none"/>
          <w:u w:val="single"/>
        </w:rPr>
        <w:tab/>
      </w:r>
      <w:r>
        <w:rPr>
          <w:rFonts w:hint="eastAsia" w:ascii="宋体" w:hAnsi="宋体" w:eastAsia="宋体" w:cs="宋体"/>
          <w:color w:val="000000" w:themeColor="text1"/>
          <w:sz w:val="24"/>
          <w:szCs w:val="24"/>
          <w:highlight w:val="none"/>
          <w14:textFill>
            <w14:solidFill>
              <w14:schemeClr w14:val="tx1"/>
            </w14:solidFill>
          </w14:textFill>
        </w:rPr>
        <w:t xml:space="preserve">                </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备注：1、请根据项目说明填写此表</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投标人必须对所投的所有内容进行报价，不得漏项、删项，否则视为没有实质性响应招标文件，按无效投标处理。</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2、单价中包含货物供应直至验收合格交付使用的所有费用。</w:t>
      </w:r>
    </w:p>
    <w:p>
      <w:pPr>
        <w:spacing w:line="600" w:lineRule="exact"/>
        <w:jc w:val="center"/>
        <w:rPr>
          <w:rFonts w:hint="eastAsia" w:ascii="宋体" w:hAnsi="宋体" w:eastAsia="宋体" w:cs="宋体"/>
          <w:b/>
          <w:bCs/>
          <w:color w:val="000000" w:themeColor="text1"/>
          <w:sz w:val="24"/>
          <w:szCs w:val="24"/>
          <w:highlight w:val="none"/>
          <w14:textFill>
            <w14:solidFill>
              <w14:schemeClr w14:val="tx1"/>
            </w14:solidFill>
          </w14:textFill>
        </w:rPr>
      </w:pPr>
    </w:p>
    <w:p>
      <w:pPr>
        <w:jc w:val="center"/>
        <w:rPr>
          <w:rFonts w:hint="eastAsia" w:ascii="宋体" w:hAnsi="宋体" w:eastAsia="宋体" w:cs="宋体"/>
          <w:b/>
          <w:bCs/>
          <w:color w:val="000000" w:themeColor="text1"/>
          <w:sz w:val="30"/>
          <w:szCs w:val="22"/>
          <w:highlight w:val="none"/>
          <w14:textFill>
            <w14:solidFill>
              <w14:schemeClr w14:val="tx1"/>
            </w14:solidFill>
          </w14:textFill>
        </w:rPr>
      </w:pPr>
    </w:p>
    <w:bookmarkEnd w:id="65"/>
    <w:bookmarkEnd w:id="66"/>
    <w:bookmarkEnd w:id="67"/>
    <w:p>
      <w:pPr>
        <w:rPr>
          <w:rFonts w:hint="eastAsia" w:ascii="宋体" w:hAnsi="宋体" w:eastAsia="宋体" w:cs="宋体"/>
          <w:b/>
          <w:color w:val="000000" w:themeColor="text1"/>
          <w:sz w:val="30"/>
          <w:szCs w:val="30"/>
          <w:highlight w:val="none"/>
          <w14:textFill>
            <w14:solidFill>
              <w14:schemeClr w14:val="tx1"/>
            </w14:solidFill>
          </w14:textFill>
        </w:rPr>
      </w:pPr>
      <w:bookmarkStart w:id="68" w:name="_Toc111014540"/>
      <w:bookmarkStart w:id="69" w:name="_Toc111014370"/>
      <w:bookmarkStart w:id="70" w:name="_Toc111014466"/>
      <w:r>
        <w:rPr>
          <w:rFonts w:hint="eastAsia" w:ascii="宋体" w:hAnsi="宋体" w:eastAsia="宋体" w:cs="宋体"/>
          <w:b/>
          <w:color w:val="000000" w:themeColor="text1"/>
          <w:sz w:val="30"/>
          <w:szCs w:val="30"/>
          <w:highlight w:val="none"/>
          <w14:textFill>
            <w14:solidFill>
              <w14:schemeClr w14:val="tx1"/>
            </w14:solidFill>
          </w14:textFill>
        </w:rPr>
        <w:br w:type="page"/>
      </w:r>
    </w:p>
    <w:p>
      <w:pPr>
        <w:jc w:val="center"/>
        <w:outlineLvl w:val="0"/>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lang w:eastAsia="zh-CN"/>
          <w14:textFill>
            <w14:solidFill>
              <w14:schemeClr w14:val="tx1"/>
            </w14:solidFill>
          </w14:textFill>
        </w:rPr>
        <w:t>投标人</w:t>
      </w:r>
      <w:r>
        <w:rPr>
          <w:rFonts w:hint="eastAsia" w:ascii="宋体" w:hAnsi="宋体" w:eastAsia="宋体" w:cs="宋体"/>
          <w:b/>
          <w:color w:val="000000" w:themeColor="text1"/>
          <w:sz w:val="30"/>
          <w:szCs w:val="30"/>
          <w:highlight w:val="none"/>
          <w14:textFill>
            <w14:solidFill>
              <w14:schemeClr w14:val="tx1"/>
            </w14:solidFill>
          </w14:textFill>
        </w:rPr>
        <w:t>资格审查统计表</w:t>
      </w:r>
      <w:bookmarkEnd w:id="68"/>
      <w:bookmarkEnd w:id="69"/>
      <w:bookmarkEnd w:id="70"/>
    </w:p>
    <w:p>
      <w:pPr>
        <w:adjustRightInd w:val="0"/>
        <w:snapToGrid w:val="0"/>
        <w:spacing w:line="360" w:lineRule="auto"/>
        <w:ind w:firstLine="422" w:firstLineChars="200"/>
        <w:rPr>
          <w:rFonts w:hint="eastAsia" w:asciiTheme="minorEastAsia" w:hAnsiTheme="minorEastAsia" w:eastAsiaTheme="minorEastAsia"/>
          <w:b/>
          <w:bCs/>
          <w:color w:val="auto"/>
          <w:highlight w:val="none"/>
          <w:lang w:eastAsia="zh-CN"/>
        </w:rPr>
      </w:pPr>
      <w:r>
        <w:rPr>
          <w:rFonts w:hint="eastAsia" w:asciiTheme="minorEastAsia" w:hAnsiTheme="minorEastAsia" w:eastAsiaTheme="minorEastAsia"/>
          <w:b/>
          <w:bCs/>
          <w:color w:val="auto"/>
          <w:highlight w:val="none"/>
          <w:lang w:eastAsia="zh-CN"/>
        </w:rPr>
        <w:t>投标人</w:t>
      </w:r>
      <w:r>
        <w:rPr>
          <w:rFonts w:hint="eastAsia" w:asciiTheme="minorEastAsia" w:hAnsiTheme="minorEastAsia" w:eastAsiaTheme="minorEastAsia"/>
          <w:b/>
          <w:bCs/>
          <w:color w:val="auto"/>
          <w:highlight w:val="none"/>
        </w:rPr>
        <w:t xml:space="preserve">名称：                           </w:t>
      </w:r>
      <w:r>
        <w:rPr>
          <w:rFonts w:hint="eastAsia" w:asciiTheme="minorEastAsia" w:hAnsiTheme="minorEastAsia" w:eastAsiaTheme="minorEastAsia"/>
          <w:b/>
          <w:bCs/>
          <w:color w:val="auto"/>
          <w:highlight w:val="none"/>
          <w:lang w:val="en-US" w:eastAsia="zh-CN"/>
        </w:rPr>
        <w:t xml:space="preserve">         </w:t>
      </w:r>
      <w:r>
        <w:rPr>
          <w:rFonts w:hint="eastAsia" w:asciiTheme="minorEastAsia" w:hAnsiTheme="minorEastAsia" w:eastAsiaTheme="minorEastAsia"/>
          <w:b/>
          <w:bCs/>
          <w:color w:val="auto"/>
          <w:highlight w:val="none"/>
          <w:lang w:eastAsia="zh-CN"/>
        </w:rPr>
        <w:t>项目编号：</w:t>
      </w:r>
    </w:p>
    <w:tbl>
      <w:tblPr>
        <w:tblStyle w:val="74"/>
        <w:tblpPr w:leftFromText="180" w:rightFromText="180" w:vertAnchor="text" w:horzAnchor="page" w:tblpXSpec="center" w:tblpY="413"/>
        <w:tblOverlap w:val="never"/>
        <w:tblW w:w="99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9"/>
        <w:gridCol w:w="1528"/>
        <w:gridCol w:w="5049"/>
        <w:gridCol w:w="1534"/>
        <w:gridCol w:w="10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 w:hRule="atLeast"/>
          <w:jc w:val="center"/>
        </w:trPr>
        <w:tc>
          <w:tcPr>
            <w:tcW w:w="809"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6577" w:type="dxa"/>
            <w:gridSpan w:val="2"/>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tc>
        <w:tc>
          <w:tcPr>
            <w:tcW w:w="1534"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内容</w:t>
            </w:r>
          </w:p>
        </w:tc>
        <w:tc>
          <w:tcPr>
            <w:tcW w:w="1017"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检验</w:t>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结果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 w:hRule="atLeast"/>
          <w:jc w:val="center"/>
        </w:trPr>
        <w:tc>
          <w:tcPr>
            <w:tcW w:w="809"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6577" w:type="dxa"/>
            <w:gridSpan w:val="2"/>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营业执照；</w:t>
            </w:r>
          </w:p>
        </w:tc>
        <w:tc>
          <w:tcPr>
            <w:tcW w:w="1534"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是否提供□</w:t>
            </w:r>
          </w:p>
        </w:tc>
        <w:tc>
          <w:tcPr>
            <w:tcW w:w="1017" w:type="dxa"/>
            <w:vAlign w:val="center"/>
          </w:tcPr>
          <w:p>
            <w:pPr>
              <w:jc w:val="cente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7" w:hRule="atLeast"/>
          <w:jc w:val="center"/>
        </w:trPr>
        <w:tc>
          <w:tcPr>
            <w:tcW w:w="809" w:type="dxa"/>
            <w:vAlign w:val="center"/>
          </w:tcPr>
          <w:p>
            <w:pPr>
              <w:jc w:val="center"/>
              <w:rPr>
                <w:rFonts w:hint="eastAsia" w:ascii="宋体" w:hAnsi="宋体" w:eastAsia="宋体" w:cs="宋体"/>
                <w:sz w:val="24"/>
                <w:szCs w:val="24"/>
                <w:highlight w:val="none"/>
              </w:rPr>
            </w:pPr>
          </w:p>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2</w:t>
            </w:r>
          </w:p>
        </w:tc>
        <w:tc>
          <w:tcPr>
            <w:tcW w:w="6577" w:type="dxa"/>
            <w:gridSpan w:val="2"/>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财务状况证明。是指提供</w:t>
            </w:r>
            <w:r>
              <w:rPr>
                <w:rFonts w:hint="eastAsia" w:ascii="宋体" w:hAnsi="宋体" w:eastAsia="宋体" w:cs="宋体"/>
                <w:sz w:val="24"/>
                <w:szCs w:val="24"/>
                <w:highlight w:val="none"/>
                <w:lang w:val="en-US" w:eastAsia="zh-CN"/>
              </w:rPr>
              <w:t>2021年度或2022年度</w:t>
            </w:r>
            <w:r>
              <w:rPr>
                <w:rFonts w:hint="eastAsia" w:ascii="宋体" w:hAnsi="宋体" w:eastAsia="宋体" w:cs="宋体"/>
                <w:sz w:val="24"/>
                <w:szCs w:val="24"/>
                <w:highlight w:val="none"/>
                <w:lang w:val="zh-CN"/>
              </w:rPr>
              <w:t>财务状况报告证明，财务报告或财务报告表（利润表、资产负债表、现金流量表）或银行开具的资信证明；（</w:t>
            </w:r>
            <w:r>
              <w:rPr>
                <w:rFonts w:hint="eastAsia" w:asciiTheme="minorEastAsia" w:hAnsiTheme="minorEastAsia" w:eastAsiaTheme="minorEastAsia" w:cstheme="minorEastAsia"/>
                <w:sz w:val="24"/>
                <w:szCs w:val="24"/>
                <w:highlight w:val="none"/>
              </w:rPr>
              <w:t>新成立公司提供成立日期以来的财务报表</w:t>
            </w:r>
            <w:r>
              <w:rPr>
                <w:rFonts w:hint="eastAsia" w:ascii="宋体" w:hAnsi="宋体" w:eastAsia="宋体" w:cs="宋体"/>
                <w:sz w:val="24"/>
                <w:szCs w:val="24"/>
                <w:highlight w:val="none"/>
                <w:lang w:val="zh-CN"/>
              </w:rPr>
              <w:t>）；</w:t>
            </w:r>
          </w:p>
        </w:tc>
        <w:tc>
          <w:tcPr>
            <w:tcW w:w="1534"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是否提供□</w:t>
            </w:r>
          </w:p>
        </w:tc>
        <w:tc>
          <w:tcPr>
            <w:tcW w:w="1017" w:type="dxa"/>
            <w:vAlign w:val="center"/>
          </w:tcPr>
          <w:p>
            <w:pPr>
              <w:jc w:val="cente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809" w:type="dxa"/>
            <w:vAlign w:val="center"/>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3</w:t>
            </w:r>
          </w:p>
        </w:tc>
        <w:tc>
          <w:tcPr>
            <w:tcW w:w="6577" w:type="dxa"/>
            <w:gridSpan w:val="2"/>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依法缴纳税收的证明。是指提供供应商近半年不少于一个月的缴税证明</w:t>
            </w:r>
            <w:r>
              <w:rPr>
                <w:rFonts w:hint="eastAsia" w:asciiTheme="minorEastAsia" w:hAnsiTheme="minorEastAsia" w:eastAsiaTheme="minorEastAsia" w:cstheme="minorEastAsia"/>
                <w:sz w:val="24"/>
                <w:szCs w:val="24"/>
                <w:highlight w:val="none"/>
              </w:rPr>
              <w:t>(以发布公告时间往前推算)</w:t>
            </w:r>
            <w:r>
              <w:rPr>
                <w:rFonts w:hint="eastAsia" w:ascii="宋体" w:hAnsi="宋体" w:eastAsia="宋体" w:cs="宋体"/>
                <w:sz w:val="24"/>
                <w:szCs w:val="24"/>
                <w:highlight w:val="none"/>
                <w:lang w:val="zh-CN"/>
              </w:rPr>
              <w:t>，为税务部门出具的完税凭证或交税证明或银行出具的“银行电子缴税付款凭证”（</w:t>
            </w:r>
            <w:r>
              <w:rPr>
                <w:rFonts w:hint="eastAsia" w:ascii="宋体" w:hAnsi="宋体" w:cs="宋体"/>
                <w:sz w:val="24"/>
                <w:szCs w:val="24"/>
                <w:highlight w:val="none"/>
                <w:lang w:val="zh-CN"/>
              </w:rPr>
              <w:t>依法</w:t>
            </w:r>
            <w:r>
              <w:rPr>
                <w:rFonts w:hint="eastAsia" w:ascii="宋体" w:hAnsi="宋体" w:cs="宋体"/>
                <w:sz w:val="24"/>
                <w:szCs w:val="20"/>
                <w:highlight w:val="none"/>
              </w:rPr>
              <w:t>免税企业须提供免税证明</w:t>
            </w:r>
            <w:r>
              <w:rPr>
                <w:rFonts w:hint="eastAsia" w:ascii="宋体" w:hAnsi="宋体" w:cs="宋体"/>
                <w:sz w:val="24"/>
                <w:szCs w:val="24"/>
                <w:highlight w:val="none"/>
                <w:lang w:val="zh-CN"/>
              </w:rPr>
              <w:t>，依法纳税或依法免税或无欠税证明</w:t>
            </w:r>
            <w:r>
              <w:rPr>
                <w:rFonts w:hint="eastAsia" w:ascii="宋体" w:hAnsi="宋体" w:eastAsia="宋体" w:cs="宋体"/>
                <w:sz w:val="24"/>
                <w:szCs w:val="24"/>
                <w:highlight w:val="none"/>
                <w:lang w:val="zh-CN"/>
              </w:rPr>
              <w:t>）</w:t>
            </w:r>
          </w:p>
        </w:tc>
        <w:tc>
          <w:tcPr>
            <w:tcW w:w="1534"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是否提供□</w:t>
            </w:r>
          </w:p>
        </w:tc>
        <w:tc>
          <w:tcPr>
            <w:tcW w:w="1017" w:type="dxa"/>
            <w:vAlign w:val="center"/>
          </w:tcPr>
          <w:p>
            <w:pPr>
              <w:jc w:val="cente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jc w:val="center"/>
        </w:trPr>
        <w:tc>
          <w:tcPr>
            <w:tcW w:w="809" w:type="dxa"/>
            <w:vAlign w:val="center"/>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4</w:t>
            </w:r>
          </w:p>
        </w:tc>
        <w:tc>
          <w:tcPr>
            <w:tcW w:w="6577" w:type="dxa"/>
            <w:gridSpan w:val="2"/>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依法缴纳社会保障资金的证明。是指提供供应商近半年不少于一个月</w:t>
            </w:r>
            <w:r>
              <w:rPr>
                <w:rFonts w:hint="eastAsia" w:asciiTheme="minorEastAsia" w:hAnsiTheme="minorEastAsia" w:eastAsiaTheme="minorEastAsia" w:cstheme="minorEastAsia"/>
                <w:sz w:val="24"/>
                <w:szCs w:val="24"/>
                <w:highlight w:val="none"/>
              </w:rPr>
              <w:t>(以发布公告时间往前推算)</w:t>
            </w:r>
            <w:r>
              <w:rPr>
                <w:rFonts w:hint="eastAsia" w:ascii="宋体" w:hAnsi="宋体" w:eastAsia="宋体" w:cs="宋体"/>
                <w:sz w:val="24"/>
                <w:szCs w:val="24"/>
                <w:highlight w:val="none"/>
                <w:lang w:val="zh-CN"/>
              </w:rPr>
              <w:t>的社会保障主管部门出具的社会保障缴纳证明或社会保障缴费清单或税务部门出具的完税凭证</w:t>
            </w:r>
          </w:p>
        </w:tc>
        <w:tc>
          <w:tcPr>
            <w:tcW w:w="1534" w:type="dxa"/>
            <w:vAlign w:val="center"/>
          </w:tcPr>
          <w:p>
            <w:pPr>
              <w:jc w:val="center"/>
              <w:rPr>
                <w:rFonts w:hint="eastAsia" w:ascii="宋体" w:hAnsi="宋体" w:eastAsia="宋体" w:cs="宋体"/>
                <w:sz w:val="24"/>
                <w:szCs w:val="24"/>
                <w:highlight w:val="none"/>
              </w:rPr>
            </w:pPr>
          </w:p>
          <w:p>
            <w:pPr>
              <w:jc w:val="center"/>
              <w:rPr>
                <w:rFonts w:hint="eastAsia" w:ascii="宋体" w:hAnsi="宋体" w:eastAsia="宋体" w:cs="宋体"/>
                <w:sz w:val="24"/>
                <w:szCs w:val="24"/>
                <w:highlight w:val="none"/>
              </w:rPr>
            </w:pP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是否提供□</w:t>
            </w:r>
          </w:p>
        </w:tc>
        <w:tc>
          <w:tcPr>
            <w:tcW w:w="1017" w:type="dxa"/>
            <w:vAlign w:val="center"/>
          </w:tcPr>
          <w:p>
            <w:pPr>
              <w:jc w:val="cente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jc w:val="center"/>
        </w:trPr>
        <w:tc>
          <w:tcPr>
            <w:tcW w:w="809" w:type="dxa"/>
            <w:vAlign w:val="center"/>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5</w:t>
            </w:r>
          </w:p>
        </w:tc>
        <w:tc>
          <w:tcPr>
            <w:tcW w:w="6577" w:type="dxa"/>
            <w:gridSpan w:val="2"/>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法定代表人的授权委托书及授权代表的身份证扫描件；若法定代表人参加，仅提供法定代表人身份证明书及法人的身份证原件扫描件；（格式见附件）；</w:t>
            </w:r>
          </w:p>
        </w:tc>
        <w:tc>
          <w:tcPr>
            <w:tcW w:w="1534" w:type="dxa"/>
            <w:vAlign w:val="center"/>
          </w:tcPr>
          <w:p>
            <w:pPr>
              <w:jc w:val="center"/>
              <w:rPr>
                <w:rFonts w:hint="eastAsia" w:ascii="宋体" w:hAnsi="宋体" w:eastAsia="宋体" w:cs="宋体"/>
                <w:sz w:val="24"/>
                <w:szCs w:val="24"/>
                <w:highlight w:val="none"/>
              </w:rPr>
            </w:pP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是否提供□</w:t>
            </w:r>
          </w:p>
        </w:tc>
        <w:tc>
          <w:tcPr>
            <w:tcW w:w="1017" w:type="dxa"/>
            <w:vAlign w:val="center"/>
          </w:tcPr>
          <w:p>
            <w:pPr>
              <w:jc w:val="cente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8" w:hRule="atLeast"/>
          <w:jc w:val="center"/>
        </w:trPr>
        <w:tc>
          <w:tcPr>
            <w:tcW w:w="809" w:type="dxa"/>
            <w:vAlign w:val="center"/>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6</w:t>
            </w:r>
          </w:p>
        </w:tc>
        <w:tc>
          <w:tcPr>
            <w:tcW w:w="6577" w:type="dxa"/>
            <w:gridSpan w:val="2"/>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具备履行合同所必需的设备和专业技术能力的证明材料。是指提供主要生产设备、检验设备表和主要技术、管理、服务人员数量表。格式见附件《履行合同的设备技术能力证明表》加盖公章；</w:t>
            </w:r>
          </w:p>
        </w:tc>
        <w:tc>
          <w:tcPr>
            <w:tcW w:w="1534"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是否提供□</w:t>
            </w:r>
          </w:p>
        </w:tc>
        <w:tc>
          <w:tcPr>
            <w:tcW w:w="1017" w:type="dxa"/>
            <w:vAlign w:val="center"/>
          </w:tcPr>
          <w:p>
            <w:pPr>
              <w:jc w:val="cente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jc w:val="center"/>
        </w:trPr>
        <w:tc>
          <w:tcPr>
            <w:tcW w:w="809" w:type="dxa"/>
            <w:vAlign w:val="center"/>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7</w:t>
            </w:r>
          </w:p>
        </w:tc>
        <w:tc>
          <w:tcPr>
            <w:tcW w:w="6577" w:type="dxa"/>
            <w:gridSpan w:val="2"/>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参加本次采购活动前3年内在经营活动中没有重大违法记录的声明和信用记录承诺。格式按《无重大违法记录声明》和《信用记录承诺函》；</w:t>
            </w:r>
          </w:p>
        </w:tc>
        <w:tc>
          <w:tcPr>
            <w:tcW w:w="1534"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是否提供□</w:t>
            </w:r>
          </w:p>
        </w:tc>
        <w:tc>
          <w:tcPr>
            <w:tcW w:w="1017" w:type="dxa"/>
            <w:vAlign w:val="center"/>
          </w:tcPr>
          <w:p>
            <w:pPr>
              <w:jc w:val="cente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809" w:type="dxa"/>
            <w:vAlign w:val="center"/>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8</w:t>
            </w:r>
          </w:p>
        </w:tc>
        <w:tc>
          <w:tcPr>
            <w:tcW w:w="6577" w:type="dxa"/>
            <w:gridSpan w:val="2"/>
            <w:vAlign w:val="center"/>
          </w:tcPr>
          <w:p>
            <w:pPr>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中小企业声明函》</w:t>
            </w:r>
          </w:p>
        </w:tc>
        <w:tc>
          <w:tcPr>
            <w:tcW w:w="1534"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是否提供□</w:t>
            </w:r>
          </w:p>
        </w:tc>
        <w:tc>
          <w:tcPr>
            <w:tcW w:w="1017" w:type="dxa"/>
            <w:vAlign w:val="center"/>
          </w:tcPr>
          <w:p>
            <w:pPr>
              <w:jc w:val="cente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 w:hRule="atLeast"/>
          <w:jc w:val="center"/>
        </w:trPr>
        <w:tc>
          <w:tcPr>
            <w:tcW w:w="8920" w:type="dxa"/>
            <w:gridSpan w:val="4"/>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是否审查合格</w:t>
            </w:r>
          </w:p>
        </w:tc>
        <w:tc>
          <w:tcPr>
            <w:tcW w:w="1017" w:type="dxa"/>
            <w:vAlign w:val="center"/>
          </w:tcPr>
          <w:p>
            <w:pPr>
              <w:jc w:val="cente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1" w:hRule="atLeast"/>
          <w:jc w:val="center"/>
        </w:trPr>
        <w:tc>
          <w:tcPr>
            <w:tcW w:w="2337" w:type="dxa"/>
            <w:gridSpan w:val="2"/>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核验人签字</w:t>
            </w:r>
          </w:p>
        </w:tc>
        <w:tc>
          <w:tcPr>
            <w:tcW w:w="7600" w:type="dxa"/>
            <w:gridSpan w:val="3"/>
            <w:vAlign w:val="center"/>
          </w:tcPr>
          <w:p>
            <w:pPr>
              <w:jc w:val="center"/>
              <w:rPr>
                <w:rFonts w:hint="eastAsia" w:ascii="宋体" w:hAnsi="宋体" w:eastAsia="宋体" w:cs="宋体"/>
                <w:sz w:val="24"/>
                <w:szCs w:val="24"/>
                <w:highlight w:val="none"/>
              </w:rPr>
            </w:pPr>
          </w:p>
        </w:tc>
      </w:tr>
    </w:tbl>
    <w:p>
      <w:pPr>
        <w:pStyle w:val="128"/>
        <w:numPr>
          <w:ilvl w:val="0"/>
          <w:numId w:val="0"/>
        </w:numPr>
        <w:tabs>
          <w:tab w:val="left" w:pos="1349"/>
        </w:tabs>
        <w:spacing w:before="0" w:line="360" w:lineRule="auto"/>
        <w:ind w:leftChars="200" w:firstLine="1004" w:firstLineChars="500"/>
        <w:rPr>
          <w:rFonts w:hint="eastAsia" w:asciiTheme="minorEastAsia" w:hAnsiTheme="minorEastAsia" w:eastAsiaTheme="minorEastAsia" w:cstheme="minorEastAsia"/>
          <w:b/>
          <w:color w:val="auto"/>
          <w:sz w:val="20"/>
          <w:highlight w:val="none"/>
          <w:lang w:eastAsia="zh-CN"/>
        </w:rPr>
      </w:pPr>
    </w:p>
    <w:p>
      <w:pPr>
        <w:spacing w:line="360" w:lineRule="auto"/>
        <w:ind w:left="844"/>
        <w:rPr>
          <w:rFonts w:hint="eastAsia" w:asciiTheme="minorEastAsia" w:hAnsiTheme="minorEastAsia" w:eastAsiaTheme="minorEastAsia" w:cstheme="minorEastAsia"/>
          <w:b/>
          <w:color w:val="auto"/>
          <w:sz w:val="20"/>
          <w:highlight w:val="none"/>
          <w:lang w:eastAsia="zh-CN"/>
        </w:rPr>
      </w:pPr>
      <w:r>
        <w:rPr>
          <w:rFonts w:hint="eastAsia" w:asciiTheme="minorEastAsia" w:hAnsiTheme="minorEastAsia" w:eastAsiaTheme="minorEastAsia" w:cstheme="minorEastAsia"/>
          <w:b/>
          <w:color w:val="auto"/>
          <w:w w:val="95"/>
          <w:sz w:val="20"/>
          <w:highlight w:val="none"/>
        </w:rPr>
        <w:t>备注：（1）此表格请</w:t>
      </w:r>
      <w:r>
        <w:rPr>
          <w:rFonts w:hint="eastAsia" w:asciiTheme="minorEastAsia" w:hAnsiTheme="minorEastAsia" w:eastAsiaTheme="minorEastAsia" w:cstheme="minorEastAsia"/>
          <w:b/>
          <w:color w:val="auto"/>
          <w:w w:val="95"/>
          <w:sz w:val="20"/>
          <w:highlight w:val="none"/>
          <w:lang w:eastAsia="zh-CN"/>
        </w:rPr>
        <w:t>投标人</w:t>
      </w:r>
      <w:r>
        <w:rPr>
          <w:rFonts w:hint="eastAsia" w:asciiTheme="minorEastAsia" w:hAnsiTheme="minorEastAsia" w:eastAsiaTheme="minorEastAsia" w:cstheme="minorEastAsia"/>
          <w:b/>
          <w:color w:val="auto"/>
          <w:w w:val="95"/>
          <w:sz w:val="20"/>
          <w:highlight w:val="none"/>
        </w:rPr>
        <w:t>如实填写完毕，上传至电子响应文件中</w:t>
      </w:r>
      <w:r>
        <w:rPr>
          <w:rFonts w:hint="eastAsia" w:asciiTheme="minorEastAsia" w:hAnsiTheme="minorEastAsia" w:eastAsiaTheme="minorEastAsia" w:cstheme="minorEastAsia"/>
          <w:b/>
          <w:color w:val="auto"/>
          <w:w w:val="95"/>
          <w:sz w:val="20"/>
          <w:highlight w:val="none"/>
          <w:lang w:eastAsia="zh-CN"/>
        </w:rPr>
        <w:t>投标所需其他材料</w:t>
      </w:r>
      <w:r>
        <w:rPr>
          <w:rFonts w:hint="eastAsia" w:asciiTheme="minorEastAsia" w:hAnsiTheme="minorEastAsia" w:eastAsiaTheme="minorEastAsia" w:cstheme="minorEastAsia"/>
          <w:b/>
          <w:color w:val="auto"/>
          <w:w w:val="95"/>
          <w:sz w:val="20"/>
          <w:highlight w:val="none"/>
        </w:rPr>
        <w:t>。</w:t>
      </w:r>
    </w:p>
    <w:p>
      <w:pPr>
        <w:pStyle w:val="128"/>
        <w:numPr>
          <w:ilvl w:val="0"/>
          <w:numId w:val="0"/>
        </w:numPr>
        <w:tabs>
          <w:tab w:val="left" w:pos="1349"/>
        </w:tabs>
        <w:spacing w:before="0" w:line="360" w:lineRule="auto"/>
        <w:ind w:leftChars="200" w:firstLine="1004" w:firstLineChars="500"/>
        <w:rPr>
          <w:rFonts w:asciiTheme="minorEastAsia" w:hAnsiTheme="minorEastAsia" w:eastAsiaTheme="minorEastAsia" w:cstheme="minorEastAsia"/>
          <w:b/>
          <w:color w:val="auto"/>
          <w:sz w:val="20"/>
          <w:highlight w:val="none"/>
        </w:rPr>
      </w:pPr>
      <w:r>
        <w:rPr>
          <w:rFonts w:hint="eastAsia" w:asciiTheme="minorEastAsia" w:hAnsiTheme="minorEastAsia" w:eastAsiaTheme="minorEastAsia" w:cstheme="minorEastAsia"/>
          <w:b/>
          <w:color w:val="auto"/>
          <w:sz w:val="20"/>
          <w:highlight w:val="none"/>
          <w:lang w:eastAsia="zh-CN"/>
        </w:rPr>
        <w:t>（</w:t>
      </w:r>
      <w:r>
        <w:rPr>
          <w:rFonts w:hint="eastAsia" w:asciiTheme="minorEastAsia" w:hAnsiTheme="minorEastAsia" w:eastAsiaTheme="minorEastAsia" w:cstheme="minorEastAsia"/>
          <w:b/>
          <w:color w:val="auto"/>
          <w:sz w:val="20"/>
          <w:highlight w:val="none"/>
          <w:lang w:val="en-US" w:eastAsia="zh-CN"/>
        </w:rPr>
        <w:t>2</w:t>
      </w:r>
      <w:r>
        <w:rPr>
          <w:rFonts w:hint="eastAsia" w:asciiTheme="minorEastAsia" w:hAnsiTheme="minorEastAsia" w:eastAsiaTheme="minorEastAsia" w:cstheme="minorEastAsia"/>
          <w:b/>
          <w:color w:val="auto"/>
          <w:sz w:val="20"/>
          <w:highlight w:val="none"/>
          <w:lang w:eastAsia="zh-CN"/>
        </w:rPr>
        <w:t>）</w:t>
      </w:r>
      <w:r>
        <w:rPr>
          <w:rFonts w:hint="eastAsia" w:asciiTheme="minorEastAsia" w:hAnsiTheme="minorEastAsia" w:eastAsiaTheme="minorEastAsia" w:cstheme="minorEastAsia"/>
          <w:b/>
          <w:color w:val="auto"/>
          <w:sz w:val="20"/>
          <w:highlight w:val="none"/>
        </w:rPr>
        <w:t>此表内容如果内容与资格要求不一致，以资格要求为准。</w:t>
      </w:r>
    </w:p>
    <w:p>
      <w:pPr>
        <w:spacing w:line="360" w:lineRule="auto"/>
        <w:ind w:firstLine="1405" w:firstLineChars="700"/>
        <w:rPr>
          <w:rFonts w:hint="eastAsia" w:asciiTheme="minorEastAsia" w:hAnsiTheme="minorEastAsia" w:eastAsiaTheme="minorEastAsia" w:cstheme="minorEastAsia"/>
          <w:b/>
          <w:color w:val="auto"/>
          <w:sz w:val="20"/>
          <w:highlight w:val="none"/>
        </w:rPr>
      </w:pPr>
      <w:r>
        <w:rPr>
          <w:rFonts w:hint="eastAsia" w:asciiTheme="minorEastAsia" w:hAnsiTheme="minorEastAsia" w:eastAsiaTheme="minorEastAsia" w:cstheme="minorEastAsia"/>
          <w:b/>
          <w:color w:val="auto"/>
          <w:sz w:val="20"/>
          <w:highlight w:val="none"/>
          <w:lang w:val="en-US" w:eastAsia="zh-CN"/>
        </w:rPr>
        <w:t>（3）</w:t>
      </w:r>
      <w:r>
        <w:rPr>
          <w:rFonts w:hint="eastAsia" w:asciiTheme="minorEastAsia" w:hAnsiTheme="minorEastAsia" w:eastAsiaTheme="minorEastAsia" w:cstheme="minorEastAsia"/>
          <w:b/>
          <w:color w:val="auto"/>
          <w:sz w:val="20"/>
          <w:highlight w:val="none"/>
        </w:rPr>
        <w:t>依法免税或不需要缴纳社会保障资金的，需提供相关证明文件。</w:t>
      </w:r>
    </w:p>
    <w:p>
      <w:pPr>
        <w:rPr>
          <w:rFonts w:hint="eastAsia" w:ascii="宋体" w:hAnsi="宋体" w:eastAsia="宋体" w:cs="宋体"/>
          <w:b/>
          <w:color w:val="000000" w:themeColor="text1"/>
          <w:sz w:val="24"/>
          <w:highlight w:val="none"/>
          <w:lang w:val="en-US" w:eastAsia="zh-CN"/>
          <w14:textFill>
            <w14:solidFill>
              <w14:schemeClr w14:val="tx1"/>
            </w14:solidFill>
          </w14:textFill>
        </w:rPr>
      </w:pPr>
    </w:p>
    <w:p>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r>
    </w:p>
    <w:p>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投标人需要加以说明的其他材料</w:t>
      </w:r>
    </w:p>
    <w:p>
      <w:pPr>
        <w:spacing w:line="360" w:lineRule="auto"/>
        <w:textAlignment w:val="center"/>
        <w:rPr>
          <w:rFonts w:ascii="宋体" w:hAnsi="宋体" w:cs="宋体"/>
          <w:color w:val="000000" w:themeColor="text1"/>
          <w:sz w:val="24"/>
          <w:highlight w:val="none"/>
          <w14:textFill>
            <w14:solidFill>
              <w14:schemeClr w14:val="tx1"/>
            </w14:solidFill>
          </w14:textFill>
        </w:rPr>
      </w:pPr>
    </w:p>
    <w:p>
      <w:pPr>
        <w:spacing w:line="360" w:lineRule="auto"/>
        <w:textAlignment w:val="center"/>
        <w:rPr>
          <w:rFonts w:ascii="宋体" w:hAnsi="宋体" w:cs="宋体"/>
          <w:color w:val="000000" w:themeColor="text1"/>
          <w:sz w:val="24"/>
          <w:highlight w:val="none"/>
          <w14:textFill>
            <w14:solidFill>
              <w14:schemeClr w14:val="tx1"/>
            </w14:solidFill>
          </w14:textFill>
        </w:rPr>
      </w:pPr>
    </w:p>
    <w:p>
      <w:pPr>
        <w:spacing w:line="360" w:lineRule="auto"/>
        <w:textAlignment w:val="center"/>
        <w:rPr>
          <w:rFonts w:ascii="宋体" w:hAnsi="宋体" w:cs="宋体"/>
          <w:color w:val="000000" w:themeColor="text1"/>
          <w:sz w:val="24"/>
          <w:highlight w:val="none"/>
          <w14:textFill>
            <w14:solidFill>
              <w14:schemeClr w14:val="tx1"/>
            </w14:solidFill>
          </w14:textFill>
        </w:rPr>
      </w:pPr>
    </w:p>
    <w:p>
      <w:pPr>
        <w:spacing w:line="360" w:lineRule="auto"/>
        <w:textAlignment w:val="center"/>
        <w:rPr>
          <w:rFonts w:ascii="宋体" w:hAnsi="宋体" w:cs="宋体"/>
          <w:color w:val="000000" w:themeColor="text1"/>
          <w:sz w:val="24"/>
          <w:highlight w:val="none"/>
          <w14:textFill>
            <w14:solidFill>
              <w14:schemeClr w14:val="tx1"/>
            </w14:solidFill>
          </w14:textFill>
        </w:rPr>
      </w:pPr>
    </w:p>
    <w:p>
      <w:pPr>
        <w:spacing w:line="360" w:lineRule="auto"/>
        <w:textAlignment w:val="center"/>
        <w:rPr>
          <w:rFonts w:ascii="宋体" w:hAnsi="宋体" w:cs="宋体"/>
          <w:color w:val="000000" w:themeColor="text1"/>
          <w:sz w:val="24"/>
          <w:highlight w:val="none"/>
          <w14:textFill>
            <w14:solidFill>
              <w14:schemeClr w14:val="tx1"/>
            </w14:solidFill>
          </w14:textFill>
        </w:rPr>
      </w:pPr>
    </w:p>
    <w:p>
      <w:pPr>
        <w:spacing w:line="360" w:lineRule="auto"/>
        <w:textAlignment w:val="center"/>
        <w:rPr>
          <w:rFonts w:ascii="宋体" w:hAnsi="宋体" w:cs="宋体"/>
          <w:color w:val="000000" w:themeColor="text1"/>
          <w:sz w:val="24"/>
          <w:highlight w:val="none"/>
          <w14:textFill>
            <w14:solidFill>
              <w14:schemeClr w14:val="tx1"/>
            </w14:solidFill>
          </w14:textFill>
        </w:rPr>
      </w:pPr>
    </w:p>
    <w:p>
      <w:pPr>
        <w:spacing w:line="360" w:lineRule="auto"/>
        <w:textAlignment w:val="center"/>
        <w:rPr>
          <w:rFonts w:ascii="宋体" w:hAnsi="宋体" w:cs="宋体"/>
          <w:color w:val="000000" w:themeColor="text1"/>
          <w:sz w:val="24"/>
          <w:highlight w:val="none"/>
          <w14:textFill>
            <w14:solidFill>
              <w14:schemeClr w14:val="tx1"/>
            </w14:solidFill>
          </w14:textFill>
        </w:rPr>
      </w:pPr>
    </w:p>
    <w:p>
      <w:pPr>
        <w:pStyle w:val="5"/>
        <w:outlineLvl w:val="9"/>
        <w:rPr>
          <w:rFonts w:ascii="宋体" w:hAnsi="宋体" w:cs="宋体"/>
          <w:color w:val="000000" w:themeColor="text1"/>
          <w:sz w:val="24"/>
          <w:highlight w:val="none"/>
          <w14:textFill>
            <w14:solidFill>
              <w14:schemeClr w14:val="tx1"/>
            </w14:solidFill>
          </w14:textFill>
        </w:rPr>
      </w:pPr>
    </w:p>
    <w:p>
      <w:pPr>
        <w:pStyle w:val="5"/>
        <w:outlineLvl w:val="9"/>
        <w:rPr>
          <w:color w:val="000000" w:themeColor="text1"/>
          <w:highlight w:val="none"/>
          <w14:textFill>
            <w14:solidFill>
              <w14:schemeClr w14:val="tx1"/>
            </w14:solidFill>
          </w14:textFill>
        </w:rPr>
      </w:pPr>
    </w:p>
    <w:p>
      <w:pPr>
        <w:spacing w:line="360" w:lineRule="auto"/>
        <w:textAlignment w:val="center"/>
        <w:rPr>
          <w:rFonts w:ascii="宋体" w:hAnsi="宋体" w:cs="宋体"/>
          <w:color w:val="000000" w:themeColor="text1"/>
          <w:sz w:val="24"/>
          <w:highlight w:val="none"/>
          <w14:textFill>
            <w14:solidFill>
              <w14:schemeClr w14:val="tx1"/>
            </w14:solidFill>
          </w14:textFill>
        </w:rPr>
      </w:pPr>
    </w:p>
    <w:p>
      <w:pPr>
        <w:rPr>
          <w:rFonts w:hint="eastAsia" w:ascii="宋体" w:hAnsi="宋体" w:cs="宋体"/>
          <w:b/>
          <w:color w:val="000000" w:themeColor="text1"/>
          <w:sz w:val="32"/>
          <w:highlight w:val="none"/>
          <w14:textFill>
            <w14:solidFill>
              <w14:schemeClr w14:val="tx1"/>
            </w14:solidFill>
          </w14:textFill>
        </w:rPr>
      </w:pPr>
      <w:bookmarkStart w:id="71" w:name="_Toc171496388"/>
      <w:r>
        <w:rPr>
          <w:rFonts w:hint="eastAsia" w:ascii="宋体" w:hAnsi="宋体" w:cs="宋体"/>
          <w:b/>
          <w:color w:val="000000" w:themeColor="text1"/>
          <w:sz w:val="32"/>
          <w:highlight w:val="none"/>
          <w14:textFill>
            <w14:solidFill>
              <w14:schemeClr w14:val="tx1"/>
            </w14:solidFill>
          </w14:textFill>
        </w:rPr>
        <w:br w:type="page"/>
      </w:r>
    </w:p>
    <w:p>
      <w:pPr>
        <w:spacing w:line="440" w:lineRule="exact"/>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政府采购政策：</w:t>
      </w:r>
      <w:bookmarkEnd w:id="71"/>
    </w:p>
    <w:p>
      <w:pPr>
        <w:pStyle w:val="73"/>
        <w:rPr>
          <w:rFonts w:hint="eastAsia"/>
          <w:highlight w:val="none"/>
        </w:rPr>
      </w:pPr>
    </w:p>
    <w:p>
      <w:pPr>
        <w:ind w:firstLine="482"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如涉及节能环保产品、小型和微型企业、监狱企业、残疾人福利性单位产品，请将相关表格及材料上传至电子投标文件相应模块。（除涉及强制性节能环保产品外，没有可不提供）</w:t>
      </w:r>
    </w:p>
    <w:p>
      <w:pPr>
        <w:spacing w:line="360" w:lineRule="auto"/>
        <w:jc w:val="center"/>
        <w:rPr>
          <w:rFonts w:hint="eastAsia" w:ascii="宋体" w:hAnsi="宋体" w:eastAsia="宋体" w:cs="宋体"/>
          <w:b/>
          <w:color w:val="000000" w:themeColor="text1"/>
          <w:sz w:val="30"/>
          <w:szCs w:val="30"/>
          <w:highlight w:val="none"/>
          <w14:textFill>
            <w14:solidFill>
              <w14:schemeClr w14:val="tx1"/>
            </w14:solidFill>
          </w14:textFill>
        </w:rPr>
      </w:pPr>
    </w:p>
    <w:p>
      <w:pPr>
        <w:spacing w:line="360" w:lineRule="auto"/>
        <w:jc w:val="cente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1.强制采购节能产品明细表       </w:t>
      </w:r>
    </w:p>
    <w:tbl>
      <w:tblPr>
        <w:tblStyle w:val="74"/>
        <w:tblW w:w="9580" w:type="dxa"/>
        <w:tblInd w:w="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1380"/>
        <w:gridCol w:w="1263"/>
        <w:gridCol w:w="2328"/>
        <w:gridCol w:w="1127"/>
        <w:gridCol w:w="1386"/>
        <w:gridCol w:w="1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47"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1380"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货物名称</w:t>
            </w:r>
          </w:p>
        </w:tc>
        <w:tc>
          <w:tcPr>
            <w:tcW w:w="1263"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型号/规格</w:t>
            </w:r>
          </w:p>
        </w:tc>
        <w:tc>
          <w:tcPr>
            <w:tcW w:w="2328"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节字标志认证证书号</w:t>
            </w:r>
          </w:p>
        </w:tc>
        <w:tc>
          <w:tcPr>
            <w:tcW w:w="1127"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数量</w:t>
            </w:r>
          </w:p>
        </w:tc>
        <w:tc>
          <w:tcPr>
            <w:tcW w:w="1386"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单价（元）</w:t>
            </w:r>
          </w:p>
        </w:tc>
        <w:tc>
          <w:tcPr>
            <w:tcW w:w="1449"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4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38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263"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232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12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38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44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64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138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2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23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127" w:type="dxa"/>
            <w:tcBorders>
              <w:top w:val="single" w:color="auto" w:sz="4" w:space="0"/>
              <w:left w:val="single" w:color="auto" w:sz="4" w:space="0"/>
              <w:bottom w:val="single" w:color="auto" w:sz="4" w:space="0"/>
              <w:right w:val="single" w:color="auto" w:sz="4" w:space="0"/>
            </w:tcBorders>
            <w:noWrap w:val="0"/>
            <w:vAlign w:val="center"/>
          </w:tcPr>
          <w:p>
            <w:pPr>
              <w:spacing w:line="360" w:lineRule="auto"/>
              <w:ind w:right="-346" w:rightChars="-165"/>
              <w:jc w:val="center"/>
              <w:rPr>
                <w:rFonts w:hint="eastAsia" w:ascii="宋体" w:hAnsi="宋体" w:eastAsia="宋体" w:cs="宋体"/>
                <w:color w:val="000000" w:themeColor="text1"/>
                <w:highlight w:val="none"/>
                <w14:textFill>
                  <w14:solidFill>
                    <w14:schemeClr w14:val="tx1"/>
                  </w14:solidFill>
                </w14:textFill>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4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64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138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2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23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12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4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64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138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2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23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12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44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618"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强制节能产品总价（元）</w:t>
            </w:r>
          </w:p>
        </w:tc>
        <w:tc>
          <w:tcPr>
            <w:tcW w:w="3962"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r>
    </w:tbl>
    <w:p>
      <w:pPr>
        <w:spacing w:line="360" w:lineRule="auto"/>
        <w:rPr>
          <w:rFonts w:hint="eastAsia" w:ascii="宋体" w:hAnsi="宋体" w:eastAsia="宋体" w:cs="宋体"/>
          <w:color w:val="000000" w:themeColor="text1"/>
          <w:sz w:val="24"/>
          <w:highlight w:val="none"/>
          <w14:textFill>
            <w14:solidFill>
              <w14:schemeClr w14:val="tx1"/>
            </w14:solidFill>
          </w14:textFill>
        </w:rPr>
      </w:pPr>
    </w:p>
    <w:p>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2.优先采购节能产品明细表 </w:t>
      </w:r>
    </w:p>
    <w:tbl>
      <w:tblPr>
        <w:tblStyle w:val="74"/>
        <w:tblW w:w="9620" w:type="dxa"/>
        <w:tblInd w:w="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468"/>
        <w:gridCol w:w="1343"/>
        <w:gridCol w:w="2295"/>
        <w:gridCol w:w="895"/>
        <w:gridCol w:w="1719"/>
        <w:gridCol w:w="1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689"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1468"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货物名称</w:t>
            </w:r>
          </w:p>
        </w:tc>
        <w:tc>
          <w:tcPr>
            <w:tcW w:w="1343"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型号/规格</w:t>
            </w:r>
          </w:p>
        </w:tc>
        <w:tc>
          <w:tcPr>
            <w:tcW w:w="2295"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节字标志认证证书号</w:t>
            </w:r>
          </w:p>
        </w:tc>
        <w:tc>
          <w:tcPr>
            <w:tcW w:w="895"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数量</w:t>
            </w:r>
          </w:p>
        </w:tc>
        <w:tc>
          <w:tcPr>
            <w:tcW w:w="1719"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单价（元）</w:t>
            </w:r>
          </w:p>
        </w:tc>
        <w:tc>
          <w:tcPr>
            <w:tcW w:w="1211"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8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46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343"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229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89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71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8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146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34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22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8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71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2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8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146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34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22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8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71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2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8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146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34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22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8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71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21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795"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优先采购的节能产品总价（元）</w:t>
            </w:r>
          </w:p>
        </w:tc>
        <w:tc>
          <w:tcPr>
            <w:tcW w:w="3825"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highlight w:val="none"/>
                <w14:textFill>
                  <w14:solidFill>
                    <w14:schemeClr w14:val="tx1"/>
                  </w14:solidFill>
                </w14:textFill>
              </w:rPr>
            </w:pPr>
          </w:p>
        </w:tc>
      </w:tr>
    </w:tbl>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说明：</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1、投标人所报节能产品根据财库〔2019〕19号《节能产品政府采购品目清单》确定。（品目清单中以“★”标注的为政府强制采购产品，其他为优先采购产品。）</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本项目采购的产品中如有属于《节能产品政府采购品目清单》中的优先采购节能产品，须按要求填写《优先采购节能产品明细表》，并提供所投产品由国家确定的认证机构出具的、处于有效期之内的节能产品认证证书，否则评审时不予认可，</w:t>
      </w:r>
      <w:r>
        <w:rPr>
          <w:rFonts w:hint="eastAsia" w:ascii="宋体" w:hAnsi="宋体" w:eastAsia="宋体" w:cs="宋体"/>
          <w:color w:val="000000" w:themeColor="text1"/>
          <w:sz w:val="24"/>
          <w:highlight w:val="none"/>
          <w:lang w:val="zh-CN"/>
          <w14:textFill>
            <w14:solidFill>
              <w14:schemeClr w14:val="tx1"/>
            </w14:solidFill>
          </w14:textFill>
        </w:rPr>
        <w:t>将不享受节能产品价格折扣或加分。</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本项目采购的产品中如有属于《节能产品政府采购品目清单》中的政府强制采购节能产品，投标人必须按要求填写《强制采购节能产品明细表》，同时提供所投产品由国家确定的认证机构出具的、处于有效期之内的节能产品认证证书，否则按无效投标处理。</w:t>
      </w:r>
    </w:p>
    <w:p>
      <w:pPr>
        <w:rPr>
          <w:rFonts w:hint="eastAsia" w:ascii="宋体" w:hAnsi="宋体" w:eastAsia="宋体" w:cs="宋体"/>
          <w:color w:val="000000" w:themeColor="text1"/>
          <w:highlight w:val="none"/>
          <w14:textFill>
            <w14:solidFill>
              <w14:schemeClr w14:val="tx1"/>
            </w14:solidFill>
          </w14:textFill>
        </w:rPr>
      </w:pPr>
    </w:p>
    <w:p>
      <w:pPr>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br w:type="page"/>
      </w:r>
    </w:p>
    <w:p>
      <w:pPr>
        <w:jc w:val="center"/>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3.环境标志产品明细表</w:t>
      </w:r>
    </w:p>
    <w:tbl>
      <w:tblPr>
        <w:tblStyle w:val="74"/>
        <w:tblW w:w="9620" w:type="dxa"/>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738"/>
        <w:gridCol w:w="1520"/>
        <w:gridCol w:w="2267"/>
        <w:gridCol w:w="1005"/>
        <w:gridCol w:w="1117"/>
        <w:gridCol w:w="11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75"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1738"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货物名称</w:t>
            </w:r>
          </w:p>
        </w:tc>
        <w:tc>
          <w:tcPr>
            <w:tcW w:w="1520"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型号/规格</w:t>
            </w:r>
          </w:p>
        </w:tc>
        <w:tc>
          <w:tcPr>
            <w:tcW w:w="2267"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中国环境标志</w:t>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认证证书编号</w:t>
            </w:r>
          </w:p>
        </w:tc>
        <w:tc>
          <w:tcPr>
            <w:tcW w:w="1005"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数量</w:t>
            </w:r>
          </w:p>
        </w:tc>
        <w:tc>
          <w:tcPr>
            <w:tcW w:w="1117"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单价</w:t>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（元）</w:t>
            </w:r>
          </w:p>
        </w:tc>
        <w:tc>
          <w:tcPr>
            <w:tcW w:w="1198"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合价</w:t>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7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宋体"/>
                <w:color w:val="000000" w:themeColor="text1"/>
                <w:highlight w:val="none"/>
                <w14:textFill>
                  <w14:solidFill>
                    <w14:schemeClr w14:val="tx1"/>
                  </w14:solidFill>
                </w14:textFill>
              </w:rPr>
            </w:pPr>
          </w:p>
        </w:tc>
        <w:tc>
          <w:tcPr>
            <w:tcW w:w="173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宋体"/>
                <w:color w:val="000000" w:themeColor="text1"/>
                <w:highlight w:val="none"/>
                <w14:textFill>
                  <w14:solidFill>
                    <w14:schemeClr w14:val="tx1"/>
                  </w14:solidFill>
                </w14:textFill>
              </w:rPr>
            </w:pPr>
          </w:p>
        </w:tc>
        <w:tc>
          <w:tcPr>
            <w:tcW w:w="152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宋体"/>
                <w:color w:val="000000" w:themeColor="text1"/>
                <w:highlight w:val="none"/>
                <w14:textFill>
                  <w14:solidFill>
                    <w14:schemeClr w14:val="tx1"/>
                  </w14:solidFill>
                </w14:textFill>
              </w:rPr>
            </w:pPr>
          </w:p>
        </w:tc>
        <w:tc>
          <w:tcPr>
            <w:tcW w:w="226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宋体"/>
                <w:color w:val="000000" w:themeColor="text1"/>
                <w:highlight w:val="none"/>
                <w14:textFill>
                  <w14:solidFill>
                    <w14:schemeClr w14:val="tx1"/>
                  </w14:solidFill>
                </w14:textFill>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宋体"/>
                <w:color w:val="000000" w:themeColor="text1"/>
                <w:highlight w:val="none"/>
                <w14:textFill>
                  <w14:solidFill>
                    <w14:schemeClr w14:val="tx1"/>
                  </w14:solidFill>
                </w14:textFill>
              </w:rPr>
            </w:pPr>
          </w:p>
        </w:tc>
        <w:tc>
          <w:tcPr>
            <w:tcW w:w="111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宋体"/>
                <w:color w:val="000000" w:themeColor="text1"/>
                <w:highlight w:val="none"/>
                <w14:textFill>
                  <w14:solidFill>
                    <w14:schemeClr w14:val="tx1"/>
                  </w14:solidFill>
                </w14:textFill>
              </w:rPr>
            </w:pPr>
          </w:p>
        </w:tc>
        <w:tc>
          <w:tcPr>
            <w:tcW w:w="119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宋体"/>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7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17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c>
          <w:tcPr>
            <w:tcW w:w="15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c>
          <w:tcPr>
            <w:tcW w:w="22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c>
          <w:tcPr>
            <w:tcW w:w="11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7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17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c>
          <w:tcPr>
            <w:tcW w:w="15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c>
          <w:tcPr>
            <w:tcW w:w="22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c>
          <w:tcPr>
            <w:tcW w:w="11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7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17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c>
          <w:tcPr>
            <w:tcW w:w="15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c>
          <w:tcPr>
            <w:tcW w:w="22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c>
          <w:tcPr>
            <w:tcW w:w="11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2513"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总价（元）</w:t>
            </w:r>
          </w:p>
        </w:tc>
        <w:tc>
          <w:tcPr>
            <w:tcW w:w="7107" w:type="dxa"/>
            <w:gridSpan w:val="5"/>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themeColor="text1"/>
                <w:highlight w:val="none"/>
                <w14:textFill>
                  <w14:solidFill>
                    <w14:schemeClr w14:val="tx1"/>
                  </w14:solidFill>
                </w14:textFill>
              </w:rPr>
            </w:pPr>
          </w:p>
        </w:tc>
      </w:tr>
    </w:tbl>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说明：投标人所报产品属于财政部、生态环境部发布的《环境标志产品政府采购品目清单》(财库〔2019〕18 号)内产品的，需按要求填写《环境标志产品明细表》，并提供所投产品由国家确定的认证机构出具的、处于有效期之内的环境标志产品认证证书，否则评审时不予认可，</w:t>
      </w:r>
      <w:r>
        <w:rPr>
          <w:rFonts w:hint="eastAsia" w:ascii="宋体" w:hAnsi="宋体" w:eastAsia="宋体" w:cs="宋体"/>
          <w:color w:val="000000" w:themeColor="text1"/>
          <w:sz w:val="24"/>
          <w:highlight w:val="none"/>
          <w:lang w:val="zh-CN"/>
          <w14:textFill>
            <w14:solidFill>
              <w14:schemeClr w14:val="tx1"/>
            </w14:solidFill>
          </w14:textFill>
        </w:rPr>
        <w:t>将不享受环保产品价格折扣或加分。</w:t>
      </w:r>
    </w:p>
    <w:p>
      <w:pPr>
        <w:spacing w:line="500" w:lineRule="exact"/>
        <w:rPr>
          <w:rFonts w:hint="eastAsia" w:ascii="宋体" w:hAnsi="宋体" w:eastAsia="宋体" w:cs="宋体"/>
          <w:color w:val="000000" w:themeColor="text1"/>
          <w:sz w:val="24"/>
          <w:highlight w:val="none"/>
          <w14:textFill>
            <w14:solidFill>
              <w14:schemeClr w14:val="tx1"/>
            </w14:solidFill>
          </w14:textFill>
        </w:rPr>
      </w:pPr>
    </w:p>
    <w:p>
      <w:pPr>
        <w:spacing w:line="500" w:lineRule="exact"/>
        <w:rPr>
          <w:rFonts w:hint="eastAsia" w:ascii="宋体" w:hAnsi="宋体" w:eastAsia="宋体" w:cs="宋体"/>
          <w:color w:val="000000" w:themeColor="text1"/>
          <w:sz w:val="24"/>
          <w:highlight w:val="none"/>
          <w14:textFill>
            <w14:solidFill>
              <w14:schemeClr w14:val="tx1"/>
            </w14:solidFill>
          </w14:textFill>
        </w:rPr>
      </w:pPr>
    </w:p>
    <w:p>
      <w:pPr>
        <w:spacing w:line="500" w:lineRule="exact"/>
        <w:rPr>
          <w:rFonts w:hint="eastAsia" w:ascii="宋体" w:hAnsi="宋体" w:eastAsia="宋体" w:cs="宋体"/>
          <w:color w:val="000000" w:themeColor="text1"/>
          <w:sz w:val="24"/>
          <w:highlight w:val="none"/>
          <w14:textFill>
            <w14:solidFill>
              <w14:schemeClr w14:val="tx1"/>
            </w14:solidFill>
          </w14:textFill>
        </w:rPr>
      </w:pPr>
    </w:p>
    <w:p>
      <w:pPr>
        <w:spacing w:line="500" w:lineRule="exact"/>
        <w:rPr>
          <w:rFonts w:hint="eastAsia" w:ascii="宋体" w:hAnsi="宋体" w:eastAsia="宋体" w:cs="宋体"/>
          <w:color w:val="000000" w:themeColor="text1"/>
          <w:sz w:val="24"/>
          <w:highlight w:val="none"/>
          <w14:textFill>
            <w14:solidFill>
              <w14:schemeClr w14:val="tx1"/>
            </w14:solidFill>
          </w14:textFill>
        </w:rPr>
      </w:pPr>
    </w:p>
    <w:p>
      <w:pPr>
        <w:spacing w:line="500" w:lineRule="exact"/>
        <w:rPr>
          <w:rFonts w:hint="eastAsia" w:ascii="宋体" w:hAnsi="宋体" w:eastAsia="宋体" w:cs="宋体"/>
          <w:color w:val="000000" w:themeColor="text1"/>
          <w:sz w:val="24"/>
          <w:highlight w:val="none"/>
          <w14:textFill>
            <w14:solidFill>
              <w14:schemeClr w14:val="tx1"/>
            </w14:solidFill>
          </w14:textFill>
        </w:rPr>
      </w:pPr>
    </w:p>
    <w:p>
      <w:pPr>
        <w:spacing w:line="500" w:lineRule="exact"/>
        <w:rPr>
          <w:rFonts w:hint="eastAsia" w:ascii="宋体" w:hAnsi="宋体" w:eastAsia="宋体" w:cs="宋体"/>
          <w:color w:val="000000" w:themeColor="text1"/>
          <w:sz w:val="24"/>
          <w:highlight w:val="none"/>
          <w14:textFill>
            <w14:solidFill>
              <w14:schemeClr w14:val="tx1"/>
            </w14:solidFill>
          </w14:textFill>
        </w:rPr>
      </w:pPr>
    </w:p>
    <w:p>
      <w:pPr>
        <w:spacing w:line="500" w:lineRule="exact"/>
        <w:rPr>
          <w:rFonts w:hint="eastAsia" w:ascii="宋体" w:hAnsi="宋体" w:eastAsia="宋体" w:cs="宋体"/>
          <w:color w:val="000000" w:themeColor="text1"/>
          <w:sz w:val="24"/>
          <w:highlight w:val="none"/>
          <w14:textFill>
            <w14:solidFill>
              <w14:schemeClr w14:val="tx1"/>
            </w14:solidFill>
          </w14:textFill>
        </w:rPr>
      </w:pPr>
    </w:p>
    <w:p>
      <w:pPr>
        <w:spacing w:line="500" w:lineRule="exact"/>
        <w:rPr>
          <w:rFonts w:hint="eastAsia" w:ascii="宋体" w:hAnsi="宋体" w:eastAsia="宋体" w:cs="宋体"/>
          <w:color w:val="000000" w:themeColor="text1"/>
          <w:sz w:val="24"/>
          <w:highlight w:val="none"/>
          <w14:textFill>
            <w14:solidFill>
              <w14:schemeClr w14:val="tx1"/>
            </w14:solidFill>
          </w14:textFill>
        </w:rPr>
      </w:pPr>
    </w:p>
    <w:p>
      <w:pPr>
        <w:spacing w:line="400" w:lineRule="exact"/>
        <w:jc w:val="left"/>
        <w:rPr>
          <w:rFonts w:hint="eastAsia" w:ascii="宋体" w:hAnsi="宋体" w:eastAsia="宋体" w:cs="宋体"/>
          <w:b/>
          <w:color w:val="000000" w:themeColor="text1"/>
          <w:sz w:val="24"/>
          <w:highlight w:val="none"/>
          <w14:textFill>
            <w14:solidFill>
              <w14:schemeClr w14:val="tx1"/>
            </w14:solidFill>
          </w14:textFill>
        </w:rPr>
      </w:pPr>
    </w:p>
    <w:p>
      <w:pPr>
        <w:spacing w:line="400" w:lineRule="exact"/>
        <w:jc w:val="left"/>
        <w:rPr>
          <w:rFonts w:hint="eastAsia" w:ascii="宋体" w:hAnsi="宋体" w:eastAsia="宋体" w:cs="宋体"/>
          <w:b/>
          <w:color w:val="000000" w:themeColor="text1"/>
          <w:sz w:val="24"/>
          <w:highlight w:val="none"/>
          <w14:textFill>
            <w14:solidFill>
              <w14:schemeClr w14:val="tx1"/>
            </w14:solidFill>
          </w14:textFill>
        </w:rPr>
      </w:pPr>
    </w:p>
    <w:p>
      <w:pPr>
        <w:spacing w:line="400" w:lineRule="exact"/>
        <w:jc w:val="center"/>
        <w:rPr>
          <w:rFonts w:hint="eastAsia" w:ascii="宋体" w:hAnsi="宋体" w:eastAsia="宋体" w:cs="宋体"/>
          <w:b/>
          <w:color w:val="000000" w:themeColor="text1"/>
          <w:sz w:val="32"/>
          <w:highlight w:val="none"/>
          <w14:textFill>
            <w14:solidFill>
              <w14:schemeClr w14:val="tx1"/>
            </w14:solidFill>
          </w14:textFill>
        </w:rPr>
      </w:pPr>
    </w:p>
    <w:p>
      <w:pPr>
        <w:spacing w:line="400" w:lineRule="exact"/>
        <w:jc w:val="center"/>
        <w:rPr>
          <w:rFonts w:hint="eastAsia" w:ascii="宋体" w:hAnsi="宋体" w:eastAsia="宋体" w:cs="宋体"/>
          <w:b/>
          <w:color w:val="000000" w:themeColor="text1"/>
          <w:sz w:val="32"/>
          <w:highlight w:val="none"/>
          <w14:textFill>
            <w14:solidFill>
              <w14:schemeClr w14:val="tx1"/>
            </w14:solidFill>
          </w14:textFill>
        </w:rPr>
      </w:pPr>
    </w:p>
    <w:p>
      <w:pPr>
        <w:spacing w:line="400" w:lineRule="exact"/>
        <w:jc w:val="center"/>
        <w:rPr>
          <w:rFonts w:hint="eastAsia" w:ascii="宋体" w:hAnsi="宋体" w:eastAsia="宋体" w:cs="宋体"/>
          <w:b/>
          <w:color w:val="000000" w:themeColor="text1"/>
          <w:sz w:val="32"/>
          <w:highlight w:val="none"/>
          <w14:textFill>
            <w14:solidFill>
              <w14:schemeClr w14:val="tx1"/>
            </w14:solidFill>
          </w14:textFill>
        </w:rPr>
      </w:pPr>
    </w:p>
    <w:p>
      <w:pPr>
        <w:spacing w:line="400" w:lineRule="exact"/>
        <w:jc w:val="center"/>
        <w:rPr>
          <w:rFonts w:hint="eastAsia" w:ascii="宋体" w:hAnsi="宋体" w:eastAsia="宋体" w:cs="宋体"/>
          <w:b/>
          <w:color w:val="000000" w:themeColor="text1"/>
          <w:sz w:val="32"/>
          <w:highlight w:val="none"/>
          <w14:textFill>
            <w14:solidFill>
              <w14:schemeClr w14:val="tx1"/>
            </w14:solidFill>
          </w14:textFill>
        </w:rPr>
      </w:pPr>
    </w:p>
    <w:p>
      <w:pPr>
        <w:spacing w:line="400" w:lineRule="exact"/>
        <w:jc w:val="center"/>
        <w:rPr>
          <w:rFonts w:hint="eastAsia" w:ascii="宋体" w:hAnsi="宋体" w:eastAsia="宋体" w:cs="宋体"/>
          <w:b/>
          <w:color w:val="000000" w:themeColor="text1"/>
          <w:sz w:val="32"/>
          <w:highlight w:val="none"/>
          <w14:textFill>
            <w14:solidFill>
              <w14:schemeClr w14:val="tx1"/>
            </w14:solidFill>
          </w14:textFill>
        </w:rPr>
      </w:pPr>
    </w:p>
    <w:p>
      <w:pPr>
        <w:pStyle w:val="96"/>
        <w:ind w:left="0" w:leftChars="0" w:firstLine="0" w:firstLineChars="0"/>
        <w:rPr>
          <w:rFonts w:hint="eastAsia" w:ascii="宋体" w:hAnsi="宋体" w:eastAsia="宋体" w:cs="宋体"/>
          <w:color w:val="000000" w:themeColor="text1"/>
          <w:highlight w:val="none"/>
          <w14:textFill>
            <w14:solidFill>
              <w14:schemeClr w14:val="tx1"/>
            </w14:solidFill>
          </w14:textFill>
        </w:rPr>
      </w:pPr>
    </w:p>
    <w:p>
      <w:pPr>
        <w:spacing w:line="400" w:lineRule="exact"/>
        <w:jc w:val="both"/>
        <w:rPr>
          <w:rFonts w:hint="eastAsia" w:ascii="宋体" w:hAnsi="宋体" w:eastAsia="宋体" w:cs="宋体"/>
          <w:b/>
          <w:color w:val="000000" w:themeColor="text1"/>
          <w:sz w:val="32"/>
          <w:highlight w:val="none"/>
          <w14:textFill>
            <w14:solidFill>
              <w14:schemeClr w14:val="tx1"/>
            </w14:solidFill>
          </w14:textFill>
        </w:rPr>
      </w:pPr>
    </w:p>
    <w:p>
      <w:pPr>
        <w:spacing w:line="400" w:lineRule="exact"/>
        <w:jc w:val="center"/>
        <w:rPr>
          <w:rFonts w:hint="eastAsia" w:ascii="宋体" w:hAnsi="宋体" w:eastAsia="宋体" w:cs="宋体"/>
          <w:b/>
          <w:color w:val="000000" w:themeColor="text1"/>
          <w:sz w:val="32"/>
          <w:highlight w:val="none"/>
          <w14:textFill>
            <w14:solidFill>
              <w14:schemeClr w14:val="tx1"/>
            </w14:solidFill>
          </w14:textFill>
        </w:rPr>
      </w:pPr>
    </w:p>
    <w:p>
      <w:pPr>
        <w:spacing w:line="400" w:lineRule="exact"/>
        <w:jc w:val="center"/>
        <w:rPr>
          <w:rFonts w:hint="eastAsia" w:ascii="宋体" w:hAnsi="宋体" w:eastAsia="宋体" w:cs="宋体"/>
          <w:b/>
          <w:color w:val="000000" w:themeColor="text1"/>
          <w:sz w:val="32"/>
          <w:highlight w:val="none"/>
          <w14:textFill>
            <w14:solidFill>
              <w14:schemeClr w14:val="tx1"/>
            </w14:solidFill>
          </w14:textFill>
        </w:rPr>
      </w:pPr>
    </w:p>
    <w:p>
      <w:pPr>
        <w:spacing w:line="400" w:lineRule="exact"/>
        <w:jc w:val="center"/>
        <w:rPr>
          <w:rFonts w:ascii="宋体" w:hAnsi="宋体"/>
          <w:b/>
          <w:sz w:val="30"/>
          <w:highlight w:val="none"/>
        </w:rPr>
      </w:pPr>
      <w:r>
        <w:rPr>
          <w:rFonts w:hint="eastAsia" w:ascii="宋体" w:hAnsi="宋体" w:eastAsia="宋体" w:cs="宋体"/>
          <w:b/>
          <w:color w:val="000000" w:themeColor="text1"/>
          <w:sz w:val="32"/>
          <w:highlight w:val="none"/>
          <w14:textFill>
            <w14:solidFill>
              <w14:schemeClr w14:val="tx1"/>
            </w14:solidFill>
          </w14:textFill>
        </w:rPr>
        <w:t>4</w:t>
      </w:r>
      <w:r>
        <w:rPr>
          <w:rFonts w:hint="eastAsia" w:ascii="宋体" w:hAnsi="宋体" w:cs="宋体"/>
          <w:b/>
          <w:color w:val="000000" w:themeColor="text1"/>
          <w:sz w:val="32"/>
          <w:highlight w:val="none"/>
          <w:lang w:eastAsia="zh-CN"/>
          <w14:textFill>
            <w14:solidFill>
              <w14:schemeClr w14:val="tx1"/>
            </w14:solidFill>
          </w14:textFill>
        </w:rPr>
        <w:t>.</w:t>
      </w:r>
      <w:r>
        <w:rPr>
          <w:rFonts w:ascii="宋体" w:hAnsi="宋体"/>
          <w:b/>
          <w:sz w:val="30"/>
          <w:highlight w:val="none"/>
        </w:rPr>
        <w:t>中小企业声明函（货物）</w:t>
      </w:r>
    </w:p>
    <w:p>
      <w:pPr>
        <w:pStyle w:val="31"/>
        <w:spacing w:before="77" w:line="360" w:lineRule="auto"/>
        <w:ind w:left="921"/>
        <w:rPr>
          <w:rFonts w:hint="eastAsia" w:ascii="宋体" w:hAnsi="宋体" w:cs="宋体"/>
          <w:sz w:val="24"/>
          <w:highlight w:val="none"/>
        </w:rPr>
      </w:pPr>
      <w:r>
        <w:rPr>
          <w:rFonts w:hint="eastAsia" w:ascii="宋体" w:hAnsi="宋体" w:cs="宋体"/>
          <w:sz w:val="24"/>
          <w:highlight w:val="none"/>
        </w:rPr>
        <w:t>本公司（联合体）郑重声明，根据《政府采购促进中小企业发展管理办法》（财库</w:t>
      </w:r>
    </w:p>
    <w:p>
      <w:pPr>
        <w:pStyle w:val="31"/>
        <w:tabs>
          <w:tab w:val="left" w:pos="6705"/>
          <w:tab w:val="left" w:pos="9196"/>
        </w:tabs>
        <w:spacing w:before="160" w:line="360" w:lineRule="auto"/>
        <w:ind w:left="417" w:right="467"/>
        <w:rPr>
          <w:rFonts w:hint="eastAsia" w:ascii="宋体" w:hAnsi="宋体" w:cs="宋体"/>
          <w:spacing w:val="-15"/>
          <w:sz w:val="24"/>
          <w:highlight w:val="none"/>
          <w:u w:val="single"/>
        </w:rPr>
      </w:pPr>
      <w:r>
        <w:rPr>
          <w:rFonts w:hint="eastAsia" w:ascii="宋体" w:hAnsi="宋体" w:cs="宋体"/>
          <w:sz w:val="24"/>
          <w:highlight w:val="none"/>
        </w:rPr>
        <w:t>﹝2020﹞46 号</w:t>
      </w:r>
      <w:r>
        <w:rPr>
          <w:rFonts w:hint="eastAsia" w:ascii="宋体" w:hAnsi="宋体" w:cs="宋体"/>
          <w:spacing w:val="-17"/>
          <w:sz w:val="24"/>
          <w:highlight w:val="none"/>
        </w:rPr>
        <w:t>）</w:t>
      </w:r>
      <w:r>
        <w:rPr>
          <w:rFonts w:hint="eastAsia" w:ascii="宋体" w:hAnsi="宋体" w:cs="宋体"/>
          <w:sz w:val="24"/>
          <w:highlight w:val="none"/>
        </w:rPr>
        <w:t>的规定</w:t>
      </w:r>
      <w:r>
        <w:rPr>
          <w:rFonts w:hint="eastAsia" w:ascii="宋体" w:hAnsi="宋体" w:cs="宋体"/>
          <w:spacing w:val="-15"/>
          <w:sz w:val="24"/>
          <w:highlight w:val="none"/>
        </w:rPr>
        <w:t>，</w:t>
      </w:r>
      <w:r>
        <w:rPr>
          <w:rFonts w:hint="eastAsia" w:ascii="宋体" w:hAnsi="宋体" w:cs="宋体"/>
          <w:sz w:val="24"/>
          <w:highlight w:val="none"/>
        </w:rPr>
        <w:t>本公</w:t>
      </w:r>
      <w:r>
        <w:rPr>
          <w:rFonts w:hint="eastAsia" w:ascii="宋体" w:hAnsi="宋体" w:cs="宋体"/>
          <w:spacing w:val="-15"/>
          <w:sz w:val="24"/>
          <w:highlight w:val="none"/>
        </w:rPr>
        <w:t>司</w:t>
      </w:r>
      <w:r>
        <w:rPr>
          <w:rFonts w:hint="eastAsia" w:ascii="宋体" w:hAnsi="宋体" w:cs="宋体"/>
          <w:sz w:val="24"/>
          <w:highlight w:val="none"/>
        </w:rPr>
        <w:t>（联合体</w:t>
      </w:r>
      <w:r>
        <w:rPr>
          <w:rFonts w:hint="eastAsia" w:ascii="宋体" w:hAnsi="宋体" w:cs="宋体"/>
          <w:spacing w:val="-15"/>
          <w:sz w:val="24"/>
          <w:highlight w:val="none"/>
        </w:rPr>
        <w:t>）</w:t>
      </w:r>
      <w:r>
        <w:rPr>
          <w:rFonts w:hint="eastAsia" w:ascii="宋体" w:hAnsi="宋体" w:cs="宋体"/>
          <w:sz w:val="24"/>
          <w:highlight w:val="none"/>
        </w:rPr>
        <w:t>参加</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（单位名称</w:t>
      </w:r>
      <w:r>
        <w:rPr>
          <w:rFonts w:hint="eastAsia" w:ascii="宋体" w:hAnsi="宋体" w:cs="宋体"/>
          <w:spacing w:val="-15"/>
          <w:sz w:val="24"/>
          <w:highlight w:val="none"/>
        </w:rPr>
        <w:t>）</w:t>
      </w:r>
      <w:r>
        <w:rPr>
          <w:rFonts w:hint="eastAsia" w:ascii="宋体" w:hAnsi="宋体" w:cs="宋体"/>
          <w:spacing w:val="-15"/>
          <w:sz w:val="24"/>
          <w:highlight w:val="none"/>
          <w:u w:val="single"/>
        </w:rPr>
        <w:t xml:space="preserve"> </w:t>
      </w:r>
      <w:r>
        <w:rPr>
          <w:rFonts w:hint="eastAsia" w:ascii="宋体" w:hAnsi="宋体" w:cs="宋体"/>
          <w:spacing w:val="-15"/>
          <w:sz w:val="24"/>
          <w:highlight w:val="none"/>
          <w:u w:val="single"/>
        </w:rPr>
        <w:tab/>
      </w:r>
    </w:p>
    <w:p>
      <w:pPr>
        <w:pStyle w:val="31"/>
        <w:tabs>
          <w:tab w:val="left" w:pos="6705"/>
          <w:tab w:val="left" w:pos="9196"/>
        </w:tabs>
        <w:spacing w:before="160" w:line="360" w:lineRule="auto"/>
        <w:ind w:left="417" w:right="467"/>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pacing w:val="-17"/>
          <w:sz w:val="24"/>
          <w:highlight w:val="none"/>
        </w:rPr>
        <w:t>项</w:t>
      </w:r>
      <w:r>
        <w:rPr>
          <w:rFonts w:hint="eastAsia" w:ascii="宋体" w:hAnsi="宋体" w:cs="宋体"/>
          <w:sz w:val="24"/>
          <w:highlight w:val="none"/>
        </w:rPr>
        <w:t>目名称</w:t>
      </w:r>
      <w:r>
        <w:rPr>
          <w:rFonts w:hint="eastAsia" w:ascii="宋体" w:hAnsi="宋体" w:cs="宋体"/>
          <w:spacing w:val="-27"/>
          <w:sz w:val="24"/>
          <w:highlight w:val="none"/>
        </w:rPr>
        <w:t>）</w:t>
      </w:r>
      <w:r>
        <w:rPr>
          <w:rFonts w:hint="eastAsia" w:ascii="宋体" w:hAnsi="宋体" w:cs="宋体"/>
          <w:sz w:val="24"/>
          <w:highlight w:val="none"/>
        </w:rPr>
        <w:t>采购活动</w:t>
      </w:r>
      <w:r>
        <w:rPr>
          <w:rFonts w:hint="eastAsia" w:ascii="宋体" w:hAnsi="宋体" w:cs="宋体"/>
          <w:spacing w:val="-27"/>
          <w:sz w:val="24"/>
          <w:highlight w:val="none"/>
        </w:rPr>
        <w:t>，</w:t>
      </w:r>
      <w:r>
        <w:rPr>
          <w:rFonts w:hint="eastAsia" w:ascii="宋体" w:hAnsi="宋体" w:cs="宋体"/>
          <w:sz w:val="24"/>
          <w:highlight w:val="none"/>
        </w:rPr>
        <w:t>提供的货物全部由符合政策要求的中小企业制造</w:t>
      </w:r>
      <w:r>
        <w:rPr>
          <w:rFonts w:hint="eastAsia" w:ascii="宋体" w:hAnsi="宋体" w:cs="宋体"/>
          <w:spacing w:val="-27"/>
          <w:sz w:val="24"/>
          <w:highlight w:val="none"/>
        </w:rPr>
        <w:t>。</w:t>
      </w:r>
      <w:r>
        <w:rPr>
          <w:rFonts w:hint="eastAsia" w:ascii="宋体" w:hAnsi="宋体" w:cs="宋体"/>
          <w:sz w:val="24"/>
          <w:highlight w:val="none"/>
        </w:rPr>
        <w:t>相关企</w:t>
      </w:r>
      <w:r>
        <w:rPr>
          <w:rFonts w:hint="eastAsia" w:ascii="宋体" w:hAnsi="宋体" w:cs="宋体"/>
          <w:spacing w:val="-24"/>
          <w:sz w:val="24"/>
          <w:highlight w:val="none"/>
        </w:rPr>
        <w:t>业</w:t>
      </w:r>
      <w:r>
        <w:rPr>
          <w:rFonts w:hint="eastAsia" w:ascii="宋体" w:hAnsi="宋体" w:cs="宋体"/>
          <w:sz w:val="24"/>
          <w:highlight w:val="none"/>
        </w:rPr>
        <w:t>（含联</w:t>
      </w:r>
      <w:r>
        <w:rPr>
          <w:rFonts w:hint="eastAsia" w:ascii="宋体" w:hAnsi="宋体" w:cs="宋体"/>
          <w:spacing w:val="-15"/>
          <w:sz w:val="24"/>
          <w:highlight w:val="none"/>
        </w:rPr>
        <w:t>合</w:t>
      </w:r>
      <w:r>
        <w:rPr>
          <w:rFonts w:hint="eastAsia" w:ascii="宋体" w:hAnsi="宋体" w:cs="宋体"/>
          <w:sz w:val="24"/>
          <w:highlight w:val="none"/>
        </w:rPr>
        <w:t>体中的中小企业、签订分包意向协议的中小企业）的具体情况如下：</w:t>
      </w:r>
    </w:p>
    <w:p>
      <w:pPr>
        <w:pStyle w:val="31"/>
        <w:tabs>
          <w:tab w:val="left" w:pos="1979"/>
          <w:tab w:val="left" w:pos="4264"/>
          <w:tab w:val="left" w:pos="6789"/>
        </w:tabs>
        <w:spacing w:before="2" w:line="360" w:lineRule="auto"/>
        <w:ind w:left="417" w:right="342" w:firstLine="504"/>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pacing w:val="-36"/>
          <w:sz w:val="24"/>
          <w:highlight w:val="none"/>
        </w:rPr>
        <w:t>、</w:t>
      </w:r>
      <w:r>
        <w:rPr>
          <w:rFonts w:hint="eastAsia" w:ascii="宋体" w:hAnsi="宋体" w:cs="宋体"/>
          <w:sz w:val="24"/>
          <w:highlight w:val="none"/>
        </w:rPr>
        <w:t>（标的名称</w:t>
      </w:r>
      <w:r>
        <w:rPr>
          <w:rFonts w:hint="eastAsia" w:ascii="宋体" w:hAnsi="宋体" w:cs="宋体"/>
          <w:spacing w:val="-17"/>
          <w:sz w:val="24"/>
          <w:highlight w:val="none"/>
        </w:rPr>
        <w:t>）</w:t>
      </w:r>
      <w:r>
        <w:rPr>
          <w:rFonts w:hint="eastAsia" w:ascii="宋体" w:hAnsi="宋体" w:cs="宋体"/>
          <w:sz w:val="24"/>
          <w:highlight w:val="none"/>
        </w:rPr>
        <w:t>属</w:t>
      </w:r>
      <w:r>
        <w:rPr>
          <w:rFonts w:hint="eastAsia" w:ascii="宋体" w:hAnsi="宋体" w:cs="宋体"/>
          <w:spacing w:val="-17"/>
          <w:sz w:val="24"/>
          <w:highlight w:val="none"/>
        </w:rPr>
        <w:t>于</w:t>
      </w:r>
      <w:r>
        <w:rPr>
          <w:rFonts w:hint="eastAsia" w:ascii="宋体" w:hAnsi="宋体" w:cs="宋体"/>
          <w:sz w:val="24"/>
          <w:highlight w:val="none"/>
        </w:rPr>
        <w:t>（</w:t>
      </w:r>
      <w:r>
        <w:rPr>
          <w:rFonts w:hint="eastAsia" w:ascii="宋体" w:hAnsi="宋体" w:cs="宋体"/>
          <w:sz w:val="24"/>
          <w:highlight w:val="none"/>
          <w:lang w:eastAsia="zh-CN"/>
        </w:rPr>
        <w:t>招标文件</w:t>
      </w:r>
      <w:r>
        <w:rPr>
          <w:rFonts w:hint="eastAsia" w:ascii="宋体" w:hAnsi="宋体" w:cs="宋体"/>
          <w:sz w:val="24"/>
          <w:highlight w:val="none"/>
        </w:rPr>
        <w:t>中明确</w:t>
      </w:r>
      <w:r>
        <w:rPr>
          <w:rFonts w:hint="eastAsia" w:ascii="宋体" w:hAnsi="宋体" w:cs="宋体"/>
          <w:spacing w:val="2"/>
          <w:sz w:val="24"/>
          <w:highlight w:val="none"/>
        </w:rPr>
        <w:t>的</w:t>
      </w:r>
      <w:r>
        <w:rPr>
          <w:rFonts w:hint="eastAsia" w:ascii="宋体" w:hAnsi="宋体" w:cs="宋体"/>
          <w:sz w:val="24"/>
          <w:highlight w:val="none"/>
        </w:rPr>
        <w:t>所属行</w:t>
      </w:r>
      <w:r>
        <w:rPr>
          <w:rFonts w:hint="eastAsia" w:ascii="宋体" w:hAnsi="宋体" w:cs="宋体"/>
          <w:spacing w:val="-3"/>
          <w:sz w:val="24"/>
          <w:highlight w:val="none"/>
        </w:rPr>
        <w:t>业</w:t>
      </w:r>
      <w:r>
        <w:rPr>
          <w:rFonts w:hint="eastAsia" w:ascii="宋体" w:hAnsi="宋体" w:cs="宋体"/>
          <w:sz w:val="24"/>
          <w:highlight w:val="none"/>
        </w:rPr>
        <w:t>）</w:t>
      </w:r>
      <w:r>
        <w:rPr>
          <w:rFonts w:hint="eastAsia" w:ascii="宋体" w:hAnsi="宋体" w:cs="宋体"/>
          <w:spacing w:val="-17"/>
          <w:sz w:val="24"/>
          <w:highlight w:val="none"/>
        </w:rPr>
        <w:t xml:space="preserve"> </w:t>
      </w:r>
      <w:r>
        <w:rPr>
          <w:rFonts w:hint="eastAsia" w:ascii="宋体" w:hAnsi="宋体" w:cs="宋体"/>
          <w:sz w:val="24"/>
          <w:highlight w:val="none"/>
        </w:rPr>
        <w:t>行业</w:t>
      </w:r>
      <w:r>
        <w:rPr>
          <w:rFonts w:hint="eastAsia" w:ascii="宋体" w:hAnsi="宋体" w:cs="宋体"/>
          <w:spacing w:val="-20"/>
          <w:sz w:val="24"/>
          <w:highlight w:val="none"/>
        </w:rPr>
        <w:t>；</w:t>
      </w:r>
      <w:r>
        <w:rPr>
          <w:rFonts w:hint="eastAsia" w:ascii="宋体" w:hAnsi="宋体" w:cs="宋体"/>
          <w:sz w:val="24"/>
          <w:highlight w:val="none"/>
        </w:rPr>
        <w:t>制造商</w:t>
      </w:r>
      <w:r>
        <w:rPr>
          <w:rFonts w:hint="eastAsia" w:ascii="宋体" w:hAnsi="宋体" w:cs="宋体"/>
          <w:spacing w:val="-17"/>
          <w:sz w:val="24"/>
          <w:highlight w:val="none"/>
        </w:rPr>
        <w:t>为</w:t>
      </w:r>
      <w:r>
        <w:rPr>
          <w:rFonts w:hint="eastAsia" w:ascii="宋体" w:hAnsi="宋体" w:cs="宋体"/>
          <w:sz w:val="24"/>
          <w:highlight w:val="none"/>
        </w:rPr>
        <w:t>（企业名称</w:t>
      </w:r>
      <w:r>
        <w:rPr>
          <w:rFonts w:hint="eastAsia" w:ascii="宋体" w:hAnsi="宋体" w:cs="宋体"/>
          <w:spacing w:val="-125"/>
          <w:sz w:val="24"/>
          <w:highlight w:val="none"/>
        </w:rPr>
        <w:t>）</w:t>
      </w:r>
      <w:r>
        <w:rPr>
          <w:rFonts w:hint="eastAsia" w:ascii="宋体" w:hAnsi="宋体" w:cs="宋体"/>
          <w:spacing w:val="-7"/>
          <w:sz w:val="24"/>
          <w:highlight w:val="none"/>
        </w:rPr>
        <w:t>，</w:t>
      </w:r>
      <w:r>
        <w:rPr>
          <w:rFonts w:hint="eastAsia" w:ascii="宋体" w:hAnsi="宋体" w:cs="宋体"/>
          <w:sz w:val="24"/>
          <w:highlight w:val="none"/>
        </w:rPr>
        <w:t>从业人员</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万元，属于（中型企业、小型企业、微型企业）；</w:t>
      </w:r>
    </w:p>
    <w:p>
      <w:pPr>
        <w:pStyle w:val="31"/>
        <w:tabs>
          <w:tab w:val="left" w:pos="1979"/>
          <w:tab w:val="left" w:pos="4264"/>
          <w:tab w:val="left" w:pos="6789"/>
        </w:tabs>
        <w:spacing w:before="2" w:line="360" w:lineRule="auto"/>
        <w:ind w:left="417" w:right="342" w:firstLine="504"/>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pacing w:val="-36"/>
          <w:sz w:val="24"/>
          <w:highlight w:val="none"/>
        </w:rPr>
        <w:t>、</w:t>
      </w:r>
      <w:r>
        <w:rPr>
          <w:rFonts w:hint="eastAsia" w:ascii="宋体" w:hAnsi="宋体" w:cs="宋体"/>
          <w:sz w:val="24"/>
          <w:highlight w:val="none"/>
        </w:rPr>
        <w:t>（标的名称</w:t>
      </w:r>
      <w:r>
        <w:rPr>
          <w:rFonts w:hint="eastAsia" w:ascii="宋体" w:hAnsi="宋体" w:cs="宋体"/>
          <w:spacing w:val="-17"/>
          <w:sz w:val="24"/>
          <w:highlight w:val="none"/>
        </w:rPr>
        <w:t>）</w:t>
      </w:r>
      <w:r>
        <w:rPr>
          <w:rFonts w:hint="eastAsia" w:ascii="宋体" w:hAnsi="宋体" w:cs="宋体"/>
          <w:sz w:val="24"/>
          <w:highlight w:val="none"/>
        </w:rPr>
        <w:t>属</w:t>
      </w:r>
      <w:r>
        <w:rPr>
          <w:rFonts w:hint="eastAsia" w:ascii="宋体" w:hAnsi="宋体" w:cs="宋体"/>
          <w:spacing w:val="-17"/>
          <w:sz w:val="24"/>
          <w:highlight w:val="none"/>
        </w:rPr>
        <w:t>于</w:t>
      </w:r>
      <w:r>
        <w:rPr>
          <w:rFonts w:hint="eastAsia" w:ascii="宋体" w:hAnsi="宋体" w:cs="宋体"/>
          <w:sz w:val="24"/>
          <w:highlight w:val="none"/>
        </w:rPr>
        <w:t>（</w:t>
      </w:r>
      <w:r>
        <w:rPr>
          <w:rFonts w:hint="eastAsia" w:ascii="宋体" w:hAnsi="宋体" w:cs="宋体"/>
          <w:sz w:val="24"/>
          <w:highlight w:val="none"/>
          <w:lang w:eastAsia="zh-CN"/>
        </w:rPr>
        <w:t>招标文件</w:t>
      </w:r>
      <w:r>
        <w:rPr>
          <w:rFonts w:hint="eastAsia" w:ascii="宋体" w:hAnsi="宋体" w:cs="宋体"/>
          <w:sz w:val="24"/>
          <w:highlight w:val="none"/>
        </w:rPr>
        <w:t>中明确</w:t>
      </w:r>
      <w:r>
        <w:rPr>
          <w:rFonts w:hint="eastAsia" w:ascii="宋体" w:hAnsi="宋体" w:cs="宋体"/>
          <w:spacing w:val="2"/>
          <w:sz w:val="24"/>
          <w:highlight w:val="none"/>
        </w:rPr>
        <w:t>的</w:t>
      </w:r>
      <w:r>
        <w:rPr>
          <w:rFonts w:hint="eastAsia" w:ascii="宋体" w:hAnsi="宋体" w:cs="宋体"/>
          <w:sz w:val="24"/>
          <w:highlight w:val="none"/>
        </w:rPr>
        <w:t>所属行</w:t>
      </w:r>
      <w:r>
        <w:rPr>
          <w:rFonts w:hint="eastAsia" w:ascii="宋体" w:hAnsi="宋体" w:cs="宋体"/>
          <w:spacing w:val="-3"/>
          <w:sz w:val="24"/>
          <w:highlight w:val="none"/>
        </w:rPr>
        <w:t>业</w:t>
      </w:r>
      <w:r>
        <w:rPr>
          <w:rFonts w:hint="eastAsia" w:ascii="宋体" w:hAnsi="宋体" w:cs="宋体"/>
          <w:sz w:val="24"/>
          <w:highlight w:val="none"/>
        </w:rPr>
        <w:t>）</w:t>
      </w:r>
      <w:r>
        <w:rPr>
          <w:rFonts w:hint="eastAsia" w:ascii="宋体" w:hAnsi="宋体" w:cs="宋体"/>
          <w:spacing w:val="-17"/>
          <w:sz w:val="24"/>
          <w:highlight w:val="none"/>
        </w:rPr>
        <w:t xml:space="preserve"> </w:t>
      </w:r>
      <w:r>
        <w:rPr>
          <w:rFonts w:hint="eastAsia" w:ascii="宋体" w:hAnsi="宋体" w:cs="宋体"/>
          <w:sz w:val="24"/>
          <w:highlight w:val="none"/>
        </w:rPr>
        <w:t>行业</w:t>
      </w:r>
      <w:r>
        <w:rPr>
          <w:rFonts w:hint="eastAsia" w:ascii="宋体" w:hAnsi="宋体" w:cs="宋体"/>
          <w:spacing w:val="-20"/>
          <w:sz w:val="24"/>
          <w:highlight w:val="none"/>
        </w:rPr>
        <w:t>；</w:t>
      </w:r>
      <w:r>
        <w:rPr>
          <w:rFonts w:hint="eastAsia" w:ascii="宋体" w:hAnsi="宋体" w:cs="宋体"/>
          <w:sz w:val="24"/>
          <w:highlight w:val="none"/>
        </w:rPr>
        <w:t>制造商</w:t>
      </w:r>
      <w:r>
        <w:rPr>
          <w:rFonts w:hint="eastAsia" w:ascii="宋体" w:hAnsi="宋体" w:cs="宋体"/>
          <w:spacing w:val="-17"/>
          <w:sz w:val="24"/>
          <w:highlight w:val="none"/>
        </w:rPr>
        <w:t>为</w:t>
      </w:r>
      <w:r>
        <w:rPr>
          <w:rFonts w:hint="eastAsia" w:ascii="宋体" w:hAnsi="宋体" w:cs="宋体"/>
          <w:sz w:val="24"/>
          <w:highlight w:val="none"/>
        </w:rPr>
        <w:t>（企业名称</w:t>
      </w:r>
      <w:r>
        <w:rPr>
          <w:rFonts w:hint="eastAsia" w:ascii="宋体" w:hAnsi="宋体" w:cs="宋体"/>
          <w:spacing w:val="-125"/>
          <w:sz w:val="24"/>
          <w:highlight w:val="none"/>
        </w:rPr>
        <w:t>）</w:t>
      </w:r>
      <w:r>
        <w:rPr>
          <w:rFonts w:hint="eastAsia" w:ascii="宋体" w:hAnsi="宋体" w:cs="宋体"/>
          <w:spacing w:val="-7"/>
          <w:sz w:val="24"/>
          <w:highlight w:val="none"/>
        </w:rPr>
        <w:t>，</w:t>
      </w:r>
      <w:r>
        <w:rPr>
          <w:rFonts w:hint="eastAsia" w:ascii="宋体" w:hAnsi="宋体" w:cs="宋体"/>
          <w:sz w:val="24"/>
          <w:highlight w:val="none"/>
        </w:rPr>
        <w:t>从业人员</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万元，属于（中型企业、小型企业、微型企业）；</w:t>
      </w:r>
    </w:p>
    <w:p>
      <w:pPr>
        <w:pStyle w:val="31"/>
        <w:spacing w:before="2" w:line="360" w:lineRule="auto"/>
        <w:ind w:left="417" w:right="469" w:firstLine="504"/>
        <w:rPr>
          <w:rFonts w:hint="eastAsia"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pPr>
        <w:pStyle w:val="31"/>
        <w:spacing w:before="1" w:line="360" w:lineRule="auto"/>
        <w:ind w:left="921"/>
        <w:rPr>
          <w:rFonts w:hint="eastAsia" w:ascii="宋体" w:hAnsi="宋体" w:cs="宋体"/>
          <w:sz w:val="24"/>
          <w:highlight w:val="none"/>
        </w:rPr>
      </w:pPr>
      <w:r>
        <w:rPr>
          <w:rFonts w:hint="eastAsia" w:ascii="宋体" w:hAnsi="宋体" w:cs="宋体"/>
          <w:sz w:val="24"/>
          <w:highlight w:val="none"/>
        </w:rPr>
        <w:t>本企业对上述声明内容的真实性负责。如有虚假，将依法承担相应责任。</w:t>
      </w:r>
    </w:p>
    <w:p>
      <w:pPr>
        <w:pStyle w:val="31"/>
        <w:spacing w:line="360" w:lineRule="auto"/>
        <w:ind w:left="5304"/>
        <w:rPr>
          <w:rFonts w:hint="eastAsia" w:ascii="宋体" w:hAnsi="宋体" w:cs="宋体"/>
          <w:sz w:val="24"/>
          <w:highlight w:val="none"/>
        </w:rPr>
      </w:pPr>
      <w:r>
        <w:rPr>
          <w:rFonts w:hint="eastAsia" w:ascii="宋体" w:hAnsi="宋体" w:cs="宋体"/>
          <w:sz w:val="24"/>
          <w:highlight w:val="none"/>
        </w:rPr>
        <w:t>企业名称（公章）：</w:t>
      </w:r>
    </w:p>
    <w:p>
      <w:pPr>
        <w:pStyle w:val="31"/>
        <w:tabs>
          <w:tab w:val="left" w:pos="6297"/>
          <w:tab w:val="left" w:pos="6777"/>
          <w:tab w:val="left" w:pos="7257"/>
        </w:tabs>
        <w:spacing w:line="360" w:lineRule="auto"/>
        <w:ind w:firstLine="5280" w:firstLineChars="2200"/>
        <w:rPr>
          <w:rFonts w:hint="eastAsia" w:ascii="宋体" w:hAnsi="宋体" w:cs="宋体"/>
          <w:sz w:val="24"/>
          <w:highlight w:val="none"/>
        </w:rPr>
      </w:pPr>
      <w:r>
        <w:rPr>
          <w:rFonts w:hint="eastAsia" w:ascii="宋体" w:hAnsi="宋体" w:cs="宋体"/>
          <w:sz w:val="24"/>
          <w:highlight w:val="none"/>
        </w:rPr>
        <w:t>日  期：</w:t>
      </w:r>
      <w:r>
        <w:rPr>
          <w:rFonts w:hint="eastAsia" w:ascii="宋体" w:hAnsi="宋体" w:cs="宋体"/>
          <w:sz w:val="24"/>
          <w:highlight w:val="none"/>
        </w:rPr>
        <w:tab/>
      </w:r>
      <w:r>
        <w:rPr>
          <w:rFonts w:hint="eastAsia" w:ascii="宋体" w:hAnsi="宋体" w:cs="宋体"/>
          <w:sz w:val="24"/>
          <w:highlight w:val="none"/>
        </w:rPr>
        <w:t>年</w:t>
      </w:r>
      <w:r>
        <w:rPr>
          <w:rFonts w:hint="eastAsia" w:ascii="宋体" w:hAnsi="宋体" w:cs="宋体"/>
          <w:sz w:val="24"/>
          <w:highlight w:val="none"/>
        </w:rPr>
        <w:tab/>
      </w:r>
      <w:r>
        <w:rPr>
          <w:rFonts w:hint="eastAsia" w:ascii="宋体" w:hAnsi="宋体" w:cs="宋体"/>
          <w:sz w:val="24"/>
          <w:highlight w:val="none"/>
        </w:rPr>
        <w:t>月</w:t>
      </w:r>
      <w:r>
        <w:rPr>
          <w:rFonts w:hint="eastAsia" w:ascii="宋体" w:hAnsi="宋体" w:cs="宋体"/>
          <w:sz w:val="24"/>
          <w:highlight w:val="none"/>
        </w:rPr>
        <w:tab/>
      </w:r>
      <w:r>
        <w:rPr>
          <w:rFonts w:hint="eastAsia" w:ascii="宋体" w:hAnsi="宋体" w:cs="宋体"/>
          <w:sz w:val="24"/>
          <w:highlight w:val="none"/>
        </w:rPr>
        <w:t>日</w:t>
      </w:r>
    </w:p>
    <w:p>
      <w:pPr>
        <w:rPr>
          <w:b/>
          <w:sz w:val="30"/>
          <w:highlight w:val="none"/>
        </w:rPr>
      </w:pPr>
      <w:r>
        <w:rPr>
          <w:b/>
          <w:sz w:val="30"/>
          <w:highlight w:val="none"/>
        </w:rPr>
        <w:br w:type="page"/>
      </w:r>
    </w:p>
    <w:p>
      <w:pPr>
        <w:rPr>
          <w:highlight w:val="none"/>
        </w:rPr>
      </w:pPr>
    </w:p>
    <w:p>
      <w:pPr>
        <w:pStyle w:val="73"/>
        <w:ind w:firstLine="602"/>
        <w:jc w:val="both"/>
        <w:rPr>
          <w:b/>
          <w:sz w:val="30"/>
          <w:highlight w:val="none"/>
        </w:rPr>
      </w:pPr>
    </w:p>
    <w:p>
      <w:pPr>
        <w:pStyle w:val="73"/>
        <w:ind w:firstLine="602"/>
        <w:jc w:val="center"/>
        <w:rPr>
          <w:rFonts w:hint="eastAsia" w:cs="宋体"/>
          <w:sz w:val="24"/>
          <w:highlight w:val="none"/>
        </w:rPr>
      </w:pPr>
      <w:r>
        <w:rPr>
          <w:b/>
          <w:sz w:val="30"/>
          <w:highlight w:val="none"/>
        </w:rPr>
        <w:t>中小企业声明函（工程、服务）</w:t>
      </w:r>
    </w:p>
    <w:p>
      <w:pPr>
        <w:rPr>
          <w:rFonts w:hint="eastAsia" w:ascii="宋体" w:hAnsi="宋体" w:cs="宋体"/>
          <w:sz w:val="24"/>
          <w:highlight w:val="none"/>
        </w:rPr>
      </w:pPr>
    </w:p>
    <w:p>
      <w:pPr>
        <w:pStyle w:val="31"/>
        <w:spacing w:before="66" w:line="360" w:lineRule="auto"/>
        <w:ind w:left="921"/>
        <w:rPr>
          <w:rFonts w:hint="eastAsia" w:ascii="宋体" w:hAnsi="宋体" w:cs="宋体"/>
          <w:sz w:val="24"/>
          <w:highlight w:val="none"/>
        </w:rPr>
      </w:pPr>
      <w:r>
        <w:rPr>
          <w:rFonts w:hint="eastAsia" w:ascii="宋体" w:hAnsi="宋体" w:cs="宋体"/>
          <w:sz w:val="24"/>
          <w:highlight w:val="none"/>
        </w:rPr>
        <w:t>本公司（联合体）郑重声明，根据《政府采购促进中小企业发展管理办法》（财库</w:t>
      </w:r>
    </w:p>
    <w:p>
      <w:pPr>
        <w:pStyle w:val="31"/>
        <w:tabs>
          <w:tab w:val="left" w:pos="6705"/>
          <w:tab w:val="left" w:pos="9196"/>
        </w:tabs>
        <w:spacing w:before="161" w:line="360" w:lineRule="auto"/>
        <w:ind w:left="417" w:right="467"/>
        <w:rPr>
          <w:rFonts w:hint="eastAsia" w:ascii="宋体" w:hAnsi="宋体" w:cs="宋体"/>
          <w:spacing w:val="-15"/>
          <w:sz w:val="24"/>
          <w:highlight w:val="none"/>
          <w:u w:val="single"/>
        </w:rPr>
      </w:pPr>
      <w:r>
        <w:rPr>
          <w:rFonts w:hint="eastAsia" w:ascii="宋体" w:hAnsi="宋体" w:cs="宋体"/>
          <w:sz w:val="24"/>
          <w:highlight w:val="none"/>
        </w:rPr>
        <w:t>﹝2020﹞46 号</w:t>
      </w:r>
      <w:r>
        <w:rPr>
          <w:rFonts w:hint="eastAsia" w:ascii="宋体" w:hAnsi="宋体" w:cs="宋体"/>
          <w:spacing w:val="-17"/>
          <w:sz w:val="24"/>
          <w:highlight w:val="none"/>
        </w:rPr>
        <w:t>）</w:t>
      </w:r>
      <w:r>
        <w:rPr>
          <w:rFonts w:hint="eastAsia" w:ascii="宋体" w:hAnsi="宋体" w:cs="宋体"/>
          <w:sz w:val="24"/>
          <w:highlight w:val="none"/>
        </w:rPr>
        <w:t>的规定</w:t>
      </w:r>
      <w:r>
        <w:rPr>
          <w:rFonts w:hint="eastAsia" w:ascii="宋体" w:hAnsi="宋体" w:cs="宋体"/>
          <w:spacing w:val="-15"/>
          <w:sz w:val="24"/>
          <w:highlight w:val="none"/>
        </w:rPr>
        <w:t>，</w:t>
      </w:r>
      <w:r>
        <w:rPr>
          <w:rFonts w:hint="eastAsia" w:ascii="宋体" w:hAnsi="宋体" w:cs="宋体"/>
          <w:sz w:val="24"/>
          <w:highlight w:val="none"/>
        </w:rPr>
        <w:t>本公</w:t>
      </w:r>
      <w:r>
        <w:rPr>
          <w:rFonts w:hint="eastAsia" w:ascii="宋体" w:hAnsi="宋体" w:cs="宋体"/>
          <w:spacing w:val="-15"/>
          <w:sz w:val="24"/>
          <w:highlight w:val="none"/>
        </w:rPr>
        <w:t>司</w:t>
      </w:r>
      <w:r>
        <w:rPr>
          <w:rFonts w:hint="eastAsia" w:ascii="宋体" w:hAnsi="宋体" w:cs="宋体"/>
          <w:sz w:val="24"/>
          <w:highlight w:val="none"/>
        </w:rPr>
        <w:t>（联合体</w:t>
      </w:r>
      <w:r>
        <w:rPr>
          <w:rFonts w:hint="eastAsia" w:ascii="宋体" w:hAnsi="宋体" w:cs="宋体"/>
          <w:spacing w:val="-15"/>
          <w:sz w:val="24"/>
          <w:highlight w:val="none"/>
        </w:rPr>
        <w:t>）</w:t>
      </w:r>
      <w:r>
        <w:rPr>
          <w:rFonts w:hint="eastAsia" w:ascii="宋体" w:hAnsi="宋体" w:cs="宋体"/>
          <w:sz w:val="24"/>
          <w:highlight w:val="none"/>
        </w:rPr>
        <w:t>参加</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（单位名称</w:t>
      </w:r>
      <w:r>
        <w:rPr>
          <w:rFonts w:hint="eastAsia" w:ascii="宋体" w:hAnsi="宋体" w:cs="宋体"/>
          <w:spacing w:val="-15"/>
          <w:sz w:val="24"/>
          <w:highlight w:val="none"/>
        </w:rPr>
        <w:t>）</w:t>
      </w:r>
      <w:r>
        <w:rPr>
          <w:rFonts w:hint="eastAsia" w:ascii="宋体" w:hAnsi="宋体" w:cs="宋体"/>
          <w:spacing w:val="-15"/>
          <w:sz w:val="24"/>
          <w:highlight w:val="none"/>
          <w:u w:val="single"/>
        </w:rPr>
        <w:t xml:space="preserve"> </w:t>
      </w:r>
      <w:r>
        <w:rPr>
          <w:rFonts w:hint="eastAsia" w:ascii="宋体" w:hAnsi="宋体" w:cs="宋体"/>
          <w:spacing w:val="-15"/>
          <w:sz w:val="24"/>
          <w:highlight w:val="none"/>
          <w:u w:val="single"/>
        </w:rPr>
        <w:tab/>
      </w:r>
    </w:p>
    <w:p>
      <w:pPr>
        <w:pStyle w:val="31"/>
        <w:tabs>
          <w:tab w:val="left" w:pos="6705"/>
          <w:tab w:val="left" w:pos="9196"/>
        </w:tabs>
        <w:spacing w:before="161" w:line="360" w:lineRule="auto"/>
        <w:ind w:left="417" w:right="467"/>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pacing w:val="-17"/>
          <w:sz w:val="24"/>
          <w:highlight w:val="none"/>
        </w:rPr>
        <w:t>项</w:t>
      </w:r>
      <w:r>
        <w:rPr>
          <w:rFonts w:hint="eastAsia" w:ascii="宋体" w:hAnsi="宋体" w:cs="宋体"/>
          <w:sz w:val="24"/>
          <w:highlight w:val="none"/>
        </w:rPr>
        <w:t>目名称</w:t>
      </w:r>
      <w:r>
        <w:rPr>
          <w:rFonts w:hint="eastAsia" w:ascii="宋体" w:hAnsi="宋体" w:cs="宋体"/>
          <w:spacing w:val="-27"/>
          <w:sz w:val="24"/>
          <w:highlight w:val="none"/>
        </w:rPr>
        <w:t>）</w:t>
      </w:r>
      <w:r>
        <w:rPr>
          <w:rFonts w:hint="eastAsia" w:ascii="宋体" w:hAnsi="宋体" w:cs="宋体"/>
          <w:sz w:val="24"/>
          <w:highlight w:val="none"/>
        </w:rPr>
        <w:t>采购活动</w:t>
      </w:r>
      <w:r>
        <w:rPr>
          <w:rFonts w:hint="eastAsia" w:ascii="宋体" w:hAnsi="宋体" w:cs="宋体"/>
          <w:spacing w:val="-27"/>
          <w:sz w:val="24"/>
          <w:highlight w:val="none"/>
        </w:rPr>
        <w:t>，</w:t>
      </w:r>
      <w:r>
        <w:rPr>
          <w:rFonts w:hint="eastAsia" w:ascii="宋体" w:hAnsi="宋体" w:cs="宋体"/>
          <w:sz w:val="24"/>
          <w:highlight w:val="none"/>
        </w:rPr>
        <w:t>工程的施工单位全部为符合政策要求的中小企</w:t>
      </w:r>
      <w:r>
        <w:rPr>
          <w:rFonts w:hint="eastAsia" w:ascii="宋体" w:hAnsi="宋体" w:cs="宋体"/>
          <w:spacing w:val="-24"/>
          <w:sz w:val="24"/>
          <w:highlight w:val="none"/>
        </w:rPr>
        <w:t>业</w:t>
      </w:r>
      <w:r>
        <w:rPr>
          <w:rFonts w:hint="eastAsia" w:ascii="宋体" w:hAnsi="宋体" w:cs="宋体"/>
          <w:sz w:val="24"/>
          <w:highlight w:val="none"/>
        </w:rPr>
        <w:t>（或者</w:t>
      </w:r>
      <w:r>
        <w:rPr>
          <w:rFonts w:hint="eastAsia" w:ascii="宋体" w:hAnsi="宋体" w:cs="宋体"/>
          <w:spacing w:val="-24"/>
          <w:sz w:val="24"/>
          <w:highlight w:val="none"/>
        </w:rPr>
        <w:t>：</w:t>
      </w:r>
      <w:r>
        <w:rPr>
          <w:rFonts w:hint="eastAsia" w:ascii="宋体" w:hAnsi="宋体" w:cs="宋体"/>
          <w:sz w:val="24"/>
          <w:highlight w:val="none"/>
        </w:rPr>
        <w:t>服务全部</w:t>
      </w:r>
      <w:r>
        <w:rPr>
          <w:rFonts w:hint="eastAsia" w:ascii="宋体" w:hAnsi="宋体" w:cs="宋体"/>
          <w:spacing w:val="-16"/>
          <w:sz w:val="24"/>
          <w:highlight w:val="none"/>
        </w:rPr>
        <w:t>由</w:t>
      </w:r>
      <w:r>
        <w:rPr>
          <w:rFonts w:hint="eastAsia" w:ascii="宋体" w:hAnsi="宋体" w:cs="宋体"/>
          <w:sz w:val="24"/>
          <w:highlight w:val="none"/>
        </w:rPr>
        <w:t>符合政策要求的中小企业承接</w:t>
      </w:r>
      <w:r>
        <w:rPr>
          <w:rFonts w:hint="eastAsia" w:ascii="宋体" w:hAnsi="宋体" w:cs="宋体"/>
          <w:spacing w:val="-27"/>
          <w:sz w:val="24"/>
          <w:highlight w:val="none"/>
        </w:rPr>
        <w:t>）。</w:t>
      </w:r>
      <w:r>
        <w:rPr>
          <w:rFonts w:hint="eastAsia" w:ascii="宋体" w:hAnsi="宋体" w:cs="宋体"/>
          <w:sz w:val="24"/>
          <w:highlight w:val="none"/>
        </w:rPr>
        <w:t>相关企</w:t>
      </w:r>
      <w:r>
        <w:rPr>
          <w:rFonts w:hint="eastAsia" w:ascii="宋体" w:hAnsi="宋体" w:cs="宋体"/>
          <w:spacing w:val="-24"/>
          <w:sz w:val="24"/>
          <w:highlight w:val="none"/>
        </w:rPr>
        <w:t>业</w:t>
      </w:r>
      <w:r>
        <w:rPr>
          <w:rFonts w:hint="eastAsia" w:ascii="宋体" w:hAnsi="宋体" w:cs="宋体"/>
          <w:sz w:val="24"/>
          <w:highlight w:val="none"/>
        </w:rPr>
        <w:t>（含联合体中的中小企业</w:t>
      </w:r>
      <w:r>
        <w:rPr>
          <w:rFonts w:hint="eastAsia" w:ascii="宋体" w:hAnsi="宋体" w:cs="宋体"/>
          <w:spacing w:val="-24"/>
          <w:sz w:val="24"/>
          <w:highlight w:val="none"/>
        </w:rPr>
        <w:t>、</w:t>
      </w:r>
      <w:r>
        <w:rPr>
          <w:rFonts w:hint="eastAsia" w:ascii="宋体" w:hAnsi="宋体" w:cs="宋体"/>
          <w:sz w:val="24"/>
          <w:highlight w:val="none"/>
        </w:rPr>
        <w:t>签订分包意向协</w:t>
      </w:r>
      <w:r>
        <w:rPr>
          <w:rFonts w:hint="eastAsia" w:ascii="宋体" w:hAnsi="宋体" w:cs="宋体"/>
          <w:spacing w:val="-16"/>
          <w:sz w:val="24"/>
          <w:highlight w:val="none"/>
        </w:rPr>
        <w:t>议</w:t>
      </w:r>
      <w:r>
        <w:rPr>
          <w:rFonts w:hint="eastAsia" w:ascii="宋体" w:hAnsi="宋体" w:cs="宋体"/>
          <w:sz w:val="24"/>
          <w:highlight w:val="none"/>
        </w:rPr>
        <w:t>的中小企业） 的具体情况如下：</w:t>
      </w:r>
    </w:p>
    <w:p>
      <w:pPr>
        <w:pStyle w:val="31"/>
        <w:tabs>
          <w:tab w:val="left" w:pos="1979"/>
          <w:tab w:val="left" w:pos="4264"/>
          <w:tab w:val="left" w:pos="6789"/>
        </w:tabs>
        <w:spacing w:before="2" w:line="360" w:lineRule="auto"/>
        <w:ind w:left="417" w:right="342" w:firstLine="504"/>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pacing w:val="-36"/>
          <w:sz w:val="24"/>
          <w:highlight w:val="none"/>
        </w:rPr>
        <w:t>、</w:t>
      </w:r>
      <w:r>
        <w:rPr>
          <w:rFonts w:hint="eastAsia" w:ascii="宋体" w:hAnsi="宋体" w:cs="宋体"/>
          <w:sz w:val="24"/>
          <w:highlight w:val="none"/>
        </w:rPr>
        <w:t>（标的名称</w:t>
      </w:r>
      <w:r>
        <w:rPr>
          <w:rFonts w:hint="eastAsia" w:ascii="宋体" w:hAnsi="宋体" w:cs="宋体"/>
          <w:spacing w:val="-17"/>
          <w:sz w:val="24"/>
          <w:highlight w:val="none"/>
        </w:rPr>
        <w:t>）</w:t>
      </w:r>
      <w:r>
        <w:rPr>
          <w:rFonts w:hint="eastAsia" w:ascii="宋体" w:hAnsi="宋体" w:cs="宋体"/>
          <w:sz w:val="24"/>
          <w:highlight w:val="none"/>
        </w:rPr>
        <w:t>属</w:t>
      </w:r>
      <w:r>
        <w:rPr>
          <w:rFonts w:hint="eastAsia" w:ascii="宋体" w:hAnsi="宋体" w:cs="宋体"/>
          <w:spacing w:val="-17"/>
          <w:sz w:val="24"/>
          <w:highlight w:val="none"/>
        </w:rPr>
        <w:t>于</w:t>
      </w:r>
      <w:r>
        <w:rPr>
          <w:rFonts w:hint="eastAsia" w:ascii="宋体" w:hAnsi="宋体" w:cs="宋体"/>
          <w:sz w:val="24"/>
          <w:highlight w:val="none"/>
        </w:rPr>
        <w:t>（</w:t>
      </w:r>
      <w:r>
        <w:rPr>
          <w:rFonts w:hint="eastAsia" w:ascii="宋体" w:hAnsi="宋体" w:cs="宋体"/>
          <w:sz w:val="24"/>
          <w:highlight w:val="none"/>
          <w:lang w:eastAsia="zh-CN"/>
        </w:rPr>
        <w:t>招标文件</w:t>
      </w:r>
      <w:r>
        <w:rPr>
          <w:rFonts w:hint="eastAsia" w:ascii="宋体" w:hAnsi="宋体" w:cs="宋体"/>
          <w:sz w:val="24"/>
          <w:highlight w:val="none"/>
        </w:rPr>
        <w:t>中明确</w:t>
      </w:r>
      <w:r>
        <w:rPr>
          <w:rFonts w:hint="eastAsia" w:ascii="宋体" w:hAnsi="宋体" w:cs="宋体"/>
          <w:spacing w:val="2"/>
          <w:sz w:val="24"/>
          <w:highlight w:val="none"/>
        </w:rPr>
        <w:t>的</w:t>
      </w:r>
      <w:r>
        <w:rPr>
          <w:rFonts w:hint="eastAsia" w:ascii="宋体" w:hAnsi="宋体" w:cs="宋体"/>
          <w:sz w:val="24"/>
          <w:highlight w:val="none"/>
        </w:rPr>
        <w:t>所属行</w:t>
      </w:r>
      <w:r>
        <w:rPr>
          <w:rFonts w:hint="eastAsia" w:ascii="宋体" w:hAnsi="宋体" w:cs="宋体"/>
          <w:spacing w:val="-3"/>
          <w:sz w:val="24"/>
          <w:highlight w:val="none"/>
        </w:rPr>
        <w:t>业</w:t>
      </w:r>
      <w:r>
        <w:rPr>
          <w:rFonts w:hint="eastAsia" w:ascii="宋体" w:hAnsi="宋体" w:cs="宋体"/>
          <w:sz w:val="24"/>
          <w:highlight w:val="none"/>
        </w:rPr>
        <w:t>）</w:t>
      </w:r>
      <w:r>
        <w:rPr>
          <w:rFonts w:hint="eastAsia" w:ascii="宋体" w:hAnsi="宋体" w:cs="宋体"/>
          <w:spacing w:val="-17"/>
          <w:sz w:val="24"/>
          <w:highlight w:val="none"/>
        </w:rPr>
        <w:t xml:space="preserve"> </w:t>
      </w:r>
      <w:r>
        <w:rPr>
          <w:rFonts w:hint="eastAsia" w:ascii="宋体" w:hAnsi="宋体" w:cs="宋体"/>
          <w:sz w:val="24"/>
          <w:highlight w:val="none"/>
        </w:rPr>
        <w:t>行业</w:t>
      </w:r>
      <w:r>
        <w:rPr>
          <w:rFonts w:hint="eastAsia" w:ascii="宋体" w:hAnsi="宋体" w:cs="宋体"/>
          <w:spacing w:val="-20"/>
          <w:sz w:val="24"/>
          <w:highlight w:val="none"/>
        </w:rPr>
        <w:t>；</w:t>
      </w:r>
      <w:r>
        <w:rPr>
          <w:rFonts w:hint="eastAsia" w:ascii="宋体" w:hAnsi="宋体" w:cs="宋体"/>
          <w:sz w:val="24"/>
          <w:highlight w:val="none"/>
        </w:rPr>
        <w:t>制造商</w:t>
      </w:r>
      <w:r>
        <w:rPr>
          <w:rFonts w:hint="eastAsia" w:ascii="宋体" w:hAnsi="宋体" w:cs="宋体"/>
          <w:spacing w:val="-17"/>
          <w:sz w:val="24"/>
          <w:highlight w:val="none"/>
        </w:rPr>
        <w:t>为</w:t>
      </w:r>
      <w:r>
        <w:rPr>
          <w:rFonts w:hint="eastAsia" w:ascii="宋体" w:hAnsi="宋体" w:cs="宋体"/>
          <w:sz w:val="24"/>
          <w:highlight w:val="none"/>
        </w:rPr>
        <w:t>（企业名称</w:t>
      </w:r>
      <w:r>
        <w:rPr>
          <w:rFonts w:hint="eastAsia" w:ascii="宋体" w:hAnsi="宋体" w:cs="宋体"/>
          <w:spacing w:val="-125"/>
          <w:sz w:val="24"/>
          <w:highlight w:val="none"/>
        </w:rPr>
        <w:t>）</w:t>
      </w:r>
      <w:r>
        <w:rPr>
          <w:rFonts w:hint="eastAsia" w:ascii="宋体" w:hAnsi="宋体" w:cs="宋体"/>
          <w:spacing w:val="-7"/>
          <w:sz w:val="24"/>
          <w:highlight w:val="none"/>
        </w:rPr>
        <w:t>，</w:t>
      </w:r>
      <w:r>
        <w:rPr>
          <w:rFonts w:hint="eastAsia" w:ascii="宋体" w:hAnsi="宋体" w:cs="宋体"/>
          <w:sz w:val="24"/>
          <w:highlight w:val="none"/>
        </w:rPr>
        <w:t>从业人员</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万元，属于（中型企业、小型企业、微型企业）；</w:t>
      </w:r>
    </w:p>
    <w:p>
      <w:pPr>
        <w:pStyle w:val="31"/>
        <w:tabs>
          <w:tab w:val="left" w:pos="1979"/>
          <w:tab w:val="left" w:pos="4264"/>
          <w:tab w:val="left" w:pos="6789"/>
        </w:tabs>
        <w:spacing w:before="2" w:line="360" w:lineRule="auto"/>
        <w:ind w:left="417" w:right="342" w:firstLine="504"/>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pacing w:val="-36"/>
          <w:sz w:val="24"/>
          <w:highlight w:val="none"/>
        </w:rPr>
        <w:t>、</w:t>
      </w:r>
      <w:r>
        <w:rPr>
          <w:rFonts w:hint="eastAsia" w:ascii="宋体" w:hAnsi="宋体" w:cs="宋体"/>
          <w:sz w:val="24"/>
          <w:highlight w:val="none"/>
        </w:rPr>
        <w:t>（标的名称</w:t>
      </w:r>
      <w:r>
        <w:rPr>
          <w:rFonts w:hint="eastAsia" w:ascii="宋体" w:hAnsi="宋体" w:cs="宋体"/>
          <w:spacing w:val="-17"/>
          <w:sz w:val="24"/>
          <w:highlight w:val="none"/>
        </w:rPr>
        <w:t>）</w:t>
      </w:r>
      <w:r>
        <w:rPr>
          <w:rFonts w:hint="eastAsia" w:ascii="宋体" w:hAnsi="宋体" w:cs="宋体"/>
          <w:sz w:val="24"/>
          <w:highlight w:val="none"/>
        </w:rPr>
        <w:t>属</w:t>
      </w:r>
      <w:r>
        <w:rPr>
          <w:rFonts w:hint="eastAsia" w:ascii="宋体" w:hAnsi="宋体" w:cs="宋体"/>
          <w:spacing w:val="-17"/>
          <w:sz w:val="24"/>
          <w:highlight w:val="none"/>
        </w:rPr>
        <w:t>于</w:t>
      </w:r>
      <w:r>
        <w:rPr>
          <w:rFonts w:hint="eastAsia" w:ascii="宋体" w:hAnsi="宋体" w:cs="宋体"/>
          <w:sz w:val="24"/>
          <w:highlight w:val="none"/>
        </w:rPr>
        <w:t>（</w:t>
      </w:r>
      <w:r>
        <w:rPr>
          <w:rFonts w:hint="eastAsia" w:ascii="宋体" w:hAnsi="宋体" w:cs="宋体"/>
          <w:sz w:val="24"/>
          <w:highlight w:val="none"/>
          <w:lang w:eastAsia="zh-CN"/>
        </w:rPr>
        <w:t>招标文件</w:t>
      </w:r>
      <w:r>
        <w:rPr>
          <w:rFonts w:hint="eastAsia" w:ascii="宋体" w:hAnsi="宋体" w:cs="宋体"/>
          <w:sz w:val="24"/>
          <w:highlight w:val="none"/>
        </w:rPr>
        <w:t>中明确</w:t>
      </w:r>
      <w:r>
        <w:rPr>
          <w:rFonts w:hint="eastAsia" w:ascii="宋体" w:hAnsi="宋体" w:cs="宋体"/>
          <w:spacing w:val="2"/>
          <w:sz w:val="24"/>
          <w:highlight w:val="none"/>
        </w:rPr>
        <w:t>的</w:t>
      </w:r>
      <w:r>
        <w:rPr>
          <w:rFonts w:hint="eastAsia" w:ascii="宋体" w:hAnsi="宋体" w:cs="宋体"/>
          <w:sz w:val="24"/>
          <w:highlight w:val="none"/>
        </w:rPr>
        <w:t>所属行</w:t>
      </w:r>
      <w:r>
        <w:rPr>
          <w:rFonts w:hint="eastAsia" w:ascii="宋体" w:hAnsi="宋体" w:cs="宋体"/>
          <w:spacing w:val="-3"/>
          <w:sz w:val="24"/>
          <w:highlight w:val="none"/>
        </w:rPr>
        <w:t>业</w:t>
      </w:r>
      <w:r>
        <w:rPr>
          <w:rFonts w:hint="eastAsia" w:ascii="宋体" w:hAnsi="宋体" w:cs="宋体"/>
          <w:sz w:val="24"/>
          <w:highlight w:val="none"/>
        </w:rPr>
        <w:t>）</w:t>
      </w:r>
      <w:r>
        <w:rPr>
          <w:rFonts w:hint="eastAsia" w:ascii="宋体" w:hAnsi="宋体" w:cs="宋体"/>
          <w:spacing w:val="-17"/>
          <w:sz w:val="24"/>
          <w:highlight w:val="none"/>
        </w:rPr>
        <w:t xml:space="preserve"> </w:t>
      </w:r>
      <w:r>
        <w:rPr>
          <w:rFonts w:hint="eastAsia" w:ascii="宋体" w:hAnsi="宋体" w:cs="宋体"/>
          <w:sz w:val="24"/>
          <w:highlight w:val="none"/>
        </w:rPr>
        <w:t>行业</w:t>
      </w:r>
      <w:r>
        <w:rPr>
          <w:rFonts w:hint="eastAsia" w:ascii="宋体" w:hAnsi="宋体" w:cs="宋体"/>
          <w:spacing w:val="-20"/>
          <w:sz w:val="24"/>
          <w:highlight w:val="none"/>
        </w:rPr>
        <w:t>；</w:t>
      </w:r>
      <w:r>
        <w:rPr>
          <w:rFonts w:hint="eastAsia" w:ascii="宋体" w:hAnsi="宋体" w:cs="宋体"/>
          <w:sz w:val="24"/>
          <w:highlight w:val="none"/>
        </w:rPr>
        <w:t>制造商</w:t>
      </w:r>
      <w:r>
        <w:rPr>
          <w:rFonts w:hint="eastAsia" w:ascii="宋体" w:hAnsi="宋体" w:cs="宋体"/>
          <w:spacing w:val="-17"/>
          <w:sz w:val="24"/>
          <w:highlight w:val="none"/>
        </w:rPr>
        <w:t>为</w:t>
      </w:r>
      <w:r>
        <w:rPr>
          <w:rFonts w:hint="eastAsia" w:ascii="宋体" w:hAnsi="宋体" w:cs="宋体"/>
          <w:sz w:val="24"/>
          <w:highlight w:val="none"/>
        </w:rPr>
        <w:t>（企业名称</w:t>
      </w:r>
      <w:r>
        <w:rPr>
          <w:rFonts w:hint="eastAsia" w:ascii="宋体" w:hAnsi="宋体" w:cs="宋体"/>
          <w:spacing w:val="-125"/>
          <w:sz w:val="24"/>
          <w:highlight w:val="none"/>
        </w:rPr>
        <w:t>）</w:t>
      </w:r>
      <w:r>
        <w:rPr>
          <w:rFonts w:hint="eastAsia" w:ascii="宋体" w:hAnsi="宋体" w:cs="宋体"/>
          <w:spacing w:val="-7"/>
          <w:sz w:val="24"/>
          <w:highlight w:val="none"/>
        </w:rPr>
        <w:t>，</w:t>
      </w:r>
      <w:r>
        <w:rPr>
          <w:rFonts w:hint="eastAsia" w:ascii="宋体" w:hAnsi="宋体" w:cs="宋体"/>
          <w:sz w:val="24"/>
          <w:highlight w:val="none"/>
        </w:rPr>
        <w:t>从业人员</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万元，属于（中型企业、小型企业、微型企业）；</w:t>
      </w:r>
    </w:p>
    <w:p>
      <w:pPr>
        <w:pStyle w:val="31"/>
        <w:spacing w:before="2" w:line="360" w:lineRule="auto"/>
        <w:ind w:left="417" w:right="469" w:firstLine="504"/>
        <w:rPr>
          <w:rFonts w:hint="eastAsia"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pPr>
        <w:pStyle w:val="31"/>
        <w:spacing w:before="1" w:line="360" w:lineRule="auto"/>
        <w:ind w:left="921"/>
        <w:rPr>
          <w:rFonts w:hint="eastAsia" w:ascii="宋体" w:hAnsi="宋体" w:cs="宋体"/>
          <w:sz w:val="24"/>
          <w:highlight w:val="none"/>
        </w:rPr>
      </w:pPr>
      <w:r>
        <w:rPr>
          <w:rFonts w:hint="eastAsia" w:ascii="宋体" w:hAnsi="宋体" w:cs="宋体"/>
          <w:sz w:val="24"/>
          <w:highlight w:val="none"/>
        </w:rPr>
        <w:t>本企业对上述声明内容的真实性负责。如有虚假，将依法承担相应责任。</w:t>
      </w:r>
    </w:p>
    <w:p>
      <w:pPr>
        <w:pStyle w:val="31"/>
        <w:spacing w:before="1" w:line="360" w:lineRule="auto"/>
        <w:ind w:right="2681"/>
        <w:jc w:val="right"/>
        <w:rPr>
          <w:rFonts w:hint="eastAsia" w:ascii="宋体" w:hAnsi="宋体" w:cs="宋体"/>
          <w:sz w:val="24"/>
          <w:highlight w:val="none"/>
        </w:rPr>
      </w:pPr>
      <w:r>
        <w:rPr>
          <w:rFonts w:hint="eastAsia" w:ascii="宋体" w:hAnsi="宋体" w:cs="宋体"/>
          <w:sz w:val="24"/>
          <w:highlight w:val="none"/>
        </w:rPr>
        <w:t>企业名称（公章）：</w:t>
      </w:r>
    </w:p>
    <w:p>
      <w:pPr>
        <w:pStyle w:val="31"/>
        <w:tabs>
          <w:tab w:val="left" w:pos="1319"/>
          <w:tab w:val="left" w:pos="1799"/>
          <w:tab w:val="left" w:pos="2279"/>
        </w:tabs>
        <w:spacing w:line="360" w:lineRule="auto"/>
        <w:ind w:right="2646"/>
        <w:jc w:val="right"/>
        <w:rPr>
          <w:rFonts w:hint="eastAsia" w:ascii="宋体" w:hAnsi="宋体" w:cs="宋体"/>
          <w:sz w:val="24"/>
          <w:highlight w:val="none"/>
        </w:rPr>
      </w:pPr>
      <w:r>
        <w:rPr>
          <w:rFonts w:hint="eastAsia" w:ascii="宋体" w:hAnsi="宋体" w:cs="宋体"/>
          <w:sz w:val="24"/>
          <w:highlight w:val="none"/>
        </w:rPr>
        <w:t xml:space="preserve">   日期：</w:t>
      </w:r>
      <w:r>
        <w:rPr>
          <w:rFonts w:hint="eastAsia" w:ascii="宋体" w:hAnsi="宋体" w:cs="宋体"/>
          <w:sz w:val="24"/>
          <w:highlight w:val="none"/>
        </w:rPr>
        <w:tab/>
      </w:r>
      <w:r>
        <w:rPr>
          <w:rFonts w:hint="eastAsia" w:ascii="宋体" w:hAnsi="宋体" w:cs="宋体"/>
          <w:sz w:val="24"/>
          <w:highlight w:val="none"/>
        </w:rPr>
        <w:t>年</w:t>
      </w:r>
      <w:r>
        <w:rPr>
          <w:rFonts w:hint="eastAsia" w:ascii="宋体" w:hAnsi="宋体" w:cs="宋体"/>
          <w:sz w:val="24"/>
          <w:highlight w:val="none"/>
        </w:rPr>
        <w:tab/>
      </w:r>
      <w:r>
        <w:rPr>
          <w:rFonts w:hint="eastAsia" w:ascii="宋体" w:hAnsi="宋体" w:cs="宋体"/>
          <w:sz w:val="24"/>
          <w:highlight w:val="none"/>
        </w:rPr>
        <w:t>月</w:t>
      </w:r>
      <w:r>
        <w:rPr>
          <w:rFonts w:hint="eastAsia" w:ascii="宋体" w:hAnsi="宋体" w:cs="宋体"/>
          <w:sz w:val="24"/>
          <w:highlight w:val="none"/>
        </w:rPr>
        <w:tab/>
      </w:r>
      <w:r>
        <w:rPr>
          <w:rFonts w:hint="eastAsia" w:ascii="宋体" w:hAnsi="宋体" w:cs="宋体"/>
          <w:sz w:val="24"/>
          <w:highlight w:val="none"/>
        </w:rPr>
        <w:t>日</w:t>
      </w:r>
    </w:p>
    <w:p>
      <w:pPr>
        <w:pStyle w:val="31"/>
        <w:spacing w:before="192" w:line="360" w:lineRule="auto"/>
        <w:ind w:left="417" w:right="469"/>
        <w:rPr>
          <w:rFonts w:hint="eastAsia" w:ascii="宋体" w:hAnsi="宋体" w:cs="宋体"/>
          <w:sz w:val="24"/>
          <w:highlight w:val="none"/>
        </w:rPr>
      </w:pPr>
      <w:r>
        <w:rPr>
          <w:rFonts w:hint="eastAsia" w:ascii="宋体" w:hAnsi="宋体" w:cs="宋体"/>
          <w:spacing w:val="-12"/>
          <w:sz w:val="24"/>
          <w:highlight w:val="none"/>
        </w:rPr>
        <w:t>从业人员、营业收入、资产总额填报上一年度数据，无上一年度数据的新成立企业可不填</w:t>
      </w:r>
      <w:r>
        <w:rPr>
          <w:rFonts w:hint="eastAsia" w:ascii="宋体" w:hAnsi="宋体" w:cs="宋体"/>
          <w:sz w:val="24"/>
          <w:highlight w:val="none"/>
        </w:rPr>
        <w:t>报。</w:t>
      </w:r>
    </w:p>
    <w:p>
      <w:pP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br w:type="page"/>
      </w:r>
    </w:p>
    <w:p>
      <w:pPr>
        <w:pStyle w:val="73"/>
        <w:rPr>
          <w:rFonts w:hint="eastAsia"/>
          <w:highlight w:val="none"/>
        </w:rPr>
      </w:pPr>
    </w:p>
    <w:p>
      <w:pPr>
        <w:jc w:val="center"/>
        <w:outlineLvl w:val="0"/>
        <w:rPr>
          <w:rFonts w:hint="eastAsia" w:ascii="宋体" w:hAnsi="宋体" w:eastAsia="宋体" w:cs="宋体"/>
          <w:color w:val="000000" w:themeColor="text1"/>
          <w:sz w:val="24"/>
          <w:highlight w:val="none"/>
          <w14:textFill>
            <w14:solidFill>
              <w14:schemeClr w14:val="tx1"/>
            </w14:solidFill>
          </w14:textFill>
        </w:rPr>
      </w:pPr>
      <w:bookmarkStart w:id="72" w:name="_Toc15437"/>
      <w:r>
        <w:rPr>
          <w:rFonts w:hint="eastAsia" w:ascii="宋体" w:hAnsi="宋体" w:eastAsia="宋体" w:cs="宋体"/>
          <w:b/>
          <w:color w:val="000000" w:themeColor="text1"/>
          <w:sz w:val="30"/>
          <w:szCs w:val="30"/>
          <w:highlight w:val="none"/>
          <w14:textFill>
            <w14:solidFill>
              <w14:schemeClr w14:val="tx1"/>
            </w14:solidFill>
          </w14:textFill>
        </w:rPr>
        <w:t>5.残疾人福利性单位声明函</w:t>
      </w:r>
      <w:bookmarkEnd w:id="72"/>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p>
    <w:p>
      <w:pPr>
        <w:spacing w:line="600" w:lineRule="exact"/>
        <w:ind w:firstLine="504" w:firstLineChars="200"/>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sz w:val="24"/>
          <w:highlight w:val="none"/>
          <w14:textFill>
            <w14:solidFill>
              <w14:schemeClr w14:val="tx1"/>
            </w14:solidFill>
          </w14:textFill>
        </w:rPr>
        <w:t>〔2017〕 141</w:t>
      </w:r>
      <w:r>
        <w:rPr>
          <w:rFonts w:hint="eastAsia" w:ascii="宋体" w:hAnsi="宋体" w:eastAsia="宋体" w:cs="宋体"/>
          <w:color w:val="000000" w:themeColor="text1"/>
          <w:spacing w:val="6"/>
          <w:sz w:val="24"/>
          <w:highlight w:val="none"/>
          <w14:textFill>
            <w14:solidFill>
              <w14:schemeClr w14:val="tx1"/>
            </w14:solidFill>
          </w14:textFill>
        </w:rPr>
        <w:t>号）的规定，本单位为符合条件的残疾人福利性单位，且本单位参加</w:t>
      </w:r>
      <w:r>
        <w:rPr>
          <w:rFonts w:hint="eastAsia" w:ascii="宋体" w:hAnsi="宋体" w:eastAsia="宋体" w:cs="宋体"/>
          <w:color w:val="000000" w:themeColor="text1"/>
          <w:spacing w:val="6"/>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6"/>
          <w:sz w:val="24"/>
          <w:highlight w:val="none"/>
          <w14:textFill>
            <w14:solidFill>
              <w14:schemeClr w14:val="tx1"/>
            </w14:solidFill>
          </w14:textFill>
        </w:rPr>
        <w:t>单位的</w:t>
      </w:r>
      <w:r>
        <w:rPr>
          <w:rFonts w:hint="eastAsia" w:ascii="宋体" w:hAnsi="宋体" w:eastAsia="宋体" w:cs="宋体"/>
          <w:color w:val="000000" w:themeColor="text1"/>
          <w:spacing w:val="6"/>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6"/>
          <w:sz w:val="24"/>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pPr>
        <w:spacing w:line="600" w:lineRule="exact"/>
        <w:ind w:firstLine="504" w:firstLineChars="200"/>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本单位对上述声明的真实性负责。如有虚假，将依法承担相应责任。</w:t>
      </w:r>
    </w:p>
    <w:p>
      <w:pPr>
        <w:spacing w:line="500" w:lineRule="exact"/>
        <w:ind w:firstLine="480" w:firstLineChars="200"/>
        <w:rPr>
          <w:rFonts w:hint="eastAsia" w:ascii="宋体" w:hAnsi="宋体" w:eastAsia="宋体" w:cs="宋体"/>
          <w:color w:val="000000" w:themeColor="text1"/>
          <w:sz w:val="24"/>
          <w:highlight w:val="none"/>
          <w:lang w:val="zh-CN"/>
          <w14:textFill>
            <w14:solidFill>
              <w14:schemeClr w14:val="tx1"/>
            </w14:solidFill>
          </w14:textFill>
        </w:rPr>
      </w:pPr>
    </w:p>
    <w:p>
      <w:pPr>
        <w:tabs>
          <w:tab w:val="left" w:pos="4860"/>
        </w:tabs>
        <w:autoSpaceDE w:val="0"/>
        <w:autoSpaceDN w:val="0"/>
        <w:spacing w:line="588" w:lineRule="exact"/>
        <w:ind w:right="1560" w:firstLine="504"/>
        <w:jc w:val="center"/>
        <w:outlineLvl w:val="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                 </w:t>
      </w:r>
      <w:bookmarkStart w:id="73" w:name="_Toc8543"/>
      <w:bookmarkStart w:id="74" w:name="_Toc31971"/>
      <w:r>
        <w:rPr>
          <w:rFonts w:hint="eastAsia" w:ascii="宋体" w:hAnsi="宋体" w:eastAsia="宋体" w:cs="宋体"/>
          <w:color w:val="000000" w:themeColor="text1"/>
          <w:sz w:val="24"/>
          <w:highlight w:val="none"/>
          <w:lang w:val="zh-CN"/>
          <w14:textFill>
            <w14:solidFill>
              <w14:schemeClr w14:val="tx1"/>
            </w14:solidFill>
          </w14:textFill>
        </w:rPr>
        <w:t>企业名称（公章）：</w:t>
      </w:r>
      <w:bookmarkEnd w:id="73"/>
      <w:bookmarkEnd w:id="74"/>
      <w:r>
        <w:rPr>
          <w:rFonts w:hint="eastAsia" w:ascii="宋体" w:hAnsi="宋体" w:eastAsia="宋体" w:cs="宋体"/>
          <w:color w:val="000000" w:themeColor="text1"/>
          <w:sz w:val="24"/>
          <w:highlight w:val="none"/>
          <w:lang w:val="zh-CN"/>
          <w14:textFill>
            <w14:solidFill>
              <w14:schemeClr w14:val="tx1"/>
            </w14:solidFill>
          </w14:textFill>
        </w:rPr>
        <w:t xml:space="preserve"> </w:t>
      </w:r>
    </w:p>
    <w:p>
      <w:pPr>
        <w:tabs>
          <w:tab w:val="left" w:pos="4860"/>
        </w:tabs>
        <w:spacing w:line="500" w:lineRule="exact"/>
        <w:ind w:right="1560" w:firstLine="480" w:firstLineChars="200"/>
        <w:jc w:val="center"/>
        <w:outlineLvl w:val="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bookmarkStart w:id="75" w:name="_Toc13193"/>
      <w:bookmarkStart w:id="76" w:name="_Toc2346"/>
      <w:r>
        <w:rPr>
          <w:rFonts w:hint="eastAsia" w:ascii="宋体" w:hAnsi="宋体" w:eastAsia="宋体" w:cs="宋体"/>
          <w:color w:val="000000" w:themeColor="text1"/>
          <w:sz w:val="24"/>
          <w:highlight w:val="none"/>
          <w:lang w:val="zh-CN"/>
          <w14:textFill>
            <w14:solidFill>
              <w14:schemeClr w14:val="tx1"/>
            </w14:solidFill>
          </w14:textFill>
        </w:rPr>
        <w:t xml:space="preserve">日期：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年</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月</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日</w:t>
      </w:r>
      <w:bookmarkEnd w:id="75"/>
      <w:bookmarkEnd w:id="76"/>
    </w:p>
    <w:p>
      <w:pPr>
        <w:pStyle w:val="96"/>
        <w:rPr>
          <w:rFonts w:hint="eastAsia" w:ascii="宋体" w:hAnsi="宋体" w:eastAsia="宋体" w:cs="宋体"/>
          <w:color w:val="000000" w:themeColor="text1"/>
          <w:highlight w:val="none"/>
          <w14:textFill>
            <w14:solidFill>
              <w14:schemeClr w14:val="tx1"/>
            </w14:solidFill>
          </w14:textFill>
        </w:rPr>
      </w:pPr>
    </w:p>
    <w:p>
      <w:pPr>
        <w:pStyle w:val="96"/>
        <w:rPr>
          <w:rFonts w:hint="eastAsia" w:ascii="宋体" w:hAnsi="宋体" w:eastAsia="宋体" w:cs="宋体"/>
          <w:color w:val="000000" w:themeColor="text1"/>
          <w:highlight w:val="none"/>
          <w14:textFill>
            <w14:solidFill>
              <w14:schemeClr w14:val="tx1"/>
            </w14:solidFill>
          </w14:textFill>
        </w:rPr>
      </w:pPr>
    </w:p>
    <w:p>
      <w:pPr>
        <w:pStyle w:val="96"/>
        <w:rPr>
          <w:rFonts w:hint="eastAsia" w:ascii="宋体" w:hAnsi="宋体" w:eastAsia="宋体" w:cs="宋体"/>
          <w:color w:val="000000" w:themeColor="text1"/>
          <w:highlight w:val="none"/>
          <w14:textFill>
            <w14:solidFill>
              <w14:schemeClr w14:val="tx1"/>
            </w14:solidFill>
          </w14:textFill>
        </w:rPr>
      </w:pPr>
    </w:p>
    <w:p>
      <w:pPr>
        <w:pStyle w:val="96"/>
        <w:rPr>
          <w:rFonts w:hint="eastAsia" w:ascii="宋体" w:hAnsi="宋体" w:eastAsia="宋体" w:cs="宋体"/>
          <w:color w:val="000000" w:themeColor="text1"/>
          <w:highlight w:val="none"/>
          <w14:textFill>
            <w14:solidFill>
              <w14:schemeClr w14:val="tx1"/>
            </w14:solidFill>
          </w14:textFill>
        </w:rPr>
      </w:pPr>
    </w:p>
    <w:p>
      <w:pPr>
        <w:pStyle w:val="96"/>
        <w:rPr>
          <w:rFonts w:hint="eastAsia" w:ascii="宋体" w:hAnsi="宋体" w:eastAsia="宋体" w:cs="宋体"/>
          <w:color w:val="000000" w:themeColor="text1"/>
          <w:highlight w:val="none"/>
          <w14:textFill>
            <w14:solidFill>
              <w14:schemeClr w14:val="tx1"/>
            </w14:solidFill>
          </w14:textFill>
        </w:rPr>
      </w:pPr>
    </w:p>
    <w:p>
      <w:pPr>
        <w:pStyle w:val="96"/>
        <w:rPr>
          <w:rFonts w:hint="eastAsia" w:ascii="宋体" w:hAnsi="宋体" w:eastAsia="宋体" w:cs="宋体"/>
          <w:color w:val="000000" w:themeColor="text1"/>
          <w:highlight w:val="none"/>
          <w14:textFill>
            <w14:solidFill>
              <w14:schemeClr w14:val="tx1"/>
            </w14:solidFill>
          </w14:textFill>
        </w:rPr>
      </w:pPr>
    </w:p>
    <w:p>
      <w:pPr>
        <w:pStyle w:val="96"/>
        <w:rPr>
          <w:rFonts w:hint="eastAsia" w:ascii="宋体" w:hAnsi="宋体" w:eastAsia="宋体" w:cs="宋体"/>
          <w:color w:val="000000" w:themeColor="text1"/>
          <w:highlight w:val="none"/>
          <w14:textFill>
            <w14:solidFill>
              <w14:schemeClr w14:val="tx1"/>
            </w14:solidFill>
          </w14:textFill>
        </w:rPr>
      </w:pPr>
    </w:p>
    <w:p>
      <w:pPr>
        <w:pStyle w:val="96"/>
        <w:rPr>
          <w:rFonts w:hint="eastAsia" w:ascii="宋体" w:hAnsi="宋体" w:eastAsia="宋体" w:cs="宋体"/>
          <w:color w:val="000000" w:themeColor="text1"/>
          <w:highlight w:val="none"/>
          <w14:textFill>
            <w14:solidFill>
              <w14:schemeClr w14:val="tx1"/>
            </w14:solidFill>
          </w14:textFill>
        </w:rPr>
      </w:pPr>
    </w:p>
    <w:p>
      <w:pPr>
        <w:pStyle w:val="96"/>
        <w:rPr>
          <w:rFonts w:hint="eastAsia" w:ascii="宋体" w:hAnsi="宋体" w:eastAsia="宋体" w:cs="宋体"/>
          <w:color w:val="000000" w:themeColor="text1"/>
          <w:highlight w:val="none"/>
          <w14:textFill>
            <w14:solidFill>
              <w14:schemeClr w14:val="tx1"/>
            </w14:solidFill>
          </w14:textFill>
        </w:rPr>
      </w:pPr>
    </w:p>
    <w:p>
      <w:pPr>
        <w:pStyle w:val="96"/>
        <w:rPr>
          <w:rFonts w:hint="eastAsia" w:ascii="宋体" w:hAnsi="宋体" w:eastAsia="宋体" w:cs="宋体"/>
          <w:color w:val="000000" w:themeColor="text1"/>
          <w:highlight w:val="none"/>
          <w14:textFill>
            <w14:solidFill>
              <w14:schemeClr w14:val="tx1"/>
            </w14:solidFill>
          </w14:textFill>
        </w:rPr>
      </w:pPr>
    </w:p>
    <w:p>
      <w:pPr>
        <w:pStyle w:val="96"/>
        <w:rPr>
          <w:rFonts w:hint="eastAsia" w:ascii="宋体" w:hAnsi="宋体" w:eastAsia="宋体" w:cs="宋体"/>
          <w:color w:val="000000" w:themeColor="text1"/>
          <w:highlight w:val="none"/>
          <w14:textFill>
            <w14:solidFill>
              <w14:schemeClr w14:val="tx1"/>
            </w14:solidFill>
          </w14:textFill>
        </w:rPr>
      </w:pPr>
    </w:p>
    <w:p>
      <w:pPr>
        <w:pStyle w:val="96"/>
        <w:rPr>
          <w:rFonts w:hint="eastAsia" w:ascii="宋体" w:hAnsi="宋体" w:eastAsia="宋体" w:cs="宋体"/>
          <w:color w:val="000000" w:themeColor="text1"/>
          <w:highlight w:val="none"/>
          <w14:textFill>
            <w14:solidFill>
              <w14:schemeClr w14:val="tx1"/>
            </w14:solidFill>
          </w14:textFill>
        </w:rPr>
      </w:pPr>
    </w:p>
    <w:p>
      <w:pPr>
        <w:pStyle w:val="96"/>
        <w:rPr>
          <w:rFonts w:hint="eastAsia" w:ascii="宋体" w:hAnsi="宋体" w:eastAsia="宋体" w:cs="宋体"/>
          <w:color w:val="000000" w:themeColor="text1"/>
          <w:highlight w:val="none"/>
          <w14:textFill>
            <w14:solidFill>
              <w14:schemeClr w14:val="tx1"/>
            </w14:solidFill>
          </w14:textFill>
        </w:rPr>
      </w:pPr>
    </w:p>
    <w:p>
      <w:pPr>
        <w:pStyle w:val="96"/>
        <w:rPr>
          <w:rFonts w:hint="eastAsia" w:ascii="宋体" w:hAnsi="宋体" w:eastAsia="宋体" w:cs="宋体"/>
          <w:color w:val="000000" w:themeColor="text1"/>
          <w:highlight w:val="none"/>
          <w14:textFill>
            <w14:solidFill>
              <w14:schemeClr w14:val="tx1"/>
            </w14:solidFill>
          </w14:textFill>
        </w:rPr>
      </w:pPr>
    </w:p>
    <w:p>
      <w:pPr>
        <w:pStyle w:val="96"/>
        <w:rPr>
          <w:rFonts w:hint="eastAsia" w:ascii="宋体" w:hAnsi="宋体" w:eastAsia="宋体" w:cs="宋体"/>
          <w:color w:val="000000" w:themeColor="text1"/>
          <w:highlight w:val="none"/>
          <w14:textFill>
            <w14:solidFill>
              <w14:schemeClr w14:val="tx1"/>
            </w14:solidFill>
          </w14:textFill>
        </w:rPr>
      </w:pPr>
    </w:p>
    <w:p>
      <w:pPr>
        <w:pStyle w:val="96"/>
        <w:rPr>
          <w:rFonts w:hint="eastAsia" w:ascii="宋体" w:hAnsi="宋体" w:eastAsia="宋体" w:cs="宋体"/>
          <w:color w:val="000000" w:themeColor="text1"/>
          <w:highlight w:val="none"/>
          <w14:textFill>
            <w14:solidFill>
              <w14:schemeClr w14:val="tx1"/>
            </w14:solidFill>
          </w14:textFill>
        </w:rPr>
      </w:pPr>
    </w:p>
    <w:p>
      <w:pPr>
        <w:spacing w:line="500" w:lineRule="exact"/>
        <w:jc w:val="center"/>
        <w:rPr>
          <w:rFonts w:hint="eastAsia" w:ascii="宋体" w:hAnsi="宋体" w:eastAsia="宋体" w:cs="宋体"/>
          <w:b/>
          <w:color w:val="000000" w:themeColor="text1"/>
          <w:sz w:val="32"/>
          <w:highlight w:val="none"/>
          <w14:textFill>
            <w14:solidFill>
              <w14:schemeClr w14:val="tx1"/>
            </w14:solidFill>
          </w14:textFill>
        </w:rPr>
      </w:pPr>
    </w:p>
    <w:p>
      <w:pPr>
        <w:spacing w:line="500" w:lineRule="exact"/>
        <w:jc w:val="center"/>
        <w:outlineLvl w:val="0"/>
        <w:rPr>
          <w:rFonts w:hint="eastAsia" w:ascii="宋体" w:hAnsi="宋体" w:eastAsia="宋体" w:cs="宋体"/>
          <w:b/>
          <w:color w:val="000000" w:themeColor="text1"/>
          <w:sz w:val="30"/>
          <w:szCs w:val="30"/>
          <w:highlight w:val="none"/>
          <w14:textFill>
            <w14:solidFill>
              <w14:schemeClr w14:val="tx1"/>
            </w14:solidFill>
          </w14:textFill>
        </w:rPr>
      </w:pPr>
      <w:bookmarkStart w:id="77" w:name="_Toc7112"/>
      <w:bookmarkStart w:id="78" w:name="_Toc29367"/>
      <w:r>
        <w:rPr>
          <w:rFonts w:hint="eastAsia" w:ascii="宋体" w:hAnsi="宋体" w:eastAsia="宋体" w:cs="宋体"/>
          <w:b/>
          <w:color w:val="000000" w:themeColor="text1"/>
          <w:sz w:val="32"/>
          <w:highlight w:val="none"/>
          <w14:textFill>
            <w14:solidFill>
              <w14:schemeClr w14:val="tx1"/>
            </w14:solidFill>
          </w14:textFill>
        </w:rPr>
        <w:t>6.小型和微型企业、监狱企业</w:t>
      </w:r>
      <w:r>
        <w:rPr>
          <w:rFonts w:hint="eastAsia" w:ascii="宋体" w:hAnsi="宋体" w:eastAsia="宋体" w:cs="宋体"/>
          <w:b/>
          <w:color w:val="000000" w:themeColor="text1"/>
          <w:sz w:val="30"/>
          <w:szCs w:val="30"/>
          <w:highlight w:val="none"/>
          <w14:textFill>
            <w14:solidFill>
              <w14:schemeClr w14:val="tx1"/>
            </w14:solidFill>
          </w14:textFill>
        </w:rPr>
        <w:t>、残疾人福利性单位</w:t>
      </w:r>
      <w:bookmarkEnd w:id="77"/>
      <w:bookmarkEnd w:id="78"/>
    </w:p>
    <w:p>
      <w:pPr>
        <w:spacing w:line="360" w:lineRule="auto"/>
        <w:jc w:val="cente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报价说明表</w:t>
      </w:r>
    </w:p>
    <w:tbl>
      <w:tblPr>
        <w:tblStyle w:val="74"/>
        <w:tblW w:w="9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1549"/>
        <w:gridCol w:w="1255"/>
        <w:gridCol w:w="1232"/>
        <w:gridCol w:w="706"/>
        <w:gridCol w:w="866"/>
        <w:gridCol w:w="1189"/>
        <w:gridCol w:w="1237"/>
        <w:gridCol w:w="1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51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序号</w:t>
            </w:r>
          </w:p>
        </w:tc>
        <w:tc>
          <w:tcPr>
            <w:tcW w:w="1549"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货物及服务</w:t>
            </w:r>
          </w:p>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名称</w:t>
            </w:r>
          </w:p>
        </w:tc>
        <w:tc>
          <w:tcPr>
            <w:tcW w:w="1255"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型号/规格</w:t>
            </w:r>
          </w:p>
        </w:tc>
        <w:tc>
          <w:tcPr>
            <w:tcW w:w="1232"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制造厂</w:t>
            </w:r>
          </w:p>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名称</w:t>
            </w:r>
          </w:p>
        </w:tc>
        <w:tc>
          <w:tcPr>
            <w:tcW w:w="7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数量</w:t>
            </w:r>
          </w:p>
        </w:tc>
        <w:tc>
          <w:tcPr>
            <w:tcW w:w="86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单价</w:t>
            </w:r>
          </w:p>
        </w:tc>
        <w:tc>
          <w:tcPr>
            <w:tcW w:w="118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监狱企业</w:t>
            </w:r>
          </w:p>
        </w:tc>
        <w:tc>
          <w:tcPr>
            <w:tcW w:w="123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小型、微型企业</w:t>
            </w:r>
          </w:p>
        </w:tc>
        <w:tc>
          <w:tcPr>
            <w:tcW w:w="123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残疾人福利性企业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51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szCs w:val="21"/>
                <w:highlight w:val="none"/>
                <w14:textFill>
                  <w14:solidFill>
                    <w14:schemeClr w14:val="tx1"/>
                  </w14:solidFill>
                </w14:textFill>
              </w:rPr>
            </w:pPr>
          </w:p>
        </w:tc>
        <w:tc>
          <w:tcPr>
            <w:tcW w:w="154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szCs w:val="21"/>
                <w:highlight w:val="none"/>
                <w14:textFill>
                  <w14:solidFill>
                    <w14:schemeClr w14:val="tx1"/>
                  </w14:solidFill>
                </w14:textFill>
              </w:rPr>
            </w:pPr>
          </w:p>
        </w:tc>
        <w:tc>
          <w:tcPr>
            <w:tcW w:w="125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szCs w:val="21"/>
                <w:highlight w:val="none"/>
                <w14:textFill>
                  <w14:solidFill>
                    <w14:schemeClr w14:val="tx1"/>
                  </w14:solidFill>
                </w14:textFill>
              </w:rPr>
            </w:pPr>
          </w:p>
        </w:tc>
        <w:tc>
          <w:tcPr>
            <w:tcW w:w="123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szCs w:val="21"/>
                <w:highlight w:val="none"/>
                <w14:textFill>
                  <w14:solidFill>
                    <w14:schemeClr w14:val="tx1"/>
                  </w14:solidFill>
                </w14:textFill>
              </w:rPr>
            </w:pPr>
          </w:p>
        </w:tc>
        <w:tc>
          <w:tcPr>
            <w:tcW w:w="7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szCs w:val="21"/>
                <w:highlight w:val="none"/>
                <w14:textFill>
                  <w14:solidFill>
                    <w14:schemeClr w14:val="tx1"/>
                  </w14:solidFill>
                </w14:textFill>
              </w:rPr>
            </w:pPr>
          </w:p>
        </w:tc>
        <w:tc>
          <w:tcPr>
            <w:tcW w:w="86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themeColor="text1"/>
                <w:szCs w:val="21"/>
                <w:highlight w:val="none"/>
                <w14:textFill>
                  <w14:solidFill>
                    <w14:schemeClr w14:val="tx1"/>
                  </w14:solidFill>
                </w14:textFill>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合计</w:t>
            </w:r>
          </w:p>
        </w:tc>
        <w:tc>
          <w:tcPr>
            <w:tcW w:w="123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合计</w:t>
            </w:r>
          </w:p>
        </w:tc>
        <w:tc>
          <w:tcPr>
            <w:tcW w:w="123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51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1549"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25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232"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70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86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189"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51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1549"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25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232"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70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86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189"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51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549"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255"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232"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70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866"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189"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6124"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小型、微型企业、监狱企业、残疾人福利性单位报价总计</w:t>
            </w:r>
          </w:p>
        </w:tc>
        <w:tc>
          <w:tcPr>
            <w:tcW w:w="118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p>
        </w:tc>
      </w:tr>
    </w:tbl>
    <w:p>
      <w:pPr>
        <w:spacing w:line="360" w:lineRule="auto"/>
        <w:ind w:right="-512" w:rightChars="-244" w:firstLine="180" w:firstLineChars="7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说明：</w:t>
      </w:r>
    </w:p>
    <w:p>
      <w:pPr>
        <w:spacing w:line="360" w:lineRule="auto"/>
        <w:ind w:firstLine="180" w:firstLineChars="7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填入的产品必须是本企业生产的产品、承担的工程或服务，或代理的其他监狱企业、小型企业、微型企业、残疾人福利性单位的产品；其他监狱企业、小型、微型企业的产品，须同时提供产品授权和该企业的监狱企业、小型企业、微型企业、残疾人福利性单位的证明。</w:t>
      </w:r>
    </w:p>
    <w:p>
      <w:pPr>
        <w:spacing w:line="360" w:lineRule="auto"/>
        <w:ind w:firstLine="180" w:firstLineChars="7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2、填写本表的小型和微型企业或残疾人福利性单位须提供“中小企业声明函” 或 “残疾人福利性单位声明函”；填写本表的监狱企业须提供</w:t>
      </w:r>
      <w:r>
        <w:rPr>
          <w:rFonts w:hint="eastAsia" w:ascii="宋体" w:hAnsi="宋体" w:eastAsia="宋体" w:cs="宋体"/>
          <w:color w:val="000000" w:themeColor="text1"/>
          <w:kern w:val="0"/>
          <w:sz w:val="24"/>
          <w:highlight w:val="none"/>
          <w14:textFill>
            <w14:solidFill>
              <w14:schemeClr w14:val="tx1"/>
            </w14:solidFill>
          </w14:textFill>
        </w:rPr>
        <w:t>由省级以上监狱管理局、戒毒管理局（含新疆生产建设兵团）出具的属于监狱企业证明文件。</w:t>
      </w:r>
      <w:r>
        <w:rPr>
          <w:rFonts w:hint="eastAsia" w:ascii="宋体" w:hAnsi="宋体" w:eastAsia="宋体" w:cs="宋体"/>
          <w:color w:val="000000" w:themeColor="text1"/>
          <w:sz w:val="24"/>
          <w:highlight w:val="none"/>
          <w14:textFill>
            <w14:solidFill>
              <w14:schemeClr w14:val="tx1"/>
            </w14:solidFill>
          </w14:textFill>
        </w:rPr>
        <w:t>如提供虚假信息，中标（成交）无效，并承担法律责任。</w:t>
      </w:r>
    </w:p>
    <w:p>
      <w:pPr>
        <w:spacing w:line="360" w:lineRule="auto"/>
        <w:ind w:firstLine="180" w:firstLineChars="7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3、不填报本报价表，不提供“中小企业声明函”或 “残疾人福利性单位声明函”和证明文件或经评委认定与标准不符的，评审时有权不对其产品报价给予评审价格折扣。</w:t>
      </w:r>
    </w:p>
    <w:p>
      <w:pPr>
        <w:spacing w:line="360" w:lineRule="auto"/>
        <w:rPr>
          <w:rFonts w:hint="eastAsia" w:ascii="宋体" w:hAnsi="宋体" w:eastAsia="宋体" w:cs="宋体"/>
          <w:color w:val="000000" w:themeColor="text1"/>
          <w:sz w:val="24"/>
          <w:highlight w:val="none"/>
          <w14:textFill>
            <w14:solidFill>
              <w14:schemeClr w14:val="tx1"/>
            </w14:solidFill>
          </w14:textFill>
        </w:rPr>
      </w:pPr>
    </w:p>
    <w:p>
      <w:pPr>
        <w:spacing w:line="360" w:lineRule="auto"/>
        <w:rPr>
          <w:rFonts w:hint="eastAsia" w:ascii="宋体" w:hAnsi="宋体" w:eastAsia="宋体" w:cs="宋体"/>
          <w:color w:val="000000" w:themeColor="text1"/>
          <w:sz w:val="24"/>
          <w:highlight w:val="none"/>
          <w14:textFill>
            <w14:solidFill>
              <w14:schemeClr w14:val="tx1"/>
            </w14:solidFill>
          </w14:textFill>
        </w:rPr>
      </w:pPr>
    </w:p>
    <w:p>
      <w:pPr>
        <w:spacing w:line="360" w:lineRule="auto"/>
        <w:rPr>
          <w:rFonts w:hint="eastAsia" w:ascii="宋体" w:hAnsi="宋体" w:eastAsia="宋体" w:cs="宋体"/>
          <w:color w:val="000000" w:themeColor="text1"/>
          <w:sz w:val="24"/>
          <w:highlight w:val="none"/>
          <w14:textFill>
            <w14:solidFill>
              <w14:schemeClr w14:val="tx1"/>
            </w14:solidFill>
          </w14:textFill>
        </w:rPr>
      </w:pPr>
    </w:p>
    <w:p>
      <w:pPr>
        <w:spacing w:line="360" w:lineRule="auto"/>
        <w:rPr>
          <w:rFonts w:hint="eastAsia" w:ascii="宋体" w:hAnsi="宋体" w:eastAsia="宋体" w:cs="宋体"/>
          <w:color w:val="000000" w:themeColor="text1"/>
          <w:sz w:val="24"/>
          <w:highlight w:val="none"/>
          <w14:textFill>
            <w14:solidFill>
              <w14:schemeClr w14:val="tx1"/>
            </w14:solidFill>
          </w14:textFill>
        </w:rPr>
      </w:pPr>
    </w:p>
    <w:p>
      <w:pPr>
        <w:spacing w:line="360" w:lineRule="auto"/>
        <w:rPr>
          <w:rFonts w:hint="eastAsia" w:ascii="宋体" w:hAnsi="宋体" w:eastAsia="宋体" w:cs="宋体"/>
          <w:color w:val="000000" w:themeColor="text1"/>
          <w:sz w:val="24"/>
          <w:highlight w:val="none"/>
          <w14:textFill>
            <w14:solidFill>
              <w14:schemeClr w14:val="tx1"/>
            </w14:solidFill>
          </w14:textFill>
        </w:rPr>
      </w:pPr>
    </w:p>
    <w:p>
      <w:pPr>
        <w:spacing w:line="360" w:lineRule="auto"/>
        <w:rPr>
          <w:rFonts w:hint="eastAsia" w:ascii="宋体" w:hAnsi="宋体" w:eastAsia="宋体" w:cs="宋体"/>
          <w:color w:val="000000" w:themeColor="text1"/>
          <w:sz w:val="24"/>
          <w:highlight w:val="none"/>
          <w14:textFill>
            <w14:solidFill>
              <w14:schemeClr w14:val="tx1"/>
            </w14:solidFill>
          </w14:textFill>
        </w:rPr>
      </w:pPr>
    </w:p>
    <w:p>
      <w:pPr>
        <w:spacing w:line="360" w:lineRule="auto"/>
        <w:rPr>
          <w:rFonts w:hint="eastAsia" w:ascii="宋体" w:hAnsi="宋体" w:eastAsia="宋体" w:cs="宋体"/>
          <w:color w:val="000000" w:themeColor="text1"/>
          <w:sz w:val="24"/>
          <w:highlight w:val="none"/>
          <w14:textFill>
            <w14:solidFill>
              <w14:schemeClr w14:val="tx1"/>
            </w14:solidFill>
          </w14:textFill>
        </w:rPr>
      </w:pPr>
    </w:p>
    <w:p>
      <w:pPr>
        <w:pStyle w:val="377"/>
        <w:ind w:firstLine="480"/>
        <w:rPr>
          <w:rFonts w:hint="eastAsia" w:ascii="宋体" w:hAnsi="宋体" w:eastAsia="宋体" w:cs="宋体"/>
          <w:color w:val="000000" w:themeColor="text1"/>
          <w:sz w:val="24"/>
          <w:highlight w:val="none"/>
          <w14:textFill>
            <w14:solidFill>
              <w14:schemeClr w14:val="tx1"/>
            </w14:solidFill>
          </w14:textFill>
        </w:rPr>
      </w:pPr>
    </w:p>
    <w:p>
      <w:pPr>
        <w:pStyle w:val="377"/>
        <w:ind w:firstLine="480"/>
        <w:rPr>
          <w:rFonts w:hint="eastAsia" w:ascii="宋体" w:hAnsi="宋体" w:eastAsia="宋体" w:cs="宋体"/>
          <w:color w:val="000000" w:themeColor="text1"/>
          <w:sz w:val="24"/>
          <w:highlight w:val="none"/>
          <w14:textFill>
            <w14:solidFill>
              <w14:schemeClr w14:val="tx1"/>
            </w14:solidFill>
          </w14:textFill>
        </w:rPr>
      </w:pPr>
    </w:p>
    <w:p>
      <w:pPr>
        <w:pStyle w:val="377"/>
        <w:ind w:firstLine="480"/>
        <w:rPr>
          <w:rFonts w:hint="eastAsia" w:ascii="宋体" w:hAnsi="宋体" w:eastAsia="宋体" w:cs="宋体"/>
          <w:color w:val="000000" w:themeColor="text1"/>
          <w:sz w:val="24"/>
          <w:highlight w:val="none"/>
          <w14:textFill>
            <w14:solidFill>
              <w14:schemeClr w14:val="tx1"/>
            </w14:solidFill>
          </w14:textFill>
        </w:rPr>
      </w:pPr>
    </w:p>
    <w:p>
      <w:pPr>
        <w:pStyle w:val="377"/>
        <w:ind w:firstLine="480"/>
        <w:rPr>
          <w:rFonts w:hint="eastAsia" w:ascii="宋体" w:hAnsi="宋体" w:eastAsia="宋体" w:cs="宋体"/>
          <w:color w:val="000000" w:themeColor="text1"/>
          <w:sz w:val="24"/>
          <w:highlight w:val="none"/>
          <w14:textFill>
            <w14:solidFill>
              <w14:schemeClr w14:val="tx1"/>
            </w14:solidFill>
          </w14:textFill>
        </w:rPr>
      </w:pPr>
    </w:p>
    <w:p>
      <w:pPr>
        <w:widowControl/>
        <w:spacing w:line="360" w:lineRule="exact"/>
        <w:jc w:val="center"/>
        <w:outlineLvl w:val="0"/>
        <w:rPr>
          <w:rFonts w:hint="eastAsia" w:ascii="宋体" w:hAnsi="宋体" w:eastAsia="宋体" w:cs="宋体"/>
          <w:b/>
          <w:bCs/>
          <w:color w:val="000000" w:themeColor="text1"/>
          <w:kern w:val="0"/>
          <w:sz w:val="28"/>
          <w:szCs w:val="28"/>
          <w:highlight w:val="none"/>
          <w:lang w:bidi="ar"/>
          <w14:textFill>
            <w14:solidFill>
              <w14:schemeClr w14:val="tx1"/>
            </w14:solidFill>
          </w14:textFill>
        </w:rPr>
      </w:pPr>
      <w:bookmarkStart w:id="79" w:name="_Toc4326"/>
      <w:bookmarkStart w:id="80" w:name="_Toc24950"/>
      <w:bookmarkStart w:id="81" w:name="_Toc10356"/>
      <w:bookmarkStart w:id="82" w:name="_Toc28846"/>
      <w:r>
        <w:rPr>
          <w:rFonts w:hint="eastAsia" w:ascii="宋体" w:hAnsi="宋体" w:eastAsia="宋体" w:cs="宋体"/>
          <w:b/>
          <w:bCs/>
          <w:color w:val="000000" w:themeColor="text1"/>
          <w:kern w:val="0"/>
          <w:sz w:val="28"/>
          <w:szCs w:val="28"/>
          <w:highlight w:val="none"/>
          <w:lang w:bidi="ar"/>
          <w14:textFill>
            <w14:solidFill>
              <w14:schemeClr w14:val="tx1"/>
            </w14:solidFill>
          </w14:textFill>
        </w:rPr>
        <w:t>7.节能、环保产品及监狱、小微企业、残疾人福利性单位认定表</w:t>
      </w:r>
      <w:bookmarkEnd w:id="79"/>
      <w:bookmarkEnd w:id="80"/>
    </w:p>
    <w:p>
      <w:pPr>
        <w:spacing w:line="350" w:lineRule="exact"/>
        <w:rPr>
          <w:rFonts w:hint="eastAsia" w:ascii="宋体" w:hAnsi="宋体" w:eastAsia="宋体" w:cs="宋体"/>
          <w:color w:val="000000" w:themeColor="text1"/>
          <w:sz w:val="24"/>
          <w:highlight w:val="none"/>
          <w14:textFill>
            <w14:solidFill>
              <w14:schemeClr w14:val="tx1"/>
            </w14:solidFill>
          </w14:textFill>
        </w:rPr>
      </w:pPr>
    </w:p>
    <w:p>
      <w:pPr>
        <w:spacing w:line="35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p>
    <w:tbl>
      <w:tblPr>
        <w:tblStyle w:val="74"/>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23"/>
        <w:gridCol w:w="4084"/>
        <w:gridCol w:w="3135"/>
        <w:gridCol w:w="90"/>
        <w:gridCol w:w="16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4" w:hRule="atLeast"/>
          <w:jc w:val="center"/>
        </w:trPr>
        <w:tc>
          <w:tcPr>
            <w:tcW w:w="721" w:type="dxa"/>
            <w:vMerge w:val="restart"/>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序号</w:t>
            </w:r>
          </w:p>
        </w:tc>
        <w:tc>
          <w:tcPr>
            <w:tcW w:w="7242" w:type="dxa"/>
            <w:gridSpan w:val="3"/>
            <w:vMerge w:val="restart"/>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内容</w:t>
            </w:r>
          </w:p>
        </w:tc>
        <w:tc>
          <w:tcPr>
            <w:tcW w:w="1717" w:type="dxa"/>
            <w:gridSpan w:val="2"/>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核验结果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9" w:hRule="atLeast"/>
          <w:jc w:val="center"/>
        </w:trPr>
        <w:tc>
          <w:tcPr>
            <w:tcW w:w="721" w:type="dxa"/>
            <w:vMerge w:val="continue"/>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p>
        </w:tc>
        <w:tc>
          <w:tcPr>
            <w:tcW w:w="7242" w:type="dxa"/>
            <w:gridSpan w:val="3"/>
            <w:vMerge w:val="continue"/>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p>
        </w:tc>
        <w:tc>
          <w:tcPr>
            <w:tcW w:w="1717" w:type="dxa"/>
            <w:gridSpan w:val="2"/>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有效√无效划X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9680" w:type="dxa"/>
            <w:gridSpan w:val="6"/>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节能产品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721" w:type="dxa"/>
            <w:noWrap w:val="0"/>
            <w:vAlign w:val="center"/>
          </w:tcPr>
          <w:p>
            <w:pPr>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4107" w:type="dxa"/>
            <w:gridSpan w:val="2"/>
            <w:noWrap w:val="0"/>
            <w:vAlign w:val="center"/>
          </w:tcPr>
          <w:p>
            <w:pP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节能产品明细表</w:t>
            </w:r>
          </w:p>
        </w:tc>
        <w:tc>
          <w:tcPr>
            <w:tcW w:w="3225" w:type="dxa"/>
            <w:gridSpan w:val="2"/>
            <w:noWrap w:val="0"/>
            <w:vAlign w:val="center"/>
          </w:tcPr>
          <w:p>
            <w:pPr>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强制节能 □ 报价：</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优先采购 □ 报价：</w:t>
            </w:r>
            <w:r>
              <w:rPr>
                <w:rFonts w:hint="eastAsia" w:ascii="宋体" w:hAnsi="宋体" w:eastAsia="宋体" w:cs="宋体"/>
                <w:color w:val="000000" w:themeColor="text1"/>
                <w:szCs w:val="21"/>
                <w:highlight w:val="none"/>
                <w:u w:val="single"/>
                <w14:textFill>
                  <w14:solidFill>
                    <w14:schemeClr w14:val="tx1"/>
                  </w14:solidFill>
                </w14:textFill>
              </w:rPr>
              <w:t xml:space="preserve">            </w:t>
            </w:r>
          </w:p>
        </w:tc>
        <w:tc>
          <w:tcPr>
            <w:tcW w:w="1627" w:type="dxa"/>
            <w:noWrap w:val="0"/>
            <w:vAlign w:val="center"/>
          </w:tcPr>
          <w:p>
            <w:pPr>
              <w:jc w:val="center"/>
              <w:rPr>
                <w:rFonts w:hint="eastAsia" w:ascii="宋体" w:hAnsi="宋体" w:eastAsia="宋体" w:cs="宋体"/>
                <w:b/>
                <w:bCs/>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721" w:type="dxa"/>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4107" w:type="dxa"/>
            <w:gridSpan w:val="2"/>
            <w:noWrap w:val="0"/>
            <w:vAlign w:val="center"/>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所投产品由国家确定的认证机构出具的、处于有效期之内的节能产品认证证书</w:t>
            </w:r>
          </w:p>
        </w:tc>
        <w:tc>
          <w:tcPr>
            <w:tcW w:w="3225" w:type="dxa"/>
            <w:gridSpan w:val="2"/>
            <w:noWrap w:val="0"/>
            <w:vAlign w:val="center"/>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w:t>
            </w:r>
          </w:p>
        </w:tc>
        <w:tc>
          <w:tcPr>
            <w:tcW w:w="1627" w:type="dxa"/>
            <w:noWrap w:val="0"/>
            <w:vAlign w:val="center"/>
          </w:tcPr>
          <w:p>
            <w:pPr>
              <w:jc w:val="center"/>
              <w:rPr>
                <w:rFonts w:hint="eastAsia" w:ascii="宋体" w:hAnsi="宋体" w:eastAsia="宋体" w:cs="宋体"/>
                <w:b/>
                <w:bCs/>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9680" w:type="dxa"/>
            <w:gridSpan w:val="6"/>
            <w:noWrap w:val="0"/>
            <w:vAlign w:val="center"/>
          </w:tcPr>
          <w:p>
            <w:pPr>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环保产品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21" w:type="dxa"/>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4107" w:type="dxa"/>
            <w:gridSpan w:val="2"/>
            <w:noWrap w:val="0"/>
            <w:vAlign w:val="center"/>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环境标志产品明细表</w:t>
            </w:r>
          </w:p>
        </w:tc>
        <w:tc>
          <w:tcPr>
            <w:tcW w:w="3225" w:type="dxa"/>
            <w:gridSpan w:val="2"/>
            <w:noWrap w:val="0"/>
            <w:vAlign w:val="center"/>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 报价：</w:t>
            </w:r>
            <w:r>
              <w:rPr>
                <w:rFonts w:hint="eastAsia" w:ascii="宋体" w:hAnsi="宋体" w:eastAsia="宋体" w:cs="宋体"/>
                <w:color w:val="000000" w:themeColor="text1"/>
                <w:szCs w:val="21"/>
                <w:highlight w:val="none"/>
                <w:u w:val="single"/>
                <w14:textFill>
                  <w14:solidFill>
                    <w14:schemeClr w14:val="tx1"/>
                  </w14:solidFill>
                </w14:textFill>
              </w:rPr>
              <w:t xml:space="preserve">           </w:t>
            </w:r>
          </w:p>
        </w:tc>
        <w:tc>
          <w:tcPr>
            <w:tcW w:w="1627" w:type="dxa"/>
            <w:noWrap w:val="0"/>
            <w:vAlign w:val="center"/>
          </w:tcPr>
          <w:p>
            <w:pPr>
              <w:jc w:val="center"/>
              <w:rPr>
                <w:rFonts w:hint="eastAsia" w:ascii="宋体" w:hAnsi="宋体" w:eastAsia="宋体" w:cs="宋体"/>
                <w:b/>
                <w:bCs/>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21" w:type="dxa"/>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4107" w:type="dxa"/>
            <w:gridSpan w:val="2"/>
            <w:noWrap w:val="0"/>
            <w:vAlign w:val="center"/>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所投产品由国家确定的认证机构出具的、处于有效期之内的环境标志产品认证证书</w:t>
            </w:r>
          </w:p>
        </w:tc>
        <w:tc>
          <w:tcPr>
            <w:tcW w:w="3225" w:type="dxa"/>
            <w:gridSpan w:val="2"/>
            <w:noWrap w:val="0"/>
            <w:vAlign w:val="center"/>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w:t>
            </w:r>
          </w:p>
        </w:tc>
        <w:tc>
          <w:tcPr>
            <w:tcW w:w="1627" w:type="dxa"/>
            <w:noWrap w:val="0"/>
            <w:vAlign w:val="center"/>
          </w:tcPr>
          <w:p>
            <w:pPr>
              <w:jc w:val="center"/>
              <w:rPr>
                <w:rFonts w:hint="eastAsia" w:ascii="宋体" w:hAnsi="宋体" w:eastAsia="宋体" w:cs="宋体"/>
                <w:b/>
                <w:bCs/>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9680" w:type="dxa"/>
            <w:gridSpan w:val="6"/>
            <w:noWrap w:val="0"/>
            <w:vAlign w:val="center"/>
          </w:tcPr>
          <w:p>
            <w:pPr>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监狱企业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744" w:type="dxa"/>
            <w:gridSpan w:val="2"/>
            <w:noWrap w:val="0"/>
            <w:vAlign w:val="center"/>
          </w:tcPr>
          <w:p>
            <w:pPr>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4084" w:type="dxa"/>
            <w:noWrap w:val="0"/>
            <w:vAlign w:val="center"/>
          </w:tcPr>
          <w:p>
            <w:pP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小型和微型企业、监狱企业、残疾人福利性单位报价说明表</w:t>
            </w:r>
          </w:p>
        </w:tc>
        <w:tc>
          <w:tcPr>
            <w:tcW w:w="3225" w:type="dxa"/>
            <w:gridSpan w:val="2"/>
            <w:noWrap w:val="0"/>
            <w:vAlign w:val="center"/>
          </w:tcPr>
          <w:p>
            <w:pP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 报价：</w:t>
            </w:r>
            <w:r>
              <w:rPr>
                <w:rFonts w:hint="eastAsia" w:ascii="宋体" w:hAnsi="宋体" w:eastAsia="宋体" w:cs="宋体"/>
                <w:color w:val="000000" w:themeColor="text1"/>
                <w:szCs w:val="21"/>
                <w:highlight w:val="none"/>
                <w:u w:val="single"/>
                <w14:textFill>
                  <w14:solidFill>
                    <w14:schemeClr w14:val="tx1"/>
                  </w14:solidFill>
                </w14:textFill>
              </w:rPr>
              <w:t xml:space="preserve">           </w:t>
            </w:r>
          </w:p>
        </w:tc>
        <w:tc>
          <w:tcPr>
            <w:tcW w:w="1627" w:type="dxa"/>
            <w:noWrap w:val="0"/>
            <w:vAlign w:val="center"/>
          </w:tcPr>
          <w:p>
            <w:pPr>
              <w:rPr>
                <w:rFonts w:hint="eastAsia" w:ascii="宋体" w:hAnsi="宋体" w:eastAsia="宋体" w:cs="宋体"/>
                <w:b/>
                <w:bCs/>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744" w:type="dxa"/>
            <w:gridSpan w:val="2"/>
            <w:noWrap w:val="0"/>
            <w:vAlign w:val="center"/>
          </w:tcPr>
          <w:p>
            <w:pPr>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4084" w:type="dxa"/>
            <w:noWrap w:val="0"/>
            <w:vAlign w:val="center"/>
          </w:tcPr>
          <w:p>
            <w:pP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监狱企业证明文件</w:t>
            </w:r>
          </w:p>
        </w:tc>
        <w:tc>
          <w:tcPr>
            <w:tcW w:w="3225" w:type="dxa"/>
            <w:gridSpan w:val="2"/>
            <w:noWrap w:val="0"/>
            <w:vAlign w:val="center"/>
          </w:tcPr>
          <w:p>
            <w:pP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w:t>
            </w:r>
          </w:p>
        </w:tc>
        <w:tc>
          <w:tcPr>
            <w:tcW w:w="1627" w:type="dxa"/>
            <w:noWrap w:val="0"/>
            <w:vAlign w:val="center"/>
          </w:tcPr>
          <w:p>
            <w:pPr>
              <w:rPr>
                <w:rFonts w:hint="eastAsia" w:ascii="宋体" w:hAnsi="宋体" w:eastAsia="宋体" w:cs="宋体"/>
                <w:b/>
                <w:bCs/>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9680" w:type="dxa"/>
            <w:gridSpan w:val="6"/>
            <w:noWrap w:val="0"/>
            <w:vAlign w:val="center"/>
          </w:tcPr>
          <w:p>
            <w:pPr>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小型和微型企业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721" w:type="dxa"/>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4107" w:type="dxa"/>
            <w:gridSpan w:val="2"/>
            <w:noWrap w:val="0"/>
            <w:vAlign w:val="center"/>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小型和微型企业、监狱企业、残疾人福利性单位报价说明表</w:t>
            </w:r>
          </w:p>
        </w:tc>
        <w:tc>
          <w:tcPr>
            <w:tcW w:w="3225" w:type="dxa"/>
            <w:gridSpan w:val="2"/>
            <w:noWrap w:val="0"/>
            <w:vAlign w:val="center"/>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 报价：</w:t>
            </w:r>
            <w:r>
              <w:rPr>
                <w:rFonts w:hint="eastAsia" w:ascii="宋体" w:hAnsi="宋体" w:eastAsia="宋体" w:cs="宋体"/>
                <w:color w:val="000000" w:themeColor="text1"/>
                <w:szCs w:val="21"/>
                <w:highlight w:val="none"/>
                <w:u w:val="single"/>
                <w14:textFill>
                  <w14:solidFill>
                    <w14:schemeClr w14:val="tx1"/>
                  </w14:solidFill>
                </w14:textFill>
              </w:rPr>
              <w:t xml:space="preserve">           </w:t>
            </w:r>
          </w:p>
        </w:tc>
        <w:tc>
          <w:tcPr>
            <w:tcW w:w="1627" w:type="dxa"/>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21" w:type="dxa"/>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4107" w:type="dxa"/>
            <w:gridSpan w:val="2"/>
            <w:noWrap w:val="0"/>
            <w:vAlign w:val="center"/>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小微企业声明函</w:t>
            </w:r>
          </w:p>
        </w:tc>
        <w:tc>
          <w:tcPr>
            <w:tcW w:w="3225" w:type="dxa"/>
            <w:gridSpan w:val="2"/>
            <w:noWrap w:val="0"/>
            <w:vAlign w:val="center"/>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w:t>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小型□  微型□</w:t>
            </w:r>
          </w:p>
        </w:tc>
        <w:tc>
          <w:tcPr>
            <w:tcW w:w="1627" w:type="dxa"/>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21" w:type="dxa"/>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p>
        </w:tc>
        <w:tc>
          <w:tcPr>
            <w:tcW w:w="4107" w:type="dxa"/>
            <w:gridSpan w:val="2"/>
            <w:noWrap w:val="0"/>
            <w:vAlign w:val="center"/>
          </w:tcPr>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从业人员及年营业收入声明函</w:t>
            </w:r>
          </w:p>
        </w:tc>
        <w:tc>
          <w:tcPr>
            <w:tcW w:w="3225" w:type="dxa"/>
            <w:gridSpan w:val="2"/>
            <w:noWrap w:val="0"/>
            <w:vAlign w:val="center"/>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w:t>
            </w:r>
          </w:p>
        </w:tc>
        <w:tc>
          <w:tcPr>
            <w:tcW w:w="1627" w:type="dxa"/>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21" w:type="dxa"/>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w:t>
            </w:r>
          </w:p>
        </w:tc>
        <w:tc>
          <w:tcPr>
            <w:tcW w:w="4107" w:type="dxa"/>
            <w:gridSpan w:val="2"/>
            <w:noWrap w:val="0"/>
            <w:vAlign w:val="center"/>
          </w:tcPr>
          <w:p>
            <w:pPr>
              <w:jc w:val="lef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产品属于其他小型、微型企业的证明文件</w:t>
            </w:r>
          </w:p>
          <w:p>
            <w:pPr>
              <w:jc w:val="lef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（如提供其他小型或微型企业制造的产品）</w:t>
            </w:r>
          </w:p>
        </w:tc>
        <w:tc>
          <w:tcPr>
            <w:tcW w:w="3225" w:type="dxa"/>
            <w:gridSpan w:val="2"/>
            <w:noWrap w:val="0"/>
            <w:vAlign w:val="center"/>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w:t>
            </w:r>
          </w:p>
        </w:tc>
        <w:tc>
          <w:tcPr>
            <w:tcW w:w="1627" w:type="dxa"/>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9680" w:type="dxa"/>
            <w:gridSpan w:val="6"/>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残疾人福利性单位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721" w:type="dxa"/>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4107" w:type="dxa"/>
            <w:gridSpan w:val="2"/>
            <w:noWrap w:val="0"/>
            <w:vAlign w:val="center"/>
          </w:tcPr>
          <w:p>
            <w:pP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小型和微型企业、监狱企业、残疾人福利性单位报价说明表</w:t>
            </w:r>
          </w:p>
        </w:tc>
        <w:tc>
          <w:tcPr>
            <w:tcW w:w="3225" w:type="dxa"/>
            <w:gridSpan w:val="2"/>
            <w:noWrap w:val="0"/>
            <w:vAlign w:val="center"/>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 报价：</w:t>
            </w:r>
            <w:r>
              <w:rPr>
                <w:rFonts w:hint="eastAsia" w:ascii="宋体" w:hAnsi="宋体" w:eastAsia="宋体" w:cs="宋体"/>
                <w:color w:val="000000" w:themeColor="text1"/>
                <w:szCs w:val="21"/>
                <w:highlight w:val="none"/>
                <w:u w:val="single"/>
                <w14:textFill>
                  <w14:solidFill>
                    <w14:schemeClr w14:val="tx1"/>
                  </w14:solidFill>
                </w14:textFill>
              </w:rPr>
              <w:t xml:space="preserve">           </w:t>
            </w:r>
          </w:p>
        </w:tc>
        <w:tc>
          <w:tcPr>
            <w:tcW w:w="1627" w:type="dxa"/>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721" w:type="dxa"/>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4107" w:type="dxa"/>
            <w:gridSpan w:val="2"/>
            <w:noWrap w:val="0"/>
            <w:vAlign w:val="center"/>
          </w:tcPr>
          <w:p>
            <w:pP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残疾人福利性单位声明函</w:t>
            </w:r>
          </w:p>
        </w:tc>
        <w:tc>
          <w:tcPr>
            <w:tcW w:w="3225" w:type="dxa"/>
            <w:gridSpan w:val="2"/>
            <w:noWrap w:val="0"/>
            <w:vAlign w:val="center"/>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w:t>
            </w:r>
          </w:p>
        </w:tc>
        <w:tc>
          <w:tcPr>
            <w:tcW w:w="1627" w:type="dxa"/>
            <w:noWrap w:val="0"/>
            <w:vAlign w:val="center"/>
          </w:tcPr>
          <w:p>
            <w:pPr>
              <w:jc w:val="center"/>
              <w:rPr>
                <w:rFonts w:hint="eastAsia" w:ascii="宋体" w:hAnsi="宋体" w:eastAsia="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9680" w:type="dxa"/>
            <w:gridSpan w:val="6"/>
            <w:noWrap w:val="0"/>
            <w:vAlign w:val="center"/>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核验人：                                           </w:t>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委托代理人签字确认：</w:t>
            </w:r>
          </w:p>
        </w:tc>
      </w:tr>
    </w:tbl>
    <w:p>
      <w:pPr>
        <w:spacing w:line="240" w:lineRule="exact"/>
        <w:jc w:val="lef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注：①涉及节能环保产品及监狱、小微企业、</w:t>
      </w:r>
      <w:r>
        <w:rPr>
          <w:rFonts w:hint="eastAsia" w:ascii="宋体" w:hAnsi="宋体" w:eastAsia="宋体" w:cs="宋体"/>
          <w:b/>
          <w:bCs/>
          <w:color w:val="000000" w:themeColor="text1"/>
          <w:szCs w:val="21"/>
          <w:highlight w:val="none"/>
          <w14:textFill>
            <w14:solidFill>
              <w14:schemeClr w14:val="tx1"/>
            </w14:solidFill>
          </w14:textFill>
        </w:rPr>
        <w:t>残疾人福利性单位产品</w:t>
      </w:r>
      <w:r>
        <w:rPr>
          <w:rFonts w:hint="eastAsia" w:ascii="宋体" w:hAnsi="宋体" w:eastAsia="宋体" w:cs="宋体"/>
          <w:b/>
          <w:bCs/>
          <w:color w:val="000000" w:themeColor="text1"/>
          <w:sz w:val="22"/>
          <w:szCs w:val="22"/>
          <w:highlight w:val="none"/>
          <w14:textFill>
            <w14:solidFill>
              <w14:schemeClr w14:val="tx1"/>
            </w14:solidFill>
          </w14:textFill>
        </w:rPr>
        <w:t>投标需填写本表，本表可根据本企业提供资料的情况自行调整或扩展；②本表仅作为方便认定用，不需装订在投标文件内,随投标文件一并提交。</w:t>
      </w:r>
    </w:p>
    <w:p>
      <w:pPr>
        <w:spacing w:line="360" w:lineRule="auto"/>
        <w:jc w:val="center"/>
        <w:rPr>
          <w:rFonts w:hint="eastAsia" w:ascii="宋体" w:hAnsi="宋体" w:eastAsia="宋体" w:cs="宋体"/>
          <w:b/>
          <w:bCs/>
          <w:color w:val="000000" w:themeColor="text1"/>
          <w:sz w:val="24"/>
          <w:szCs w:val="22"/>
          <w:highlight w:val="none"/>
          <w14:textFill>
            <w14:solidFill>
              <w14:schemeClr w14:val="tx1"/>
            </w14:solidFill>
          </w14:textFill>
        </w:rPr>
      </w:pPr>
    </w:p>
    <w:p>
      <w:pPr>
        <w:spacing w:line="360" w:lineRule="auto"/>
        <w:jc w:val="center"/>
        <w:rPr>
          <w:rFonts w:hint="eastAsia" w:ascii="宋体" w:hAnsi="宋体" w:eastAsia="宋体" w:cs="宋体"/>
          <w:b/>
          <w:bCs/>
          <w:color w:val="000000" w:themeColor="text1"/>
          <w:sz w:val="24"/>
          <w:szCs w:val="22"/>
          <w:highlight w:val="none"/>
          <w14:textFill>
            <w14:solidFill>
              <w14:schemeClr w14:val="tx1"/>
            </w14:solidFill>
          </w14:textFill>
        </w:rPr>
      </w:pPr>
    </w:p>
    <w:p>
      <w:pPr>
        <w:rPr>
          <w:rFonts w:hint="eastAsia" w:ascii="宋体" w:hAnsi="宋体" w:eastAsia="宋体" w:cs="宋体"/>
          <w:b/>
          <w:color w:val="000000" w:themeColor="text1"/>
          <w:sz w:val="24"/>
          <w:szCs w:val="24"/>
          <w:highlight w:val="none"/>
          <w14:textFill>
            <w14:solidFill>
              <w14:schemeClr w14:val="tx1"/>
            </w14:solidFill>
          </w14:textFill>
        </w:rPr>
      </w:pPr>
    </w:p>
    <w:p>
      <w:pPr>
        <w:spacing w:line="360" w:lineRule="auto"/>
        <w:jc w:val="center"/>
        <w:rPr>
          <w:rFonts w:hint="eastAsia" w:ascii="宋体" w:hAnsi="宋体" w:eastAsia="宋体" w:cs="宋体"/>
          <w:b/>
          <w:color w:val="000000" w:themeColor="text1"/>
          <w:sz w:val="28"/>
          <w:szCs w:val="28"/>
          <w:highlight w:val="none"/>
          <w14:textFill>
            <w14:solidFill>
              <w14:schemeClr w14:val="tx1"/>
            </w14:solidFill>
          </w14:textFill>
        </w:rPr>
      </w:pPr>
    </w:p>
    <w:p>
      <w:pPr>
        <w:rPr>
          <w:rFonts w:hint="eastAsia" w:ascii="宋体" w:hAnsi="宋体" w:eastAsia="宋体" w:cs="宋体"/>
          <w:color w:val="000000" w:themeColor="text1"/>
          <w:sz w:val="24"/>
          <w:szCs w:val="16"/>
          <w:highlight w:val="none"/>
          <w14:textFill>
            <w14:solidFill>
              <w14:schemeClr w14:val="tx1"/>
            </w14:solidFill>
          </w14:textFill>
        </w:rPr>
      </w:pPr>
      <w:r>
        <w:rPr>
          <w:rFonts w:hint="eastAsia" w:ascii="宋体" w:hAnsi="宋体" w:eastAsia="宋体" w:cs="宋体"/>
          <w:color w:val="000000" w:themeColor="text1"/>
          <w:sz w:val="24"/>
          <w:szCs w:val="16"/>
          <w:highlight w:val="none"/>
          <w14:textFill>
            <w14:solidFill>
              <w14:schemeClr w14:val="tx1"/>
            </w14:solidFill>
          </w14:textFill>
        </w:rPr>
        <w:t>附件：</w:t>
      </w:r>
    </w:p>
    <w:p>
      <w:pPr>
        <w:spacing w:line="360" w:lineRule="auto"/>
        <w:jc w:val="center"/>
        <w:rPr>
          <w:rFonts w:hint="eastAsia" w:ascii="宋体" w:hAnsi="宋体" w:eastAsia="宋体" w:cs="宋体"/>
          <w:b/>
          <w:color w:val="000000" w:themeColor="text1"/>
          <w:sz w:val="28"/>
          <w:szCs w:val="28"/>
          <w:highlight w:val="none"/>
          <w14:textFill>
            <w14:solidFill>
              <w14:schemeClr w14:val="tx1"/>
            </w14:solidFill>
          </w14:textFill>
        </w:rPr>
      </w:pPr>
    </w:p>
    <w:p>
      <w:pPr>
        <w:spacing w:line="360" w:lineRule="auto"/>
        <w:jc w:val="center"/>
        <w:outlineLvl w:val="0"/>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财政部发展改革委生态环境部市场监管总局</w:t>
      </w:r>
      <w:bookmarkEnd w:id="81"/>
      <w:bookmarkEnd w:id="82"/>
    </w:p>
    <w:p>
      <w:pPr>
        <w:spacing w:line="360" w:lineRule="auto"/>
        <w:jc w:val="center"/>
        <w:outlineLvl w:val="0"/>
        <w:rPr>
          <w:rFonts w:hint="eastAsia" w:ascii="宋体" w:hAnsi="宋体" w:eastAsia="宋体" w:cs="宋体"/>
          <w:b/>
          <w:color w:val="000000" w:themeColor="text1"/>
          <w:sz w:val="28"/>
          <w:szCs w:val="28"/>
          <w:highlight w:val="none"/>
          <w14:textFill>
            <w14:solidFill>
              <w14:schemeClr w14:val="tx1"/>
            </w14:solidFill>
          </w14:textFill>
        </w:rPr>
      </w:pPr>
      <w:bookmarkStart w:id="83" w:name="_Toc31203"/>
      <w:bookmarkStart w:id="84" w:name="_Toc6518"/>
      <w:r>
        <w:rPr>
          <w:rFonts w:hint="eastAsia" w:ascii="宋体" w:hAnsi="宋体" w:eastAsia="宋体" w:cs="宋体"/>
          <w:b/>
          <w:color w:val="000000" w:themeColor="text1"/>
          <w:sz w:val="28"/>
          <w:szCs w:val="28"/>
          <w:highlight w:val="none"/>
          <w14:textFill>
            <w14:solidFill>
              <w14:schemeClr w14:val="tx1"/>
            </w14:solidFill>
          </w14:textFill>
        </w:rPr>
        <w:t>关于调整优化节能产品、环境标志产品政府采购执行机制的通知</w:t>
      </w:r>
      <w:bookmarkEnd w:id="83"/>
      <w:bookmarkEnd w:id="84"/>
    </w:p>
    <w:p>
      <w:pPr>
        <w:pStyle w:val="68"/>
        <w:spacing w:before="302" w:beforeAutospacing="0" w:after="280" w:afterAutospacing="0" w:line="360" w:lineRule="auto"/>
        <w:ind w:left="1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有关中央预算单位，各省、自治区、直辖市、计划单列市财政厅（局）、发展改革委（经信委、工信委、工信厅、经信局）、生态环境厅（局）、市场监管部门，新疆生产建设兵团财政局、发展改革委、工信委、环境保护局、市场监管局：</w:t>
      </w:r>
    </w:p>
    <w:p>
      <w:pPr>
        <w:pStyle w:val="68"/>
        <w:spacing w:before="302" w:beforeAutospacing="0" w:after="280" w:afterAutospacing="0" w:line="360" w:lineRule="auto"/>
        <w:ind w:left="1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为落实“放管服”改革要求，完善政府绿色采购政策，简化节能（节水）产品、环境标志产品政府采购执行机制，优化</w:t>
      </w:r>
      <w:r>
        <w:rPr>
          <w:rFonts w:hint="eastAsia" w:cs="宋体"/>
          <w:color w:val="000000" w:themeColor="text1"/>
          <w:szCs w:val="24"/>
          <w:highlight w:val="none"/>
          <w:shd w:val="clear" w:color="auto" w:fill="FFFFFF"/>
          <w:lang w:eastAsia="zh-CN"/>
          <w14:textFill>
            <w14:solidFill>
              <w14:schemeClr w14:val="tx1"/>
            </w14:solidFill>
          </w14:textFill>
        </w:rPr>
        <w:t>投标人</w:t>
      </w:r>
      <w:r>
        <w:rPr>
          <w:rFonts w:hint="eastAsia" w:ascii="宋体" w:hAnsi="宋体" w:eastAsia="宋体" w:cs="宋体"/>
          <w:color w:val="000000" w:themeColor="text1"/>
          <w:szCs w:val="24"/>
          <w:highlight w:val="none"/>
          <w:shd w:val="clear" w:color="auto" w:fill="FFFFFF"/>
          <w14:textFill>
            <w14:solidFill>
              <w14:schemeClr w14:val="tx1"/>
            </w14:solidFill>
          </w14:textFill>
        </w:rPr>
        <w:t>参与政府采购活动的市场环境，现就节能产品、环境标志产品政府采购有关事项通知如下：</w:t>
      </w:r>
    </w:p>
    <w:p>
      <w:pPr>
        <w:pStyle w:val="68"/>
        <w:spacing w:before="302" w:beforeAutospacing="0" w:after="280" w:afterAutospacing="0" w:line="360" w:lineRule="auto"/>
        <w:ind w:left="1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一、对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pPr>
        <w:pStyle w:val="68"/>
        <w:spacing w:before="302" w:beforeAutospacing="0" w:after="280" w:afterAutospacing="0" w:line="360" w:lineRule="auto"/>
        <w:ind w:left="1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二、</w:t>
      </w:r>
      <w:r>
        <w:rPr>
          <w:rFonts w:hint="eastAsia" w:ascii="宋体" w:hAnsi="宋体" w:eastAsia="宋体" w:cs="宋体"/>
          <w:b/>
          <w:bCs/>
          <w:color w:val="000000" w:themeColor="text1"/>
          <w:szCs w:val="24"/>
          <w:highlight w:val="none"/>
          <w:shd w:val="clear" w:color="auto" w:fill="FFFFFF"/>
          <w14:textFill>
            <w14:solidFill>
              <w14:schemeClr w14:val="tx1"/>
            </w14:solidFill>
          </w14:textFill>
        </w:rPr>
        <w:t>依据品目清单和认证证书实施政府优先采购和强制采购</w:t>
      </w:r>
      <w:r>
        <w:rPr>
          <w:rFonts w:hint="eastAsia" w:ascii="宋体" w:hAnsi="宋体" w:eastAsia="宋体" w:cs="宋体"/>
          <w:color w:val="000000" w:themeColor="text1"/>
          <w:szCs w:val="24"/>
          <w:highlight w:val="none"/>
          <w:shd w:val="clear" w:color="auto" w:fill="FFFFFF"/>
          <w14:textFill>
            <w14:solidFill>
              <w14:schemeClr w14:val="tx1"/>
            </w14:solidFill>
          </w14:textFill>
        </w:rPr>
        <w:t>。</w:t>
      </w:r>
      <w:r>
        <w:rPr>
          <w:rFonts w:hint="eastAsia" w:cs="宋体"/>
          <w:color w:val="000000" w:themeColor="text1"/>
          <w:szCs w:val="24"/>
          <w:highlight w:val="none"/>
          <w:shd w:val="clear" w:color="auto" w:fill="FFFFFF"/>
          <w:lang w:eastAsia="zh-CN"/>
          <w14:textFill>
            <w14:solidFill>
              <w14:schemeClr w14:val="tx1"/>
            </w14:solidFill>
          </w14:textFill>
        </w:rPr>
        <w:t>招标人</w:t>
      </w:r>
      <w:r>
        <w:rPr>
          <w:rFonts w:hint="eastAsia" w:ascii="宋体" w:hAnsi="宋体" w:eastAsia="宋体" w:cs="宋体"/>
          <w:color w:val="000000" w:themeColor="text1"/>
          <w:szCs w:val="24"/>
          <w:highlight w:val="none"/>
          <w:shd w:val="clear" w:color="auto" w:fill="FFFFFF"/>
          <w14:textFill>
            <w14:solidFill>
              <w14:schemeClr w14:val="tx1"/>
            </w14:solidFill>
          </w14:textFill>
        </w:rPr>
        <w:t>拟采购的产品属于品目清单范围的，</w:t>
      </w:r>
      <w:r>
        <w:rPr>
          <w:rFonts w:hint="eastAsia" w:cs="宋体"/>
          <w:color w:val="000000" w:themeColor="text1"/>
          <w:szCs w:val="24"/>
          <w:highlight w:val="none"/>
          <w:shd w:val="clear" w:color="auto" w:fill="FFFFFF"/>
          <w:lang w:eastAsia="zh-CN"/>
          <w14:textFill>
            <w14:solidFill>
              <w14:schemeClr w14:val="tx1"/>
            </w14:solidFill>
          </w14:textFill>
        </w:rPr>
        <w:t>招标人</w:t>
      </w:r>
      <w:r>
        <w:rPr>
          <w:rFonts w:hint="eastAsia" w:ascii="宋体" w:hAnsi="宋体" w:eastAsia="宋体" w:cs="宋体"/>
          <w:color w:val="000000" w:themeColor="text1"/>
          <w:szCs w:val="24"/>
          <w:highlight w:val="none"/>
          <w:shd w:val="clear" w:color="auto" w:fill="FFFFFF"/>
          <w14:textFill>
            <w14:solidFill>
              <w14:schemeClr w14:val="tx1"/>
            </w14:solidFill>
          </w14:textFill>
        </w:rPr>
        <w:t>及其委托的</w:t>
      </w:r>
      <w:r>
        <w:rPr>
          <w:rFonts w:hint="eastAsia" w:cs="宋体"/>
          <w:color w:val="000000" w:themeColor="text1"/>
          <w:szCs w:val="24"/>
          <w:highlight w:val="none"/>
          <w:shd w:val="clear" w:color="auto" w:fill="FFFFFF"/>
          <w:lang w:eastAsia="zh-CN"/>
          <w14:textFill>
            <w14:solidFill>
              <w14:schemeClr w14:val="tx1"/>
            </w14:solidFill>
          </w14:textFill>
        </w:rPr>
        <w:t>招标代理机构</w:t>
      </w:r>
      <w:r>
        <w:rPr>
          <w:rFonts w:hint="eastAsia" w:ascii="宋体" w:hAnsi="宋体" w:eastAsia="宋体" w:cs="宋体"/>
          <w:color w:val="000000" w:themeColor="text1"/>
          <w:szCs w:val="24"/>
          <w:highlight w:val="none"/>
          <w:shd w:val="clear" w:color="auto" w:fill="FFFFFF"/>
          <w14:textFill>
            <w14:solidFill>
              <w14:schemeClr w14:val="tx1"/>
            </w14:solidFill>
          </w14:textFill>
        </w:rPr>
        <w:t>应当依据国家确定的认证机构出具的、处于有效期之内的节能产品、环境标志产品认证证书，对获得证书的产品实施政府优先采购或强制采购。</w:t>
      </w:r>
    </w:p>
    <w:p>
      <w:pPr>
        <w:pStyle w:val="68"/>
        <w:spacing w:before="302" w:beforeAutospacing="0" w:after="280" w:afterAutospacing="0" w:line="360" w:lineRule="auto"/>
        <w:ind w:left="1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三、逐步扩大节能产品、环境标志产品认证机构范围。根据认证机构发展状况，市场监管总局商有关部门按照试点先行、逐步放开、有序竞争的原则，逐步增加实施节能产品、环境标志产品认证的机构。加强对相关认证市场监管力度，推行“双随机、一公开”监管，建立认证机构信用监管机制，严厉打击认证违法行为。</w:t>
      </w:r>
    </w:p>
    <w:p>
      <w:pPr>
        <w:pStyle w:val="68"/>
        <w:spacing w:before="302" w:beforeAutospacing="0" w:after="280" w:afterAutospacing="0" w:line="360" w:lineRule="auto"/>
        <w:ind w:left="1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四、发布认证机构和获证产品信息。市场监管总局组织建立节能产品、环境标志产品认证结果信息发布平台，公布相关认证机构和获证产品信息。节能产品、环境标志产品认证机构应当建立健全数据共享机制，及时向认证结果信息发布平台提供相关信息。中国政府采购网（www.ccgp.gov.cn）建立与认证结果信息发布平台的链接，方便</w:t>
      </w:r>
      <w:r>
        <w:rPr>
          <w:rFonts w:hint="eastAsia" w:cs="宋体"/>
          <w:color w:val="000000" w:themeColor="text1"/>
          <w:szCs w:val="24"/>
          <w:highlight w:val="none"/>
          <w:shd w:val="clear" w:color="auto" w:fill="FFFFFF"/>
          <w:lang w:eastAsia="zh-CN"/>
          <w14:textFill>
            <w14:solidFill>
              <w14:schemeClr w14:val="tx1"/>
            </w14:solidFill>
          </w14:textFill>
        </w:rPr>
        <w:t>招标人</w:t>
      </w:r>
      <w:r>
        <w:rPr>
          <w:rFonts w:hint="eastAsia" w:ascii="宋体" w:hAnsi="宋体" w:eastAsia="宋体" w:cs="宋体"/>
          <w:color w:val="000000" w:themeColor="text1"/>
          <w:szCs w:val="24"/>
          <w:highlight w:val="none"/>
          <w:shd w:val="clear" w:color="auto" w:fill="FFFFFF"/>
          <w14:textFill>
            <w14:solidFill>
              <w14:schemeClr w14:val="tx1"/>
            </w14:solidFill>
          </w14:textFill>
        </w:rPr>
        <w:t>和</w:t>
      </w:r>
      <w:r>
        <w:rPr>
          <w:rFonts w:hint="eastAsia" w:cs="宋体"/>
          <w:color w:val="000000" w:themeColor="text1"/>
          <w:szCs w:val="24"/>
          <w:highlight w:val="none"/>
          <w:shd w:val="clear" w:color="auto" w:fill="FFFFFF"/>
          <w:lang w:eastAsia="zh-CN"/>
          <w14:textFill>
            <w14:solidFill>
              <w14:schemeClr w14:val="tx1"/>
            </w14:solidFill>
          </w14:textFill>
        </w:rPr>
        <w:t>招标代理机构</w:t>
      </w:r>
      <w:r>
        <w:rPr>
          <w:rFonts w:hint="eastAsia" w:ascii="宋体" w:hAnsi="宋体" w:eastAsia="宋体" w:cs="宋体"/>
          <w:color w:val="000000" w:themeColor="text1"/>
          <w:szCs w:val="24"/>
          <w:highlight w:val="none"/>
          <w:shd w:val="clear" w:color="auto" w:fill="FFFFFF"/>
          <w14:textFill>
            <w14:solidFill>
              <w14:schemeClr w14:val="tx1"/>
            </w14:solidFill>
          </w14:textFill>
        </w:rPr>
        <w:t>查询、了解认证机构和获证产品相关情况。</w:t>
      </w:r>
    </w:p>
    <w:p>
      <w:pPr>
        <w:pStyle w:val="68"/>
        <w:spacing w:before="302" w:beforeAutospacing="0" w:after="280" w:afterAutospacing="0" w:line="360" w:lineRule="auto"/>
        <w:ind w:left="1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五、加大政府绿色采购力度。对于已列入品目清单的产品类别，</w:t>
      </w:r>
      <w:r>
        <w:rPr>
          <w:rFonts w:hint="eastAsia" w:cs="宋体"/>
          <w:color w:val="000000" w:themeColor="text1"/>
          <w:szCs w:val="24"/>
          <w:highlight w:val="none"/>
          <w:shd w:val="clear" w:color="auto" w:fill="FFFFFF"/>
          <w:lang w:eastAsia="zh-CN"/>
          <w14:textFill>
            <w14:solidFill>
              <w14:schemeClr w14:val="tx1"/>
            </w14:solidFill>
          </w14:textFill>
        </w:rPr>
        <w:t>招标人</w:t>
      </w:r>
      <w:r>
        <w:rPr>
          <w:rFonts w:hint="eastAsia" w:ascii="宋体" w:hAnsi="宋体" w:eastAsia="宋体" w:cs="宋体"/>
          <w:color w:val="000000" w:themeColor="text1"/>
          <w:szCs w:val="24"/>
          <w:highlight w:val="none"/>
          <w:shd w:val="clear" w:color="auto" w:fill="FFFFFF"/>
          <w14:textFill>
            <w14:solidFill>
              <w14:schemeClr w14:val="tx1"/>
            </w14:solidFill>
          </w14:textFill>
        </w:rPr>
        <w:t>可在采购需求中提出更高的节约资源和保护环境要求，对符合条件的获证产品给予优先待遇。对于未列入品目清单的产品类别，鼓励</w:t>
      </w:r>
      <w:r>
        <w:rPr>
          <w:rFonts w:hint="eastAsia" w:cs="宋体"/>
          <w:color w:val="000000" w:themeColor="text1"/>
          <w:szCs w:val="24"/>
          <w:highlight w:val="none"/>
          <w:shd w:val="clear" w:color="auto" w:fill="FFFFFF"/>
          <w:lang w:eastAsia="zh-CN"/>
          <w14:textFill>
            <w14:solidFill>
              <w14:schemeClr w14:val="tx1"/>
            </w14:solidFill>
          </w14:textFill>
        </w:rPr>
        <w:t>招标人</w:t>
      </w:r>
      <w:r>
        <w:rPr>
          <w:rFonts w:hint="eastAsia" w:ascii="宋体" w:hAnsi="宋体" w:eastAsia="宋体" w:cs="宋体"/>
          <w:color w:val="000000" w:themeColor="text1"/>
          <w:szCs w:val="24"/>
          <w:highlight w:val="none"/>
          <w:shd w:val="clear" w:color="auto" w:fill="FFFFFF"/>
          <w14:textFill>
            <w14:solidFill>
              <w14:schemeClr w14:val="tx1"/>
            </w14:solidFill>
          </w14:textFill>
        </w:rPr>
        <w:t>综合考虑节能、节水、环保、循环、低碳、再生、有机等因素，参考相关国家标准、行业标准或团体标准，在采购需求中提出相关绿色采购要求，促进绿色产品推广应用。</w:t>
      </w:r>
    </w:p>
    <w:p>
      <w:pPr>
        <w:pStyle w:val="68"/>
        <w:spacing w:before="302" w:beforeAutospacing="0" w:after="280" w:afterAutospacing="0" w:line="360" w:lineRule="auto"/>
        <w:ind w:left="1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六、本通知自20</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19</w:t>
      </w:r>
      <w:r>
        <w:rPr>
          <w:rFonts w:hint="eastAsia" w:ascii="宋体" w:hAnsi="宋体" w:eastAsia="宋体" w:cs="宋体"/>
          <w:color w:val="000000" w:themeColor="text1"/>
          <w:szCs w:val="24"/>
          <w:highlight w:val="none"/>
          <w:shd w:val="clear" w:color="auto" w:fill="FFFFFF"/>
          <w14:textFill>
            <w14:solidFill>
              <w14:schemeClr w14:val="tx1"/>
            </w14:solidFill>
          </w14:textFill>
        </w:rPr>
        <w:t>年</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4</w:t>
      </w:r>
      <w:r>
        <w:rPr>
          <w:rFonts w:hint="eastAsia" w:ascii="宋体" w:hAnsi="宋体" w:eastAsia="宋体" w:cs="宋体"/>
          <w:color w:val="000000" w:themeColor="text1"/>
          <w:szCs w:val="24"/>
          <w:highlight w:val="none"/>
          <w:shd w:val="clear" w:color="auto" w:fill="FFFFFF"/>
          <w14:textFill>
            <w14:solidFill>
              <w14:schemeClr w14:val="tx1"/>
            </w14:solidFill>
          </w14:textFill>
        </w:rPr>
        <w:t>月1日起执行。《财政部 生态环境部关于调整公布第二十二期环境标志产品政府采购清单的通知》（财库〔2018〕70号）和《财政部 国家发展改革委关于调整公布第二十四期节能产品政府采购清单的通知》（财库〔2018〕73号）同时停止执行。</w:t>
      </w:r>
    </w:p>
    <w:p>
      <w:pPr>
        <w:pStyle w:val="68"/>
        <w:spacing w:before="302" w:beforeAutospacing="0" w:afterAutospacing="0" w:line="360" w:lineRule="auto"/>
        <w:ind w:left="100"/>
        <w:jc w:val="right"/>
        <w:rPr>
          <w:rFonts w:hint="eastAsia" w:ascii="宋体" w:hAnsi="宋体" w:eastAsia="宋体" w:cs="宋体"/>
          <w:color w:val="000000" w:themeColor="text1"/>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财政部 发展改革委 生态环境部 市场监管总局</w:t>
      </w:r>
    </w:p>
    <w:p>
      <w:pPr>
        <w:pStyle w:val="68"/>
        <w:spacing w:before="302" w:beforeAutospacing="0" w:afterAutospacing="0" w:line="360" w:lineRule="auto"/>
        <w:ind w:left="100"/>
        <w:jc w:val="right"/>
        <w:rPr>
          <w:rFonts w:hint="eastAsia" w:ascii="宋体" w:hAnsi="宋体" w:eastAsia="宋体" w:cs="宋体"/>
          <w:color w:val="000000" w:themeColor="text1"/>
          <w:szCs w:val="24"/>
          <w:highlight w:val="none"/>
          <w:shd w:val="clear" w:color="auto" w:fill="FFFFFF"/>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20</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19</w:t>
      </w:r>
      <w:r>
        <w:rPr>
          <w:rFonts w:hint="eastAsia" w:ascii="宋体" w:hAnsi="宋体" w:eastAsia="宋体" w:cs="宋体"/>
          <w:color w:val="000000" w:themeColor="text1"/>
          <w:szCs w:val="24"/>
          <w:highlight w:val="none"/>
          <w:shd w:val="clear" w:color="auto" w:fill="FFFFFF"/>
          <w14:textFill>
            <w14:solidFill>
              <w14:schemeClr w14:val="tx1"/>
            </w14:solidFill>
          </w14:textFill>
        </w:rPr>
        <w:t>年2月1日</w:t>
      </w:r>
    </w:p>
    <w:p>
      <w:pPr>
        <w:pStyle w:val="68"/>
        <w:spacing w:before="302" w:beforeAutospacing="0" w:afterAutospacing="0" w:line="560" w:lineRule="atLeast"/>
        <w:ind w:left="100"/>
        <w:jc w:val="right"/>
        <w:rPr>
          <w:rFonts w:hint="eastAsia" w:ascii="宋体" w:hAnsi="宋体" w:eastAsia="宋体" w:cs="宋体"/>
          <w:color w:val="000000" w:themeColor="text1"/>
          <w:sz w:val="28"/>
          <w:szCs w:val="28"/>
          <w:highlight w:val="none"/>
          <w:shd w:val="clear" w:color="auto" w:fill="FFFFFF"/>
          <w14:textFill>
            <w14:solidFill>
              <w14:schemeClr w14:val="tx1"/>
            </w14:solidFill>
          </w14:textFill>
        </w:rPr>
      </w:pPr>
    </w:p>
    <w:p>
      <w:pPr>
        <w:pStyle w:val="68"/>
        <w:spacing w:before="302" w:beforeAutospacing="0" w:afterAutospacing="0" w:line="560" w:lineRule="atLeast"/>
        <w:ind w:left="100"/>
        <w:jc w:val="right"/>
        <w:rPr>
          <w:rFonts w:hint="eastAsia" w:ascii="宋体" w:hAnsi="宋体" w:eastAsia="宋体" w:cs="宋体"/>
          <w:color w:val="000000" w:themeColor="text1"/>
          <w:sz w:val="28"/>
          <w:szCs w:val="28"/>
          <w:highlight w:val="none"/>
          <w:shd w:val="clear" w:color="auto" w:fill="FFFFFF"/>
          <w14:textFill>
            <w14:solidFill>
              <w14:schemeClr w14:val="tx1"/>
            </w14:solidFill>
          </w14:textFill>
        </w:rPr>
      </w:pPr>
    </w:p>
    <w:p>
      <w:pPr>
        <w:pStyle w:val="68"/>
        <w:spacing w:before="302" w:beforeAutospacing="0" w:afterAutospacing="0" w:line="560" w:lineRule="atLeast"/>
        <w:ind w:left="100"/>
        <w:jc w:val="right"/>
        <w:rPr>
          <w:rFonts w:hint="eastAsia" w:ascii="宋体" w:hAnsi="宋体" w:eastAsia="宋体" w:cs="宋体"/>
          <w:color w:val="000000" w:themeColor="text1"/>
          <w:sz w:val="28"/>
          <w:szCs w:val="28"/>
          <w:highlight w:val="none"/>
          <w:shd w:val="clear" w:color="auto" w:fill="FFFFFF"/>
          <w14:textFill>
            <w14:solidFill>
              <w14:schemeClr w14:val="tx1"/>
            </w14:solidFill>
          </w14:textFill>
        </w:rPr>
      </w:pPr>
    </w:p>
    <w:p>
      <w:pPr>
        <w:pStyle w:val="68"/>
        <w:spacing w:before="302" w:beforeAutospacing="0" w:afterAutospacing="0" w:line="560" w:lineRule="atLeast"/>
        <w:ind w:left="100"/>
        <w:jc w:val="right"/>
        <w:rPr>
          <w:rFonts w:hint="eastAsia" w:ascii="宋体" w:hAnsi="宋体" w:eastAsia="宋体" w:cs="宋体"/>
          <w:color w:val="000000" w:themeColor="text1"/>
          <w:sz w:val="28"/>
          <w:szCs w:val="28"/>
          <w:highlight w:val="none"/>
          <w:shd w:val="clear" w:color="auto" w:fill="FFFFFF"/>
          <w14:textFill>
            <w14:solidFill>
              <w14:schemeClr w14:val="tx1"/>
            </w14:solidFill>
          </w14:textFill>
        </w:rPr>
      </w:pPr>
    </w:p>
    <w:p>
      <w:pPr>
        <w:pStyle w:val="68"/>
        <w:spacing w:before="302" w:beforeAutospacing="0" w:afterAutospacing="0" w:line="560" w:lineRule="atLeast"/>
        <w:ind w:left="100"/>
        <w:jc w:val="right"/>
        <w:rPr>
          <w:rFonts w:hint="eastAsia" w:ascii="宋体" w:hAnsi="宋体" w:eastAsia="宋体" w:cs="宋体"/>
          <w:color w:val="000000" w:themeColor="text1"/>
          <w:sz w:val="28"/>
          <w:szCs w:val="28"/>
          <w:highlight w:val="none"/>
          <w:shd w:val="clear" w:color="auto" w:fill="FFFFFF"/>
          <w14:textFill>
            <w14:solidFill>
              <w14:schemeClr w14:val="tx1"/>
            </w14:solidFill>
          </w14:textFill>
        </w:rPr>
      </w:pPr>
    </w:p>
    <w:p>
      <w:pPr>
        <w:rPr>
          <w:rFonts w:hint="eastAsia" w:ascii="宋体" w:hAnsi="宋体" w:eastAsia="宋体" w:cs="宋体"/>
          <w:color w:val="000000" w:themeColor="text1"/>
          <w:sz w:val="24"/>
          <w:szCs w:val="16"/>
          <w:highlight w:val="none"/>
          <w14:textFill>
            <w14:solidFill>
              <w14:schemeClr w14:val="tx1"/>
            </w14:solidFill>
          </w14:textFill>
        </w:rPr>
      </w:pPr>
    </w:p>
    <w:p>
      <w:pPr>
        <w:rPr>
          <w:rFonts w:hint="eastAsia" w:ascii="宋体" w:hAnsi="宋体" w:eastAsia="宋体" w:cs="宋体"/>
          <w:color w:val="000000" w:themeColor="text1"/>
          <w:sz w:val="24"/>
          <w:szCs w:val="16"/>
          <w:highlight w:val="none"/>
          <w14:textFill>
            <w14:solidFill>
              <w14:schemeClr w14:val="tx1"/>
            </w14:solidFill>
          </w14:textFill>
        </w:rPr>
      </w:pPr>
    </w:p>
    <w:p>
      <w:pPr>
        <w:rPr>
          <w:rFonts w:hint="eastAsia" w:ascii="宋体" w:hAnsi="宋体" w:eastAsia="宋体" w:cs="宋体"/>
          <w:color w:val="000000" w:themeColor="text1"/>
          <w:sz w:val="24"/>
          <w:szCs w:val="16"/>
          <w:highlight w:val="none"/>
          <w14:textFill>
            <w14:solidFill>
              <w14:schemeClr w14:val="tx1"/>
            </w14:solidFill>
          </w14:textFill>
        </w:rPr>
      </w:pPr>
    </w:p>
    <w:p>
      <w:pPr>
        <w:rPr>
          <w:rFonts w:hint="eastAsia" w:ascii="宋体" w:hAnsi="宋体" w:eastAsia="宋体" w:cs="宋体"/>
          <w:color w:val="000000" w:themeColor="text1"/>
          <w:sz w:val="24"/>
          <w:szCs w:val="16"/>
          <w:highlight w:val="none"/>
          <w14:textFill>
            <w14:solidFill>
              <w14:schemeClr w14:val="tx1"/>
            </w14:solidFill>
          </w14:textFill>
        </w:rPr>
      </w:pPr>
    </w:p>
    <w:p>
      <w:pPr>
        <w:rPr>
          <w:rFonts w:hint="eastAsia" w:ascii="宋体" w:hAnsi="宋体" w:eastAsia="宋体" w:cs="宋体"/>
          <w:color w:val="000000" w:themeColor="text1"/>
          <w:sz w:val="24"/>
          <w:szCs w:val="16"/>
          <w:highlight w:val="none"/>
          <w14:textFill>
            <w14:solidFill>
              <w14:schemeClr w14:val="tx1"/>
            </w14:solidFill>
          </w14:textFill>
        </w:rPr>
      </w:pPr>
      <w:r>
        <w:rPr>
          <w:rFonts w:hint="eastAsia" w:ascii="宋体" w:hAnsi="宋体" w:eastAsia="宋体" w:cs="宋体"/>
          <w:color w:val="000000" w:themeColor="text1"/>
          <w:sz w:val="24"/>
          <w:szCs w:val="16"/>
          <w:highlight w:val="none"/>
          <w14:textFill>
            <w14:solidFill>
              <w14:schemeClr w14:val="tx1"/>
            </w14:solidFill>
          </w14:textFill>
        </w:rPr>
        <w:br w:type="page"/>
      </w:r>
    </w:p>
    <w:p>
      <w:pPr>
        <w:rPr>
          <w:rFonts w:hint="eastAsia" w:ascii="宋体" w:hAnsi="宋体" w:eastAsia="宋体" w:cs="宋体"/>
          <w:color w:val="000000" w:themeColor="text1"/>
          <w:sz w:val="24"/>
          <w:szCs w:val="16"/>
          <w:highlight w:val="none"/>
          <w14:textFill>
            <w14:solidFill>
              <w14:schemeClr w14:val="tx1"/>
            </w14:solidFill>
          </w14:textFill>
        </w:rPr>
      </w:pPr>
      <w:r>
        <w:rPr>
          <w:rFonts w:hint="eastAsia" w:ascii="宋体" w:hAnsi="宋体" w:eastAsia="宋体" w:cs="宋体"/>
          <w:color w:val="000000" w:themeColor="text1"/>
          <w:sz w:val="24"/>
          <w:szCs w:val="16"/>
          <w:highlight w:val="none"/>
          <w14:textFill>
            <w14:solidFill>
              <w14:schemeClr w14:val="tx1"/>
            </w14:solidFill>
          </w14:textFill>
        </w:rPr>
        <w:t>附件：</w:t>
      </w:r>
    </w:p>
    <w:p>
      <w:pPr>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p>
    <w:p>
      <w:pPr>
        <w:spacing w:line="360" w:lineRule="auto"/>
        <w:jc w:val="center"/>
        <w:outlineLvl w:val="0"/>
        <w:rPr>
          <w:rFonts w:hint="eastAsia" w:ascii="宋体" w:hAnsi="宋体" w:eastAsia="宋体" w:cs="宋体"/>
          <w:b/>
          <w:bCs/>
          <w:color w:val="000000" w:themeColor="text1"/>
          <w:sz w:val="24"/>
          <w:highlight w:val="none"/>
          <w14:textFill>
            <w14:solidFill>
              <w14:schemeClr w14:val="tx1"/>
            </w14:solidFill>
          </w14:textFill>
        </w:rPr>
      </w:pPr>
      <w:bookmarkStart w:id="85" w:name="_Toc29387"/>
      <w:bookmarkStart w:id="86" w:name="_Toc13678"/>
      <w:r>
        <w:rPr>
          <w:rFonts w:hint="eastAsia" w:ascii="宋体" w:hAnsi="宋体" w:eastAsia="宋体" w:cs="宋体"/>
          <w:b/>
          <w:bCs/>
          <w:color w:val="000000" w:themeColor="text1"/>
          <w:sz w:val="24"/>
          <w:highlight w:val="none"/>
          <w14:textFill>
            <w14:solidFill>
              <w14:schemeClr w14:val="tx1"/>
            </w14:solidFill>
          </w14:textFill>
        </w:rPr>
        <w:t>关于印发中小企业划型标准规定的通知</w:t>
      </w:r>
      <w:bookmarkEnd w:id="85"/>
      <w:bookmarkEnd w:id="86"/>
    </w:p>
    <w:p>
      <w:pPr>
        <w:spacing w:line="360" w:lineRule="auto"/>
        <w:jc w:val="center"/>
        <w:outlineLvl w:val="0"/>
        <w:rPr>
          <w:rFonts w:hint="eastAsia" w:ascii="宋体" w:hAnsi="宋体" w:eastAsia="宋体" w:cs="宋体"/>
          <w:b/>
          <w:bCs/>
          <w:color w:val="000000" w:themeColor="text1"/>
          <w:sz w:val="24"/>
          <w:highlight w:val="none"/>
          <w14:textFill>
            <w14:solidFill>
              <w14:schemeClr w14:val="tx1"/>
            </w14:solidFill>
          </w14:textFill>
        </w:rPr>
      </w:pPr>
      <w:bookmarkStart w:id="87" w:name="_Toc4540"/>
      <w:bookmarkStart w:id="88" w:name="_Toc24559"/>
      <w:r>
        <w:rPr>
          <w:rFonts w:hint="eastAsia" w:ascii="宋体" w:hAnsi="宋体" w:eastAsia="宋体" w:cs="宋体"/>
          <w:b/>
          <w:bCs/>
          <w:color w:val="000000" w:themeColor="text1"/>
          <w:sz w:val="24"/>
          <w:highlight w:val="none"/>
          <w14:textFill>
            <w14:solidFill>
              <w14:schemeClr w14:val="tx1"/>
            </w14:solidFill>
          </w14:textFill>
        </w:rPr>
        <w:t>工信部联企业〔2011〕300号</w:t>
      </w:r>
      <w:bookmarkEnd w:id="87"/>
      <w:bookmarkEnd w:id="88"/>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各省、自治区、直辖市人民政府，国务院各部委、各直属机构及有关单位：</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spacing w:line="360" w:lineRule="auto"/>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工业和信息化部　国家统计局</w:t>
      </w:r>
    </w:p>
    <w:p>
      <w:pPr>
        <w:spacing w:line="360" w:lineRule="auto"/>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国家发展和改革委员会　财政部</w:t>
      </w:r>
    </w:p>
    <w:p>
      <w:pPr>
        <w:spacing w:line="360" w:lineRule="auto"/>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二○一一年六月十八日</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p>
    <w:p>
      <w:pPr>
        <w:spacing w:line="360" w:lineRule="auto"/>
        <w:jc w:val="center"/>
        <w:outlineLvl w:val="0"/>
        <w:rPr>
          <w:rFonts w:hint="eastAsia" w:ascii="宋体" w:hAnsi="宋体" w:eastAsia="宋体" w:cs="宋体"/>
          <w:color w:val="000000" w:themeColor="text1"/>
          <w:sz w:val="24"/>
          <w:highlight w:val="none"/>
          <w14:textFill>
            <w14:solidFill>
              <w14:schemeClr w14:val="tx1"/>
            </w14:solidFill>
          </w14:textFill>
        </w:rPr>
      </w:pPr>
      <w:bookmarkStart w:id="89" w:name="_Toc4254"/>
      <w:bookmarkStart w:id="90" w:name="_Toc13469"/>
      <w:r>
        <w:rPr>
          <w:rFonts w:hint="eastAsia" w:ascii="宋体" w:hAnsi="宋体" w:eastAsia="宋体" w:cs="宋体"/>
          <w:color w:val="000000" w:themeColor="text1"/>
          <w:sz w:val="24"/>
          <w:highlight w:val="none"/>
          <w14:textFill>
            <w14:solidFill>
              <w14:schemeClr w14:val="tx1"/>
            </w14:solidFill>
          </w14:textFill>
        </w:rPr>
        <w:t>中小企业划型标准规定</w:t>
      </w:r>
      <w:bookmarkEnd w:id="89"/>
      <w:bookmarkEnd w:id="90"/>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一、根据《中华人民共和国中小企业促进法》和《国务院关于进一步促进中小企业发展的若干意见》(国发〔2009〕36号)，制定本规定。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二、中小企业划分为中型、小型、微型三种类型，具体标准根据企业从业人员、营业收入、资产总额等指标，结合行业特点制定。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四、各行业划型标准为：</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（一）农、林、牧、渔业。营业收入20000万元以下的为中小微型企业。其中，营业收入500万元及以上的为中型企业，营业收入50万元及以上的为小型企业，营业收入50万元以下的为微型企业。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六）交通运输业。从业人员1000人以下或营业收入30000万元以下的为中小微型企业。其中，从业人员300人及以上，且营业收入3000万元及以上的为中型企业；从业人员20人及以上，且营业收入190万元及以上的为小型企业；从业人员20人以下或营业收入190万元以下的为微型企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（十六）其他未列明行业。从业人员300人以下的为中小微型企业。其中，从业人员100人及以上的为中型企业；从业人员10人及以上的为小型企业；从业人员10人以下的为微型企业。</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五、企业类型的划分以统计部门的统计数据为依据。</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六、本规定适用于在中华人民共和国境内依法设立的各类所有制和各种组织形式的企业。个体工商户和本规定以外的行业，参照本规定进行划型。</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七、本规定的中型企业标准上限即为大型企业标准的下限，国家统计部门据此制定大中小微型企业的统计分类。国务院有关部门据此进行相关数据分析，不得制定与本规定不一致的企业划型标准。</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八、本规定由工业和信息化部、国家统计局会同有关部门根据《国民经济行业分类》修订情况和企业发展变化情况适时修订。</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九、本规定由工业和信息化部、国家统计局会同有关部门负责解释。</w:t>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十、本规定自发布之日起执行，原国家经贸委、原国家计委、财政部和国家统计局2003年颁布的《中小企业标准暂行规定》同时废止。</w:t>
      </w:r>
    </w:p>
    <w:p>
      <w:pPr>
        <w:spacing w:line="460" w:lineRule="exact"/>
        <w:rPr>
          <w:rFonts w:hint="eastAsia" w:ascii="宋体" w:hAnsi="宋体" w:eastAsia="宋体" w:cs="宋体"/>
          <w:b/>
          <w:color w:val="000000" w:themeColor="text1"/>
          <w:sz w:val="24"/>
          <w:highlight w:val="none"/>
          <w14:textFill>
            <w14:solidFill>
              <w14:schemeClr w14:val="tx1"/>
            </w14:solidFill>
          </w14:textFill>
        </w:rPr>
      </w:pPr>
    </w:p>
    <w:p>
      <w:pPr>
        <w:rPr>
          <w:rFonts w:hint="eastAsia" w:ascii="宋体" w:hAnsi="宋体" w:eastAsia="宋体" w:cs="宋体"/>
          <w:color w:val="000000" w:themeColor="text1"/>
          <w:sz w:val="24"/>
          <w:szCs w:val="16"/>
          <w:highlight w:val="none"/>
          <w14:textFill>
            <w14:solidFill>
              <w14:schemeClr w14:val="tx1"/>
            </w14:solidFill>
          </w14:textFill>
        </w:rPr>
      </w:pPr>
      <w:r>
        <w:rPr>
          <w:rFonts w:hint="eastAsia" w:ascii="宋体" w:hAnsi="宋体" w:eastAsia="宋体" w:cs="宋体"/>
          <w:color w:val="000000" w:themeColor="text1"/>
          <w:sz w:val="24"/>
          <w:szCs w:val="16"/>
          <w:highlight w:val="none"/>
          <w14:textFill>
            <w14:solidFill>
              <w14:schemeClr w14:val="tx1"/>
            </w14:solidFill>
          </w14:textFill>
        </w:rPr>
        <w:br w:type="page"/>
      </w:r>
    </w:p>
    <w:p>
      <w:pPr>
        <w:rPr>
          <w:rFonts w:hint="eastAsia" w:ascii="宋体" w:hAnsi="宋体" w:eastAsia="宋体" w:cs="宋体"/>
          <w:color w:val="000000" w:themeColor="text1"/>
          <w:sz w:val="24"/>
          <w:szCs w:val="16"/>
          <w:highlight w:val="none"/>
          <w14:textFill>
            <w14:solidFill>
              <w14:schemeClr w14:val="tx1"/>
            </w14:solidFill>
          </w14:textFill>
        </w:rPr>
      </w:pPr>
      <w:r>
        <w:rPr>
          <w:rFonts w:hint="eastAsia" w:ascii="宋体" w:hAnsi="宋体" w:eastAsia="宋体" w:cs="宋体"/>
          <w:color w:val="000000" w:themeColor="text1"/>
          <w:sz w:val="24"/>
          <w:szCs w:val="16"/>
          <w:highlight w:val="none"/>
          <w14:textFill>
            <w14:solidFill>
              <w14:schemeClr w14:val="tx1"/>
            </w14:solidFill>
          </w14:textFill>
        </w:rPr>
        <w:t>附件：</w:t>
      </w:r>
    </w:p>
    <w:p>
      <w:pPr>
        <w:spacing w:line="460" w:lineRule="exact"/>
        <w:rPr>
          <w:rFonts w:hint="eastAsia" w:ascii="宋体" w:hAnsi="宋体" w:eastAsia="宋体" w:cs="宋体"/>
          <w:b/>
          <w:color w:val="000000" w:themeColor="text1"/>
          <w:sz w:val="24"/>
          <w:highlight w:val="none"/>
          <w14:textFill>
            <w14:solidFill>
              <w14:schemeClr w14:val="tx1"/>
            </w14:solidFill>
          </w14:textFill>
        </w:rPr>
      </w:pPr>
    </w:p>
    <w:p>
      <w:pPr>
        <w:spacing w:line="460" w:lineRule="exact"/>
        <w:jc w:val="center"/>
        <w:outlineLvl w:val="0"/>
        <w:rPr>
          <w:rFonts w:hint="eastAsia" w:ascii="宋体" w:hAnsi="宋体" w:eastAsia="宋体" w:cs="宋体"/>
          <w:b/>
          <w:color w:val="000000" w:themeColor="text1"/>
          <w:sz w:val="24"/>
          <w:highlight w:val="none"/>
          <w14:textFill>
            <w14:solidFill>
              <w14:schemeClr w14:val="tx1"/>
            </w14:solidFill>
          </w14:textFill>
        </w:rPr>
      </w:pPr>
      <w:bookmarkStart w:id="91" w:name="_Toc22317"/>
      <w:bookmarkStart w:id="92" w:name="_Toc2893"/>
      <w:r>
        <w:rPr>
          <w:rFonts w:hint="eastAsia" w:ascii="宋体" w:hAnsi="宋体" w:eastAsia="宋体" w:cs="宋体"/>
          <w:b/>
          <w:color w:val="000000" w:themeColor="text1"/>
          <w:sz w:val="24"/>
          <w:highlight w:val="none"/>
          <w14:textFill>
            <w14:solidFill>
              <w14:schemeClr w14:val="tx1"/>
            </w14:solidFill>
          </w14:textFill>
        </w:rPr>
        <w:t>政府采购促进中小企业发展暂行办法</w:t>
      </w:r>
      <w:bookmarkEnd w:id="91"/>
      <w:bookmarkEnd w:id="92"/>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第一条 为了发挥政府采购的政策功能，促进中小企业健康发展，根据《中华人民共和国政府采购法》、《中华人民共和国中小企业促进法》等有关法律法规，制定本办法。</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第二条 本办法所称中小企业，是指在中华人民共和国境内依法设立，依据国务院批准的中小企业划分标准确定的中型企业、小型企业和微型企业，但与大企业的  负责人为同一人，或者与大企业存在直接控股、管理关系的除外。</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lang w:eastAsia="zh-CN"/>
        </w:rPr>
        <w:t>第三条</w:t>
      </w:r>
      <w:r>
        <w:rPr>
          <w:rFonts w:hint="eastAsia" w:ascii="宋体" w:hAnsi="宋体" w:cs="宋体"/>
          <w:kern w:val="0"/>
          <w:sz w:val="24"/>
          <w:highlight w:val="none"/>
          <w:lang w:val="en-US" w:eastAsia="zh-CN"/>
        </w:rPr>
        <w:t xml:space="preserve"> </w:t>
      </w:r>
      <w:r>
        <w:rPr>
          <w:rFonts w:hint="eastAsia" w:ascii="宋体" w:hAnsi="宋体" w:cs="宋体"/>
          <w:kern w:val="0"/>
          <w:sz w:val="24"/>
          <w:highlight w:val="none"/>
        </w:rPr>
        <w:t xml:space="preserve">符合中小企业划分标准的个体工商户，在政府采购活动中视同中小企业。 第三条 </w:t>
      </w:r>
      <w:r>
        <w:rPr>
          <w:rFonts w:hint="eastAsia" w:ascii="宋体" w:hAnsi="宋体" w:cs="宋体"/>
          <w:kern w:val="0"/>
          <w:sz w:val="24"/>
          <w:highlight w:val="none"/>
          <w:lang w:eastAsia="zh-CN"/>
        </w:rPr>
        <w:t>招标人</w:t>
      </w:r>
      <w:r>
        <w:rPr>
          <w:rFonts w:hint="eastAsia" w:ascii="宋体" w:hAnsi="宋体" w:cs="宋体"/>
          <w:kern w:val="0"/>
          <w:sz w:val="24"/>
          <w:highlight w:val="none"/>
        </w:rPr>
        <w:t>在政府采购活动中应当通过加强采购需求管理，落实预留</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采购份额、价格评审优惠、优先采购等 措施，提高中小企业在政府采购中的份</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额，支持中小企业发展。</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第四条 在政府采购活动中，</w:t>
      </w:r>
      <w:r>
        <w:rPr>
          <w:rFonts w:hint="eastAsia" w:ascii="宋体" w:hAnsi="宋体" w:cs="宋体"/>
          <w:kern w:val="0"/>
          <w:sz w:val="24"/>
          <w:highlight w:val="none"/>
          <w:lang w:eastAsia="zh-CN"/>
        </w:rPr>
        <w:t>投标人</w:t>
      </w:r>
      <w:r>
        <w:rPr>
          <w:rFonts w:hint="eastAsia" w:ascii="宋体" w:hAnsi="宋体" w:cs="宋体"/>
          <w:kern w:val="0"/>
          <w:sz w:val="24"/>
          <w:highlight w:val="none"/>
        </w:rPr>
        <w:t>提供的货物、工程或者服务符合下列情形的，享受本办法规定的中小企业扶持政策：</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（一）在货物采购项目中，货物由中小企业制造，即货 物由中小企业生产且使用该中小企业商号或者注册商标；</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（二）在工程采购项目中，工程由中小企业承建，即工 程施工单位为中小企业；</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（三）在服务采购项目中，服务由中小企业承接，即提供服务的人员为中小  企业依照《中华人民共和国劳动合同法》订立劳动合同的从业人员。</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在货物采购项目中，</w:t>
      </w:r>
      <w:r>
        <w:rPr>
          <w:rFonts w:hint="eastAsia" w:ascii="宋体" w:hAnsi="宋体" w:cs="宋体"/>
          <w:kern w:val="0"/>
          <w:sz w:val="24"/>
          <w:highlight w:val="none"/>
          <w:lang w:eastAsia="zh-CN"/>
        </w:rPr>
        <w:t>投标人</w:t>
      </w:r>
      <w:r>
        <w:rPr>
          <w:rFonts w:hint="eastAsia" w:ascii="宋体" w:hAnsi="宋体" w:cs="宋体"/>
          <w:kern w:val="0"/>
          <w:sz w:val="24"/>
          <w:highlight w:val="none"/>
        </w:rPr>
        <w:t>提供的货物既有中小企业制造货物，也有大型  企业制造货物的，不享受本办法规定的中小企业扶持政策。</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以联合体形式参加政府采购活动，联合体各方均为中小企业的，联合体视同中小企业。其中，联合体各方均为小微企业的，联合体视同小微企业。</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 xml:space="preserve">第五条 </w:t>
      </w:r>
      <w:r>
        <w:rPr>
          <w:rFonts w:hint="eastAsia" w:ascii="宋体" w:hAnsi="宋体" w:cs="宋体"/>
          <w:kern w:val="0"/>
          <w:sz w:val="24"/>
          <w:highlight w:val="none"/>
          <w:lang w:eastAsia="zh-CN"/>
        </w:rPr>
        <w:t>招标人</w:t>
      </w:r>
      <w:r>
        <w:rPr>
          <w:rFonts w:hint="eastAsia" w:ascii="宋体" w:hAnsi="宋体" w:cs="宋体"/>
          <w:kern w:val="0"/>
          <w:sz w:val="24"/>
          <w:highlight w:val="none"/>
        </w:rPr>
        <w:t>在政府采购活动中应当合理确定采购项目的采购需求，不得以企业注册资本、资产总额、营业收入、从业人员、利润、纳税额等规模条件和财务指标作为</w:t>
      </w:r>
      <w:r>
        <w:rPr>
          <w:rFonts w:hint="eastAsia" w:ascii="宋体" w:hAnsi="宋体" w:cs="宋体"/>
          <w:kern w:val="0"/>
          <w:sz w:val="24"/>
          <w:highlight w:val="none"/>
          <w:lang w:eastAsia="zh-CN"/>
        </w:rPr>
        <w:t>投标人</w:t>
      </w:r>
      <w:r>
        <w:rPr>
          <w:rFonts w:hint="eastAsia" w:ascii="宋体" w:hAnsi="宋体" w:cs="宋体"/>
          <w:kern w:val="0"/>
          <w:sz w:val="24"/>
          <w:highlight w:val="none"/>
        </w:rPr>
        <w:t>的资格要求或者评审因素，不得在企业股权结构、经营 年限等方面对中小企业实行差别待遇或者歧视待遇。</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符合下列情形之一的，可不专门面向中小企业预留采购份额：</w:t>
      </w:r>
    </w:p>
    <w:p>
      <w:pPr>
        <w:spacing w:line="360" w:lineRule="auto"/>
        <w:ind w:firstLine="480" w:firstLineChars="200"/>
        <w:textAlignment w:val="center"/>
        <w:rPr>
          <w:rFonts w:hint="eastAsia" w:ascii="宋体" w:hAnsi="宋体" w:cs="宋体"/>
          <w:kern w:val="0"/>
          <w:sz w:val="24"/>
          <w:highlight w:val="none"/>
        </w:rPr>
      </w:pP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（一）法律法规和国家有关政策明确规定优先或者应当面向事业单位、社  会组织等非企业主体采购的；</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（二）因确需使用不可替代的专利、专有技术，基础设施限制，或者提供特  定公共服务等原因，只能从中小企业之外的</w:t>
      </w:r>
      <w:r>
        <w:rPr>
          <w:rFonts w:hint="eastAsia" w:ascii="宋体" w:hAnsi="宋体" w:cs="宋体"/>
          <w:kern w:val="0"/>
          <w:sz w:val="24"/>
          <w:highlight w:val="none"/>
          <w:lang w:eastAsia="zh-CN"/>
        </w:rPr>
        <w:t>投标人</w:t>
      </w:r>
      <w:r>
        <w:rPr>
          <w:rFonts w:hint="eastAsia" w:ascii="宋体" w:hAnsi="宋体" w:cs="宋体"/>
          <w:kern w:val="0"/>
          <w:sz w:val="24"/>
          <w:highlight w:val="none"/>
        </w:rPr>
        <w:t>处采购的；</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（三）按照本办法规定预留采购份额无法确保充分供应、充分竞争，或者存  在可能影响政府采购目标实现的情形；</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（四）框架协议采购项目；</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（五）省级以上人民政府财政部门规定的其他情形。 除上述情形外，其他均为适宜由中小企业提供的情形。</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第七条 采购限额标准以上，200 万元以下的货物和服务采购项目、400 万元以下的工程采购项目，适宜由中小企业提供的，</w:t>
      </w:r>
      <w:r>
        <w:rPr>
          <w:rFonts w:hint="eastAsia" w:ascii="宋体" w:hAnsi="宋体" w:cs="宋体"/>
          <w:kern w:val="0"/>
          <w:sz w:val="24"/>
          <w:highlight w:val="none"/>
          <w:lang w:eastAsia="zh-CN"/>
        </w:rPr>
        <w:t>招标人</w:t>
      </w:r>
      <w:r>
        <w:rPr>
          <w:rFonts w:hint="eastAsia" w:ascii="宋体" w:hAnsi="宋体" w:cs="宋体"/>
          <w:kern w:val="0"/>
          <w:sz w:val="24"/>
          <w:highlight w:val="none"/>
        </w:rPr>
        <w:t>应当专门面向中小企业采购。</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第八条 超过200万元的货物和服务采购项目、超过400万元的工程采购项目中适宜由中小企业提供的，预留该部分采购项目预算总额的 30%以上专门面向中小企业采购， 其中预留给小微企业的比例不低于60%。预留份额通过下列措施进行：</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（一）将采购项目整体或者设置采购包专门面向中小企业采购；</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（二）要求</w:t>
      </w:r>
      <w:r>
        <w:rPr>
          <w:rFonts w:hint="eastAsia" w:ascii="宋体" w:hAnsi="宋体" w:cs="宋体"/>
          <w:kern w:val="0"/>
          <w:sz w:val="24"/>
          <w:highlight w:val="none"/>
          <w:lang w:eastAsia="zh-CN"/>
        </w:rPr>
        <w:t>投标人</w:t>
      </w:r>
      <w:r>
        <w:rPr>
          <w:rFonts w:hint="eastAsia" w:ascii="宋体" w:hAnsi="宋体" w:cs="宋体"/>
          <w:kern w:val="0"/>
          <w:sz w:val="24"/>
          <w:highlight w:val="none"/>
        </w:rPr>
        <w:t>以联合体形式参加采购活动，且联合体中中小企业承担  的部分达到一定比例；</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（三）要求获得采购合同的</w:t>
      </w:r>
      <w:r>
        <w:rPr>
          <w:rFonts w:hint="eastAsia" w:ascii="宋体" w:hAnsi="宋体" w:cs="宋体"/>
          <w:kern w:val="0"/>
          <w:sz w:val="24"/>
          <w:highlight w:val="none"/>
          <w:lang w:eastAsia="zh-CN"/>
        </w:rPr>
        <w:t>投标人</w:t>
      </w:r>
      <w:r>
        <w:rPr>
          <w:rFonts w:hint="eastAsia" w:ascii="宋体" w:hAnsi="宋体" w:cs="宋体"/>
          <w:kern w:val="0"/>
          <w:sz w:val="24"/>
          <w:highlight w:val="none"/>
        </w:rPr>
        <w:t>将采购项目中的一定比例分包给一家或  者多家中小企业。</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组成联合体或者接受分包合同的中小企业与联合体内其他企业、分包企业之间不得存在直接控股、管理关系。</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第九条 对于经主管预算单位统筹后未预留份额专门面向中小企业采购的采购项目，以及预留份额项目中的非预留部分采购包，</w:t>
      </w:r>
      <w:r>
        <w:rPr>
          <w:rFonts w:hint="eastAsia" w:ascii="宋体" w:hAnsi="宋体" w:cs="宋体"/>
          <w:kern w:val="0"/>
          <w:sz w:val="24"/>
          <w:highlight w:val="none"/>
          <w:lang w:eastAsia="zh-CN"/>
        </w:rPr>
        <w:t>招标人</w:t>
      </w:r>
      <w:r>
        <w:rPr>
          <w:rFonts w:hint="eastAsia" w:ascii="宋体" w:hAnsi="宋体" w:cs="宋体"/>
          <w:kern w:val="0"/>
          <w:sz w:val="24"/>
          <w:highlight w:val="none"/>
        </w:rPr>
        <w:t>、</w:t>
      </w:r>
      <w:r>
        <w:rPr>
          <w:rFonts w:hint="eastAsia" w:ascii="宋体" w:hAnsi="宋体" w:cs="宋体"/>
          <w:kern w:val="0"/>
          <w:sz w:val="24"/>
          <w:highlight w:val="none"/>
          <w:lang w:eastAsia="zh-CN"/>
        </w:rPr>
        <w:t>招标代理机构</w:t>
      </w:r>
      <w:r>
        <w:rPr>
          <w:rFonts w:hint="eastAsia" w:ascii="宋体" w:hAnsi="宋体" w:cs="宋体"/>
          <w:kern w:val="0"/>
          <w:sz w:val="24"/>
          <w:highlight w:val="none"/>
        </w:rPr>
        <w:t>应当对符合本办法规定的小微企业报价给予 6%—10%（工程项目为 3%—5%）的扣除，用扣除后的价格参加评审。适用招标投标法的政府采购 工程建设项目， 采用综合评估法但未采用低价优先法计算价格分的，评标时应当在采用原报价进行评分的基础上增加其价格得分的 3%—5%作为其价格分。</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接受大中型企业与小微企业组成联合体或者允许大中型企业向一家或者多家小微企业分包的采购项目，对于联合协议或者分包意向协议约定小微企业的合同份额占到合同 总金额 30%以上的，</w:t>
      </w:r>
      <w:r>
        <w:rPr>
          <w:rFonts w:hint="eastAsia" w:ascii="宋体" w:hAnsi="宋体" w:cs="宋体"/>
          <w:kern w:val="0"/>
          <w:sz w:val="24"/>
          <w:highlight w:val="none"/>
          <w:lang w:eastAsia="zh-CN"/>
        </w:rPr>
        <w:t>招标人</w:t>
      </w:r>
      <w:r>
        <w:rPr>
          <w:rFonts w:hint="eastAsia" w:ascii="宋体" w:hAnsi="宋体" w:cs="宋体"/>
          <w:kern w:val="0"/>
          <w:sz w:val="24"/>
          <w:highlight w:val="none"/>
        </w:rPr>
        <w:t>、</w:t>
      </w:r>
      <w:r>
        <w:rPr>
          <w:rFonts w:hint="eastAsia" w:ascii="宋体" w:hAnsi="宋体" w:cs="宋体"/>
          <w:kern w:val="0"/>
          <w:sz w:val="24"/>
          <w:highlight w:val="none"/>
          <w:lang w:eastAsia="zh-CN"/>
        </w:rPr>
        <w:t>招标代理机构</w:t>
      </w:r>
      <w:r>
        <w:rPr>
          <w:rFonts w:hint="eastAsia" w:ascii="宋体" w:hAnsi="宋体" w:cs="宋体"/>
          <w:kern w:val="0"/>
          <w:sz w:val="24"/>
          <w:highlight w:val="none"/>
        </w:rPr>
        <w:t>应当对联合体或者大中型企业的报价给予 2%-3%（工程项目为 1%—2%）的扣除，用扣除后的价格参加评审。适用招标投标法的政府采购工程建设项目，采用综合评估法但未采用低价优先法计算价格分的，评标时应当在采用原报价进行评分的基础上增加其价格得分的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价格扣除比例或者价格分加分比例对小型企业和微型企业同等对待，不作区分。具体采购项目的价格扣除比例或者价格分加分比例，由</w:t>
      </w:r>
      <w:r>
        <w:rPr>
          <w:rFonts w:hint="eastAsia" w:ascii="宋体" w:hAnsi="宋体" w:cs="宋体"/>
          <w:kern w:val="0"/>
          <w:sz w:val="24"/>
          <w:highlight w:val="none"/>
          <w:lang w:eastAsia="zh-CN"/>
        </w:rPr>
        <w:t>招标人</w:t>
      </w:r>
      <w:r>
        <w:rPr>
          <w:rFonts w:hint="eastAsia" w:ascii="宋体" w:hAnsi="宋体" w:cs="宋体"/>
          <w:kern w:val="0"/>
          <w:sz w:val="24"/>
          <w:highlight w:val="none"/>
        </w:rPr>
        <w:t>根据采购标的相关行业平均利润率、市场竞争状况等，在本办法规定的幅度内确定。</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 xml:space="preserve">第十条 </w:t>
      </w:r>
      <w:r>
        <w:rPr>
          <w:rFonts w:hint="eastAsia" w:ascii="宋体" w:hAnsi="宋体" w:cs="宋体"/>
          <w:kern w:val="0"/>
          <w:sz w:val="24"/>
          <w:highlight w:val="none"/>
          <w:lang w:eastAsia="zh-CN"/>
        </w:rPr>
        <w:t>招标人</w:t>
      </w:r>
      <w:r>
        <w:rPr>
          <w:rFonts w:hint="eastAsia" w:ascii="宋体" w:hAnsi="宋体" w:cs="宋体"/>
          <w:kern w:val="0"/>
          <w:sz w:val="24"/>
          <w:highlight w:val="none"/>
        </w:rPr>
        <w:t>应当严格按照本办法规定和主管预算单位制定的预留采购份额具体方案开展采购活动。预留份额的采购项目或者采购包，通过发布公告方式邀请</w:t>
      </w:r>
      <w:r>
        <w:rPr>
          <w:rFonts w:hint="eastAsia" w:ascii="宋体" w:hAnsi="宋体" w:cs="宋体"/>
          <w:kern w:val="0"/>
          <w:sz w:val="24"/>
          <w:highlight w:val="none"/>
          <w:lang w:eastAsia="zh-CN"/>
        </w:rPr>
        <w:t>投标人</w:t>
      </w:r>
      <w:r>
        <w:rPr>
          <w:rFonts w:hint="eastAsia" w:ascii="宋体" w:hAnsi="宋体" w:cs="宋体"/>
          <w:kern w:val="0"/>
          <w:sz w:val="24"/>
          <w:highlight w:val="none"/>
        </w:rPr>
        <w:t>后， 符合资格条件的中小企业数量不足 3 家的，应当中止采购活动，视同未预留份额的采购项目或者采购包，按照本办法第九条有关规定重新组织采购活动。</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第十一条 中小企业参加政府采购活动，应当出具本办法规定的《中小企业声明函》（附 1），否则不得享受相关中小企业扶持政策。任何单位和个人不得要求</w:t>
      </w:r>
      <w:r>
        <w:rPr>
          <w:rFonts w:hint="eastAsia" w:ascii="宋体" w:hAnsi="宋体" w:cs="宋体"/>
          <w:kern w:val="0"/>
          <w:sz w:val="24"/>
          <w:highlight w:val="none"/>
          <w:lang w:eastAsia="zh-CN"/>
        </w:rPr>
        <w:t>投标人</w:t>
      </w:r>
      <w:r>
        <w:rPr>
          <w:rFonts w:hint="eastAsia" w:ascii="宋体" w:hAnsi="宋体" w:cs="宋体"/>
          <w:kern w:val="0"/>
          <w:sz w:val="24"/>
          <w:highlight w:val="none"/>
        </w:rPr>
        <w:t>提供《中小企业声明函》之外的中小企业身份证明文件。</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第十二条 采购项目涉及中小企业采购的，</w:t>
      </w:r>
      <w:r>
        <w:rPr>
          <w:rFonts w:hint="eastAsia" w:ascii="宋体" w:hAnsi="宋体" w:cs="宋体"/>
          <w:kern w:val="0"/>
          <w:sz w:val="24"/>
          <w:highlight w:val="none"/>
          <w:lang w:eastAsia="zh-CN"/>
        </w:rPr>
        <w:t>招标文件</w:t>
      </w:r>
      <w:r>
        <w:rPr>
          <w:rFonts w:hint="eastAsia" w:ascii="宋体" w:hAnsi="宋体" w:cs="宋体"/>
          <w:kern w:val="0"/>
          <w:sz w:val="24"/>
          <w:highlight w:val="none"/>
        </w:rPr>
        <w:t>应当明确以下内容：</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（一）预留份额的采购项目或者采购包，明确该项目或相关采购包专门面  向中小企业采购，以及相关标的及预算金额；</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（二）要求以联合体形式参加或者合同分包的，明确联合协议或者分包意向协议中中小企业合同金额应当达到的 比例，并作为</w:t>
      </w:r>
      <w:r>
        <w:rPr>
          <w:rFonts w:hint="eastAsia" w:ascii="宋体" w:hAnsi="宋体" w:cs="宋体"/>
          <w:kern w:val="0"/>
          <w:sz w:val="24"/>
          <w:highlight w:val="none"/>
          <w:lang w:eastAsia="zh-CN"/>
        </w:rPr>
        <w:t>投标人</w:t>
      </w:r>
      <w:r>
        <w:rPr>
          <w:rFonts w:hint="eastAsia" w:ascii="宋体" w:hAnsi="宋体" w:cs="宋体"/>
          <w:kern w:val="0"/>
          <w:sz w:val="24"/>
          <w:highlight w:val="none"/>
        </w:rPr>
        <w:t>资格条件；</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（三）非预留份额的采购项目或者采购包，明确有关价格扣除比例或者价格分加分比例；</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（四）规定依据本办法规定享受扶持政策获得政府采购合同的，小微企业  不得将合同分包给大中型企业，中型企业不得将合同分包给大型企业；</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（五）</w:t>
      </w:r>
      <w:r>
        <w:rPr>
          <w:rFonts w:hint="eastAsia" w:ascii="宋体" w:hAnsi="宋体" w:cs="宋体"/>
          <w:kern w:val="0"/>
          <w:sz w:val="24"/>
          <w:highlight w:val="none"/>
          <w:lang w:eastAsia="zh-CN"/>
        </w:rPr>
        <w:t>招标人</w:t>
      </w:r>
      <w:r>
        <w:rPr>
          <w:rFonts w:hint="eastAsia" w:ascii="宋体" w:hAnsi="宋体" w:cs="宋体"/>
          <w:kern w:val="0"/>
          <w:sz w:val="24"/>
          <w:highlight w:val="none"/>
        </w:rPr>
        <w:t>认为具备相关条件的，明确对中小企业在资金支付期限、预  付款比例等方面的优惠措施；</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（六）明确采购标的对应的中小企业划分标准所属行业；</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（七）法律法规和省级以上人民政府财政部门规定的其他事项。</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第十三条</w:t>
      </w:r>
      <w:r>
        <w:rPr>
          <w:rFonts w:hint="eastAsia" w:ascii="宋体" w:hAnsi="宋体" w:cs="宋体"/>
          <w:kern w:val="0"/>
          <w:sz w:val="24"/>
          <w:highlight w:val="none"/>
        </w:rPr>
        <w:tab/>
      </w:r>
      <w:r>
        <w:rPr>
          <w:rFonts w:hint="eastAsia" w:ascii="宋体" w:hAnsi="宋体" w:cs="宋体"/>
          <w:kern w:val="0"/>
          <w:sz w:val="24"/>
          <w:highlight w:val="none"/>
        </w:rPr>
        <w:t>中标、成交</w:t>
      </w:r>
      <w:r>
        <w:rPr>
          <w:rFonts w:hint="eastAsia" w:ascii="宋体" w:hAnsi="宋体" w:cs="宋体"/>
          <w:kern w:val="0"/>
          <w:sz w:val="24"/>
          <w:highlight w:val="none"/>
          <w:lang w:eastAsia="zh-CN"/>
        </w:rPr>
        <w:t>投标人</w:t>
      </w:r>
      <w:r>
        <w:rPr>
          <w:rFonts w:hint="eastAsia" w:ascii="宋体" w:hAnsi="宋体" w:cs="宋体"/>
          <w:kern w:val="0"/>
          <w:sz w:val="24"/>
          <w:highlight w:val="none"/>
        </w:rPr>
        <w:t>享受本办法规定的中小企业扶持政策的，</w:t>
      </w:r>
      <w:r>
        <w:rPr>
          <w:rFonts w:hint="eastAsia" w:ascii="宋体" w:hAnsi="宋体" w:cs="宋体"/>
          <w:kern w:val="0"/>
          <w:sz w:val="24"/>
          <w:highlight w:val="none"/>
          <w:lang w:eastAsia="zh-CN"/>
        </w:rPr>
        <w:t>招标人</w:t>
      </w:r>
      <w:r>
        <w:rPr>
          <w:rFonts w:hint="eastAsia" w:ascii="宋体" w:hAnsi="宋体" w:cs="宋体"/>
          <w:kern w:val="0"/>
          <w:sz w:val="24"/>
          <w:highlight w:val="none"/>
        </w:rPr>
        <w:t>、</w:t>
      </w:r>
      <w:r>
        <w:rPr>
          <w:rFonts w:hint="eastAsia" w:ascii="宋体" w:hAnsi="宋体" w:cs="宋体"/>
          <w:kern w:val="0"/>
          <w:sz w:val="24"/>
          <w:highlight w:val="none"/>
          <w:lang w:eastAsia="zh-CN"/>
        </w:rPr>
        <w:t>招标代理机构</w:t>
      </w:r>
      <w:r>
        <w:rPr>
          <w:rFonts w:hint="eastAsia" w:ascii="宋体" w:hAnsi="宋体" w:cs="宋体"/>
          <w:kern w:val="0"/>
          <w:sz w:val="24"/>
          <w:highlight w:val="none"/>
        </w:rPr>
        <w:t>应当随中标、成交结果公开中标、成交</w:t>
      </w:r>
      <w:r>
        <w:rPr>
          <w:rFonts w:hint="eastAsia" w:ascii="宋体" w:hAnsi="宋体" w:cs="宋体"/>
          <w:kern w:val="0"/>
          <w:sz w:val="24"/>
          <w:highlight w:val="none"/>
          <w:lang w:eastAsia="zh-CN"/>
        </w:rPr>
        <w:t>投标人</w:t>
      </w:r>
      <w:r>
        <w:rPr>
          <w:rFonts w:hint="eastAsia" w:ascii="宋体" w:hAnsi="宋体" w:cs="宋体"/>
          <w:kern w:val="0"/>
          <w:sz w:val="24"/>
          <w:highlight w:val="none"/>
        </w:rPr>
        <w:t>的《中小企业声明函》。</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适用招标投标法的政府采购工程建设项目，应当在公示中标候选人时公开中标候选人的《中小企业声明函》。</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第十四条 对于通过预留采购项目、预留专门采购包、要求以联合体形式参加或者合同分包等措施签订的采购合同，应当明确标注本合同为中小企业预留  合同。其中，要求以联合体形式参加采购活动或者合同分包的，应当将联合协议  或者分包意向协议作为采购合同的组成部分。</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第十五条 鼓励各地区、各部门在采购活动中允许中小企业引入信用担保手段，为中小企业在投标（响应）保证、履约保证等方面提供专业化服务。鼓励中小企业依法合规通过政府采购合同融资。</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第十六条 政府采购监督检查、投诉处理及政府采购行政处罚中对中小企业的认定，由货物制造商或者工程、服务</w:t>
      </w:r>
      <w:r>
        <w:rPr>
          <w:rFonts w:hint="eastAsia" w:ascii="宋体" w:hAnsi="宋体" w:cs="宋体"/>
          <w:kern w:val="0"/>
          <w:sz w:val="24"/>
          <w:highlight w:val="none"/>
          <w:lang w:eastAsia="zh-CN"/>
        </w:rPr>
        <w:t>投标人</w:t>
      </w:r>
      <w:r>
        <w:rPr>
          <w:rFonts w:hint="eastAsia" w:ascii="宋体" w:hAnsi="宋体" w:cs="宋体"/>
          <w:kern w:val="0"/>
          <w:sz w:val="24"/>
          <w:highlight w:val="none"/>
        </w:rPr>
        <w:t>注册登记所在地的县级以上人民政府中小企业主管部门负责。</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中小企业主管部门应当在收到财政部门或者有关招标 投标行政监督部门关于协助开展中小企业认定函后 10 个工作日内做出书面答复。</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第十七条 各地区、各部门应当对涉及中小企业采购的预算项目实施全过程绩效管理，合理设置绩效目标和指标，落实扶持中小企业有关政策要求，定期开展绩效监控和评价，强化绩效评价结果应用。</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第十八条  主管预算单位应当自 2022 年起向同级财政部门报告本部门上一年度面向中小企业预留份额和采购的 具体情况，并在中国政府采购网公开预留项目执行情况(附 2)。未达到本办法规定的预留份额比例的，应当作出说明。</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 xml:space="preserve">第十九条 </w:t>
      </w:r>
      <w:r>
        <w:rPr>
          <w:rFonts w:hint="eastAsia" w:ascii="宋体" w:hAnsi="宋体" w:cs="宋体"/>
          <w:kern w:val="0"/>
          <w:sz w:val="24"/>
          <w:highlight w:val="none"/>
          <w:lang w:eastAsia="zh-CN"/>
        </w:rPr>
        <w:t>招标人</w:t>
      </w:r>
      <w:r>
        <w:rPr>
          <w:rFonts w:hint="eastAsia" w:ascii="宋体" w:hAnsi="宋体" w:cs="宋体"/>
          <w:kern w:val="0"/>
          <w:sz w:val="24"/>
          <w:highlight w:val="none"/>
        </w:rPr>
        <w:t>未按本办法规定为中小企业预留采购份额，</w:t>
      </w:r>
      <w:r>
        <w:rPr>
          <w:rFonts w:hint="eastAsia" w:ascii="宋体" w:hAnsi="宋体" w:cs="宋体"/>
          <w:kern w:val="0"/>
          <w:sz w:val="24"/>
          <w:highlight w:val="none"/>
          <w:lang w:eastAsia="zh-CN"/>
        </w:rPr>
        <w:t>招标人</w:t>
      </w:r>
      <w:r>
        <w:rPr>
          <w:rFonts w:hint="eastAsia" w:ascii="宋体" w:hAnsi="宋体" w:cs="宋体"/>
          <w:kern w:val="0"/>
          <w:sz w:val="24"/>
          <w:highlight w:val="none"/>
        </w:rPr>
        <w:t>、</w:t>
      </w:r>
      <w:r>
        <w:rPr>
          <w:rFonts w:hint="eastAsia" w:ascii="宋体" w:hAnsi="宋体" w:cs="宋体"/>
          <w:kern w:val="0"/>
          <w:sz w:val="24"/>
          <w:highlight w:val="none"/>
          <w:lang w:eastAsia="zh-CN"/>
        </w:rPr>
        <w:t>招标代理机构</w:t>
      </w:r>
      <w:r>
        <w:rPr>
          <w:rFonts w:hint="eastAsia" w:ascii="宋体" w:hAnsi="宋体" w:cs="宋体"/>
          <w:kern w:val="0"/>
          <w:sz w:val="24"/>
          <w:highlight w:val="none"/>
        </w:rPr>
        <w:t>未按照本办法规定要求实施价格扣除或者价格分加分的，属于未按照规定执行政府采购政策，依照《中华人民共和国政府采  购法》等国家有关规定追究法律责任。</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 xml:space="preserve">第二十条 </w:t>
      </w:r>
      <w:r>
        <w:rPr>
          <w:rFonts w:hint="eastAsia" w:ascii="宋体" w:hAnsi="宋体" w:cs="宋体"/>
          <w:kern w:val="0"/>
          <w:sz w:val="24"/>
          <w:highlight w:val="none"/>
          <w:lang w:eastAsia="zh-CN"/>
        </w:rPr>
        <w:t>投标人</w:t>
      </w:r>
      <w:r>
        <w:rPr>
          <w:rFonts w:hint="eastAsia" w:ascii="宋体" w:hAnsi="宋体" w:cs="宋体"/>
          <w:kern w:val="0"/>
          <w:sz w:val="24"/>
          <w:highlight w:val="none"/>
        </w:rPr>
        <w:t>按照本办法规定提供声明函内容不实的，属于提供虚假材料谋取中标、成交，依照《中华人民 共和国政府采购法》等国家有关规定追究相应责任。</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适用招标投标法的政府采购工程建设项目，投标人按照 本办法规定提供声明函内容不实的，属于弄虚作假骗取中标， 依照《中华人民共和国招标投标法》等国家有关规定追究相应责任。</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第二十一条 财政部门、中小企业主管部门及其工作人员在履行职责中违反本办法规定及存在其他滥用职权、玩忽职守、徇私舞弊等违法违纪行为的， 依照《中华人民共和国政府采购法》、《中华人民共和国公务员法》、《中华人民共和国监察法》、《中华人民共和国政府采购法实施条例》等国家有关规定追究相应责任；涉嫌犯罪的，依法移送有关国家机 关处理。</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第二十二条 对外援助项目、国家相关资格或者资质管理制度另有规定的项目，不适用本办法。</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第二十三条 关于视同中小企业的其他主体的政府采购扶持政策，由财政部会同有关部门另行规定。</w:t>
      </w:r>
    </w:p>
    <w:p>
      <w:pPr>
        <w:spacing w:line="360" w:lineRule="auto"/>
        <w:ind w:firstLine="480" w:firstLineChars="200"/>
        <w:textAlignment w:val="center"/>
        <w:rPr>
          <w:rFonts w:hint="eastAsia" w:ascii="宋体" w:hAnsi="宋体" w:cs="宋体"/>
          <w:kern w:val="0"/>
          <w:sz w:val="24"/>
          <w:highlight w:val="none"/>
        </w:rPr>
      </w:pPr>
      <w:r>
        <w:rPr>
          <w:rFonts w:hint="eastAsia" w:ascii="宋体" w:hAnsi="宋体" w:cs="宋体"/>
          <w:kern w:val="0"/>
          <w:sz w:val="24"/>
          <w:highlight w:val="none"/>
        </w:rPr>
        <w:t>第二十四条 省级财政部门可以会同中小企业主管部门根据本办法的规定制定具体实施办法。</w:t>
      </w:r>
    </w:p>
    <w:p>
      <w:pPr>
        <w:rPr>
          <w:rFonts w:hint="eastAsia" w:ascii="宋体" w:hAnsi="宋体" w:eastAsia="宋体" w:cs="宋体"/>
          <w:color w:val="000000" w:themeColor="text1"/>
          <w:sz w:val="24"/>
          <w:szCs w:val="16"/>
          <w:highlight w:val="none"/>
          <w14:textFill>
            <w14:solidFill>
              <w14:schemeClr w14:val="tx1"/>
            </w14:solidFill>
          </w14:textFill>
        </w:rPr>
      </w:pPr>
      <w:r>
        <w:rPr>
          <w:rFonts w:hint="eastAsia" w:ascii="宋体" w:hAnsi="宋体" w:cs="宋体"/>
          <w:kern w:val="0"/>
          <w:sz w:val="24"/>
          <w:highlight w:val="none"/>
        </w:rPr>
        <w:t>第二十五条 本办法自 2021 年 1 月 1 日起施行。《财政部 工业和信息化部关于印发〈政府采购促进中小企业发展暂行办法〉的通知》（财库﹝2011﹞181 号）同时废止。</w:t>
      </w:r>
    </w:p>
    <w:p>
      <w:pPr>
        <w:rPr>
          <w:rFonts w:hint="eastAsia" w:ascii="宋体" w:hAnsi="宋体" w:eastAsia="宋体" w:cs="宋体"/>
          <w:color w:val="000000" w:themeColor="text1"/>
          <w:sz w:val="24"/>
          <w:szCs w:val="16"/>
          <w:highlight w:val="none"/>
          <w14:textFill>
            <w14:solidFill>
              <w14:schemeClr w14:val="tx1"/>
            </w14:solidFill>
          </w14:textFill>
        </w:rPr>
      </w:pPr>
      <w:r>
        <w:rPr>
          <w:rFonts w:hint="eastAsia" w:ascii="宋体" w:hAnsi="宋体" w:eastAsia="宋体" w:cs="宋体"/>
          <w:color w:val="000000" w:themeColor="text1"/>
          <w:sz w:val="24"/>
          <w:szCs w:val="16"/>
          <w:highlight w:val="none"/>
          <w14:textFill>
            <w14:solidFill>
              <w14:schemeClr w14:val="tx1"/>
            </w14:solidFill>
          </w14:textFill>
        </w:rPr>
        <w:br w:type="page"/>
      </w:r>
    </w:p>
    <w:p>
      <w:pPr>
        <w:rPr>
          <w:rFonts w:hint="eastAsia" w:ascii="宋体" w:hAnsi="宋体" w:eastAsia="宋体" w:cs="宋体"/>
          <w:color w:val="000000" w:themeColor="text1"/>
          <w:sz w:val="24"/>
          <w:szCs w:val="16"/>
          <w:highlight w:val="none"/>
          <w14:textFill>
            <w14:solidFill>
              <w14:schemeClr w14:val="tx1"/>
            </w14:solidFill>
          </w14:textFill>
        </w:rPr>
      </w:pPr>
      <w:r>
        <w:rPr>
          <w:rFonts w:hint="eastAsia" w:ascii="宋体" w:hAnsi="宋体" w:eastAsia="宋体" w:cs="宋体"/>
          <w:color w:val="000000" w:themeColor="text1"/>
          <w:sz w:val="24"/>
          <w:szCs w:val="16"/>
          <w:highlight w:val="none"/>
          <w14:textFill>
            <w14:solidFill>
              <w14:schemeClr w14:val="tx1"/>
            </w14:solidFill>
          </w14:textFill>
        </w:rPr>
        <w:t>附件：</w:t>
      </w:r>
    </w:p>
    <w:p>
      <w:pPr>
        <w:spacing w:line="460" w:lineRule="exact"/>
        <w:jc w:val="center"/>
        <w:rPr>
          <w:rFonts w:hint="eastAsia" w:ascii="宋体" w:hAnsi="宋体" w:eastAsia="宋体" w:cs="宋体"/>
          <w:b/>
          <w:color w:val="000000" w:themeColor="text1"/>
          <w:sz w:val="24"/>
          <w:highlight w:val="none"/>
          <w14:textFill>
            <w14:solidFill>
              <w14:schemeClr w14:val="tx1"/>
            </w14:solidFill>
          </w14:textFill>
        </w:rPr>
      </w:pPr>
    </w:p>
    <w:p>
      <w:pPr>
        <w:spacing w:line="460" w:lineRule="exact"/>
        <w:jc w:val="center"/>
        <w:outlineLvl w:val="0"/>
        <w:rPr>
          <w:rFonts w:hint="eastAsia" w:ascii="宋体" w:hAnsi="宋体" w:eastAsia="宋体" w:cs="宋体"/>
          <w:b/>
          <w:color w:val="000000" w:themeColor="text1"/>
          <w:sz w:val="24"/>
          <w:highlight w:val="none"/>
          <w14:textFill>
            <w14:solidFill>
              <w14:schemeClr w14:val="tx1"/>
            </w14:solidFill>
          </w14:textFill>
        </w:rPr>
      </w:pPr>
      <w:bookmarkStart w:id="93" w:name="_Toc21815"/>
      <w:bookmarkStart w:id="94" w:name="_Toc30424"/>
      <w:r>
        <w:rPr>
          <w:rFonts w:hint="eastAsia" w:ascii="宋体" w:hAnsi="宋体" w:eastAsia="宋体" w:cs="宋体"/>
          <w:b/>
          <w:color w:val="000000" w:themeColor="text1"/>
          <w:sz w:val="24"/>
          <w:highlight w:val="none"/>
          <w14:textFill>
            <w14:solidFill>
              <w14:schemeClr w14:val="tx1"/>
            </w14:solidFill>
          </w14:textFill>
        </w:rPr>
        <w:t>关于促进残疾人就业政府采购政策的通知</w:t>
      </w:r>
      <w:bookmarkEnd w:id="93"/>
      <w:bookmarkEnd w:id="94"/>
    </w:p>
    <w:p>
      <w:pPr>
        <w:shd w:val="clear" w:color="auto" w:fill="FFFFFF"/>
        <w:spacing w:line="480" w:lineRule="exact"/>
        <w:jc w:val="center"/>
        <w:textAlignment w:val="center"/>
        <w:outlineLvl w:val="0"/>
        <w:rPr>
          <w:rFonts w:hint="eastAsia" w:ascii="宋体" w:hAnsi="宋体" w:eastAsia="宋体" w:cs="宋体"/>
          <w:color w:val="000000" w:themeColor="text1"/>
          <w:kern w:val="0"/>
          <w:sz w:val="24"/>
          <w:highlight w:val="none"/>
          <w14:textFill>
            <w14:solidFill>
              <w14:schemeClr w14:val="tx1"/>
            </w14:solidFill>
          </w14:textFill>
        </w:rPr>
      </w:pPr>
      <w:bookmarkStart w:id="95" w:name="_Toc1601"/>
      <w:bookmarkStart w:id="96" w:name="_Toc10684"/>
      <w:r>
        <w:rPr>
          <w:rFonts w:hint="eastAsia" w:ascii="宋体" w:hAnsi="宋体" w:eastAsia="宋体" w:cs="宋体"/>
          <w:color w:val="000000" w:themeColor="text1"/>
          <w:kern w:val="0"/>
          <w:sz w:val="24"/>
          <w:highlight w:val="none"/>
          <w14:textFill>
            <w14:solidFill>
              <w14:schemeClr w14:val="tx1"/>
            </w14:solidFill>
          </w14:textFill>
        </w:rPr>
        <w:t>财库〔2017〕141号</w:t>
      </w:r>
      <w:bookmarkEnd w:id="95"/>
      <w:bookmarkEnd w:id="96"/>
    </w:p>
    <w:p>
      <w:pPr>
        <w:shd w:val="clear" w:color="auto" w:fill="FFFFFF"/>
        <w:spacing w:line="480" w:lineRule="exact"/>
        <w:jc w:val="lef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pPr>
        <w:shd w:val="clear" w:color="auto" w:fill="FFFFFF"/>
        <w:spacing w:line="480" w:lineRule="exact"/>
        <w:jc w:val="lef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为了发挥政府采购促进残疾人就业的作用，进一步保障残疾人权益，依照《政府采购法》、《残疾人保障法》等法律法规及相关规定，现就促进残疾人就业政府采购政策通知如下：</w:t>
      </w:r>
    </w:p>
    <w:p>
      <w:pPr>
        <w:shd w:val="clear" w:color="auto" w:fill="FFFFFF"/>
        <w:spacing w:line="480" w:lineRule="exact"/>
        <w:jc w:val="lef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一、享受政府采购支持政策的残疾人福利性单位应当同时满足以下条件：</w:t>
      </w:r>
    </w:p>
    <w:p>
      <w:pPr>
        <w:shd w:val="clear" w:color="auto" w:fill="FFFFFF"/>
        <w:spacing w:line="480" w:lineRule="exact"/>
        <w:jc w:val="lef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（一）安置的残疾人占本单位在职职工人数的比例不低于25%（含25%），并且安置的残疾人人数不少于10人（含10人）；</w:t>
      </w:r>
    </w:p>
    <w:p>
      <w:pPr>
        <w:shd w:val="clear" w:color="auto" w:fill="FFFFFF"/>
        <w:spacing w:line="480" w:lineRule="exact"/>
        <w:jc w:val="lef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（二）依法与安置的每位残疾人签订了一年以上（含一年）的劳动合同或服务协议；</w:t>
      </w:r>
    </w:p>
    <w:p>
      <w:pPr>
        <w:shd w:val="clear" w:color="auto" w:fill="FFFFFF"/>
        <w:spacing w:line="480" w:lineRule="exact"/>
        <w:jc w:val="lef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（三）为安置的每位残疾人按月足额缴纳了基本养老保险、基本医疗保险、失业保险、工伤保险和生育保险等社会保险费；</w:t>
      </w:r>
    </w:p>
    <w:p>
      <w:pPr>
        <w:shd w:val="clear" w:color="auto" w:fill="FFFFFF"/>
        <w:spacing w:line="480" w:lineRule="exact"/>
        <w:jc w:val="lef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（四）通过银行等金融机构向安置的每位残疾人，按月支付了不低于单位所在区县适用的经省级人民政府批准的月最低工资标准的工资；</w:t>
      </w:r>
    </w:p>
    <w:p>
      <w:pPr>
        <w:shd w:val="clear" w:color="auto" w:fill="FFFFFF"/>
        <w:spacing w:line="480" w:lineRule="exact"/>
        <w:jc w:val="lef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（五）提供本单位制造的货物、承担的工程或者服务（以下简称产品），或者提供其他残疾人福利性单位制造的货物（不包括使用非残疾人福利性单位注册商标的货物）。</w:t>
      </w:r>
    </w:p>
    <w:p>
      <w:pPr>
        <w:shd w:val="clear" w:color="auto" w:fill="FFFFFF"/>
        <w:spacing w:line="480" w:lineRule="exact"/>
        <w:jc w:val="lef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hd w:val="clear" w:color="auto" w:fill="FFFFFF"/>
        <w:spacing w:line="480" w:lineRule="exact"/>
        <w:jc w:val="lef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pPr>
        <w:shd w:val="clear" w:color="auto" w:fill="FFFFFF"/>
        <w:spacing w:line="480" w:lineRule="exact"/>
        <w:jc w:val="lef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中标、中标人为残疾人福利性单位的，</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eastAsia="宋体" w:cs="宋体"/>
          <w:color w:val="000000" w:themeColor="text1"/>
          <w:kern w:val="0"/>
          <w:sz w:val="24"/>
          <w:highlight w:val="none"/>
          <w14:textFill>
            <w14:solidFill>
              <w14:schemeClr w14:val="tx1"/>
            </w14:solidFill>
          </w14:textFill>
        </w:rPr>
        <w:t>或者其委托的</w:t>
      </w:r>
      <w:r>
        <w:rPr>
          <w:rFonts w:hint="eastAsia" w:ascii="宋体" w:hAnsi="宋体" w:cs="宋体"/>
          <w:color w:val="000000" w:themeColor="text1"/>
          <w:kern w:val="0"/>
          <w:sz w:val="24"/>
          <w:highlight w:val="none"/>
          <w:lang w:eastAsia="zh-CN"/>
          <w14:textFill>
            <w14:solidFill>
              <w14:schemeClr w14:val="tx1"/>
            </w14:solidFill>
          </w14:textFill>
        </w:rPr>
        <w:t>招标代理机构</w:t>
      </w:r>
      <w:r>
        <w:rPr>
          <w:rFonts w:hint="eastAsia" w:ascii="宋体" w:hAnsi="宋体" w:eastAsia="宋体" w:cs="宋体"/>
          <w:color w:val="000000" w:themeColor="text1"/>
          <w:kern w:val="0"/>
          <w:sz w:val="24"/>
          <w:highlight w:val="none"/>
          <w14:textFill>
            <w14:solidFill>
              <w14:schemeClr w14:val="tx1"/>
            </w14:solidFill>
          </w14:textFill>
        </w:rPr>
        <w:t>应当随中标、成交结果同时公告其《残疾人福利性单位声明函》，接受社会监督。</w:t>
      </w:r>
    </w:p>
    <w:p>
      <w:pPr>
        <w:shd w:val="clear" w:color="auto" w:fill="FFFFFF"/>
        <w:spacing w:line="480" w:lineRule="exact"/>
        <w:jc w:val="lef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eastAsia="宋体" w:cs="宋体"/>
          <w:color w:val="000000" w:themeColor="text1"/>
          <w:kern w:val="0"/>
          <w:sz w:val="24"/>
          <w:highlight w:val="none"/>
          <w14:textFill>
            <w14:solidFill>
              <w14:schemeClr w14:val="tx1"/>
            </w14:solidFill>
          </w14:textFill>
        </w:rPr>
        <w:t>提供的《残疾人福利性单位声明函》与事实不符的，依照《政府采购法》第七十七条第一款的规定追究法律责任。</w:t>
      </w:r>
    </w:p>
    <w:p>
      <w:pPr>
        <w:shd w:val="clear" w:color="auto" w:fill="FFFFFF"/>
        <w:spacing w:line="480" w:lineRule="exact"/>
        <w:jc w:val="lef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pPr>
        <w:shd w:val="clear" w:color="auto" w:fill="FFFFFF"/>
        <w:spacing w:line="480" w:lineRule="exact"/>
        <w:jc w:val="lef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四、</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eastAsia="宋体" w:cs="宋体"/>
          <w:color w:val="000000" w:themeColor="text1"/>
          <w:kern w:val="0"/>
          <w:sz w:val="24"/>
          <w:highlight w:val="none"/>
          <w14:textFill>
            <w14:solidFill>
              <w14:schemeClr w14:val="tx1"/>
            </w14:solidFill>
          </w14:textFill>
        </w:rPr>
        <w:t>采购公开招标数额标准以上的货物或者服务，因落实促进残疾人就业政策的需要，依法履行有关报批程序后，可采用公开招标以外的采购方式。</w:t>
      </w:r>
    </w:p>
    <w:p>
      <w:pPr>
        <w:shd w:val="clear" w:color="auto" w:fill="FFFFFF"/>
        <w:spacing w:line="480" w:lineRule="exact"/>
        <w:jc w:val="lef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五、对于满足要求的残疾人福利性单位产品，集中采购机构可直接纳入协议供货或者定点采购范围。各地区建设的政府采购电子卖场、电子商城、网上超市等应当设立残疾人福利性单位产品专栏。鼓励</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eastAsia="宋体" w:cs="宋体"/>
          <w:color w:val="000000" w:themeColor="text1"/>
          <w:kern w:val="0"/>
          <w:sz w:val="24"/>
          <w:highlight w:val="none"/>
          <w14:textFill>
            <w14:solidFill>
              <w14:schemeClr w14:val="tx1"/>
            </w14:solidFill>
          </w14:textFill>
        </w:rPr>
        <w:t>优先选择残疾人福利性单位的产品。</w:t>
      </w:r>
    </w:p>
    <w:p>
      <w:pPr>
        <w:shd w:val="clear" w:color="auto" w:fill="FFFFFF"/>
        <w:spacing w:line="480" w:lineRule="exact"/>
        <w:jc w:val="lef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六、省级财政部门可以结合本地区残疾人生产、经营的实际情况，细化政府采购支持措施。对符合国家有关部门规定条件的残疾人辅助性就业机构，可通过上述措施予以支持。各地制定的有关文件应当报财政部备案。</w:t>
      </w:r>
    </w:p>
    <w:p>
      <w:pPr>
        <w:shd w:val="clear" w:color="auto" w:fill="FFFFFF"/>
        <w:spacing w:line="480" w:lineRule="exact"/>
        <w:jc w:val="lef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七、本通知自2017年10月1日起执行。</w:t>
      </w:r>
    </w:p>
    <w:p>
      <w:pPr>
        <w:shd w:val="clear" w:color="auto" w:fill="FFFFFF"/>
        <w:spacing w:line="480" w:lineRule="exact"/>
        <w:ind w:firstLine="480" w:firstLineChars="200"/>
        <w:jc w:val="right"/>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财政部 民政部 中国残疾人联合会</w:t>
      </w:r>
    </w:p>
    <w:p>
      <w:pPr>
        <w:spacing w:line="460" w:lineRule="exact"/>
        <w:jc w:val="righ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2017年8月22日</w:t>
      </w:r>
    </w:p>
    <w:p>
      <w:pPr>
        <w:spacing w:line="600" w:lineRule="exact"/>
        <w:rPr>
          <w:rFonts w:hint="eastAsia" w:ascii="宋体" w:hAnsi="宋体" w:eastAsia="宋体" w:cs="宋体"/>
          <w:color w:val="000000" w:themeColor="text1"/>
          <w:highlight w:val="none"/>
          <w14:textFill>
            <w14:solidFill>
              <w14:schemeClr w14:val="tx1"/>
            </w14:solidFill>
          </w14:textFill>
        </w:rPr>
      </w:pPr>
    </w:p>
    <w:p>
      <w:pPr>
        <w:pStyle w:val="5"/>
        <w:outlineLvl w:val="9"/>
        <w:rPr>
          <w:rFonts w:hint="eastAsia" w:ascii="宋体" w:hAnsi="宋体" w:eastAsia="宋体" w:cs="宋体"/>
          <w:color w:val="000000" w:themeColor="text1"/>
          <w:highlight w:val="none"/>
          <w14:textFill>
            <w14:solidFill>
              <w14:schemeClr w14:val="tx1"/>
            </w14:solidFill>
          </w14:textFill>
        </w:rPr>
      </w:pPr>
    </w:p>
    <w:p>
      <w:pPr>
        <w:pStyle w:val="5"/>
        <w:outlineLvl w:val="9"/>
        <w:rPr>
          <w:rFonts w:hint="eastAsia" w:ascii="宋体" w:hAnsi="宋体" w:eastAsia="宋体" w:cs="宋体"/>
          <w:color w:val="000000" w:themeColor="text1"/>
          <w:highlight w:val="none"/>
          <w14:textFill>
            <w14:solidFill>
              <w14:schemeClr w14:val="tx1"/>
            </w14:solidFill>
          </w14:textFill>
        </w:rPr>
      </w:pPr>
    </w:p>
    <w:p>
      <w:pPr>
        <w:rPr>
          <w:rFonts w:hint="eastAsia" w:ascii="宋体" w:hAnsi="宋体" w:eastAsia="宋体" w:cs="宋体"/>
          <w:color w:val="000000" w:themeColor="text1"/>
          <w:highlight w:val="none"/>
          <w14:textFill>
            <w14:solidFill>
              <w14:schemeClr w14:val="tx1"/>
            </w14:solidFill>
          </w14:textFill>
        </w:rPr>
      </w:pPr>
    </w:p>
    <w:p>
      <w:pPr>
        <w:rPr>
          <w:rFonts w:hint="eastAsia" w:ascii="宋体" w:hAnsi="宋体" w:eastAsia="宋体" w:cs="宋体"/>
          <w:color w:val="000000" w:themeColor="text1"/>
          <w:highlight w:val="none"/>
          <w14:textFill>
            <w14:solidFill>
              <w14:schemeClr w14:val="tx1"/>
            </w14:solidFill>
          </w14:textFill>
        </w:rPr>
      </w:pPr>
    </w:p>
    <w:p>
      <w:pPr>
        <w:spacing w:line="480" w:lineRule="exact"/>
        <w:rPr>
          <w:rFonts w:hint="eastAsia" w:ascii="宋体" w:hAnsi="宋体" w:eastAsia="宋体" w:cs="宋体"/>
          <w:b/>
          <w:color w:val="000000" w:themeColor="text1"/>
          <w:sz w:val="24"/>
          <w:highlight w:val="none"/>
          <w14:textFill>
            <w14:solidFill>
              <w14:schemeClr w14:val="tx1"/>
            </w14:solidFill>
          </w14:textFill>
        </w:rPr>
      </w:pPr>
    </w:p>
    <w:p>
      <w:pPr>
        <w:pStyle w:val="5"/>
        <w:outlineLvl w:val="9"/>
        <w:rPr>
          <w:rFonts w:hint="eastAsia" w:ascii="宋体" w:hAnsi="宋体" w:eastAsia="宋体" w:cs="宋体"/>
          <w:b/>
          <w:color w:val="000000" w:themeColor="text1"/>
          <w:sz w:val="24"/>
          <w:highlight w:val="none"/>
          <w14:textFill>
            <w14:solidFill>
              <w14:schemeClr w14:val="tx1"/>
            </w14:solidFill>
          </w14:textFill>
        </w:rPr>
      </w:pPr>
    </w:p>
    <w:p>
      <w:pPr>
        <w:rPr>
          <w:rFonts w:hint="eastAsia" w:ascii="宋体" w:hAnsi="宋体" w:eastAsia="宋体" w:cs="宋体"/>
          <w:b/>
          <w:color w:val="000000" w:themeColor="text1"/>
          <w:sz w:val="24"/>
          <w:highlight w:val="none"/>
          <w14:textFill>
            <w14:solidFill>
              <w14:schemeClr w14:val="tx1"/>
            </w14:solidFill>
          </w14:textFill>
        </w:rPr>
      </w:pPr>
    </w:p>
    <w:p>
      <w:pPr>
        <w:spacing w:line="480" w:lineRule="exact"/>
        <w:rPr>
          <w:rFonts w:hint="eastAsia" w:ascii="宋体" w:hAnsi="宋体" w:eastAsia="宋体" w:cs="宋体"/>
          <w:b/>
          <w:color w:val="000000" w:themeColor="text1"/>
          <w:sz w:val="24"/>
          <w:highlight w:val="none"/>
          <w14:textFill>
            <w14:solidFill>
              <w14:schemeClr w14:val="tx1"/>
            </w14:solidFill>
          </w14:textFill>
        </w:rPr>
      </w:pPr>
    </w:p>
    <w:p>
      <w:pPr>
        <w:spacing w:line="480" w:lineRule="exact"/>
        <w:rPr>
          <w:rFonts w:hint="eastAsia" w:ascii="宋体" w:hAnsi="宋体" w:eastAsia="宋体" w:cs="宋体"/>
          <w:b/>
          <w:color w:val="000000" w:themeColor="text1"/>
          <w:sz w:val="24"/>
          <w:highlight w:val="none"/>
          <w14:textFill>
            <w14:solidFill>
              <w14:schemeClr w14:val="tx1"/>
            </w14:solidFill>
          </w14:textFill>
        </w:rPr>
      </w:pPr>
    </w:p>
    <w:p>
      <w:pPr>
        <w:spacing w:line="480" w:lineRule="exact"/>
        <w:rPr>
          <w:rFonts w:hint="eastAsia" w:ascii="宋体" w:hAnsi="宋体" w:eastAsia="宋体" w:cs="宋体"/>
          <w:b/>
          <w:color w:val="000000" w:themeColor="text1"/>
          <w:sz w:val="24"/>
          <w:highlight w:val="none"/>
          <w14:textFill>
            <w14:solidFill>
              <w14:schemeClr w14:val="tx1"/>
            </w14:solidFill>
          </w14:textFill>
        </w:rPr>
      </w:pPr>
    </w:p>
    <w:p>
      <w:pPr>
        <w:spacing w:line="48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附件：</w:t>
      </w:r>
    </w:p>
    <w:p>
      <w:pPr>
        <w:widowControl/>
        <w:spacing w:line="270" w:lineRule="atLeas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 xml:space="preserve"> </w:t>
      </w:r>
    </w:p>
    <w:p>
      <w:pPr>
        <w:spacing w:line="432" w:lineRule="auto"/>
        <w:jc w:val="cente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招标代理服务收费标准</w:t>
      </w:r>
    </w:p>
    <w:p>
      <w:pPr>
        <w:spacing w:line="432" w:lineRule="auto"/>
        <w:jc w:val="cente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发改价格【2011】534号</w:t>
      </w:r>
    </w:p>
    <w:p>
      <w:pPr>
        <w:widowControl/>
        <w:spacing w:line="270" w:lineRule="atLeast"/>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drawing>
          <wp:inline distT="0" distB="0" distL="114300" distR="114300">
            <wp:extent cx="5535295" cy="5002530"/>
            <wp:effectExtent l="0" t="0" r="8255" b="7620"/>
            <wp:docPr id="13" name="图片 11" descr="b621340895e37881cec3b990f5032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descr="b621340895e37881cec3b990f5032c8"/>
                    <pic:cNvPicPr>
                      <a:picLocks noChangeAspect="1"/>
                    </pic:cNvPicPr>
                  </pic:nvPicPr>
                  <pic:blipFill>
                    <a:blip r:embed="rId13"/>
                    <a:stretch>
                      <a:fillRect/>
                    </a:stretch>
                  </pic:blipFill>
                  <pic:spPr>
                    <a:xfrm>
                      <a:off x="0" y="0"/>
                      <a:ext cx="5535295" cy="5002530"/>
                    </a:xfrm>
                    <a:prstGeom prst="rect">
                      <a:avLst/>
                    </a:prstGeom>
                    <a:noFill/>
                    <a:ln>
                      <a:noFill/>
                    </a:ln>
                  </pic:spPr>
                </pic:pic>
              </a:graphicData>
            </a:graphic>
          </wp:inline>
        </w:drawing>
      </w:r>
    </w:p>
    <w:p>
      <w:pPr>
        <w:spacing w:line="440" w:lineRule="exact"/>
        <w:ind w:left="897" w:leftChars="427"/>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注：</w:t>
      </w:r>
    </w:p>
    <w:p>
      <w:pPr>
        <w:spacing w:line="440" w:lineRule="exact"/>
        <w:ind w:left="897" w:leftChars="427"/>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1、按本表费率计算的收费为招标代理服务全过程的收费基准价格。</w:t>
      </w:r>
    </w:p>
    <w:p>
      <w:pPr>
        <w:spacing w:line="440" w:lineRule="exact"/>
        <w:ind w:left="897" w:leftChars="427"/>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2、招标代理服务收费按差额定率累进法计算。</w:t>
      </w:r>
    </w:p>
    <w:p>
      <w:pPr>
        <w:spacing w:line="440" w:lineRule="exact"/>
        <w:ind w:left="897" w:leftChars="427"/>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例如：某设备招标代理业务</w:t>
      </w:r>
      <w:r>
        <w:rPr>
          <w:rFonts w:hint="eastAsia" w:ascii="宋体" w:hAnsi="宋体" w:eastAsia="宋体" w:cs="宋体"/>
          <w:b/>
          <w:color w:val="000000" w:themeColor="text1"/>
          <w:szCs w:val="21"/>
          <w:highlight w:val="none"/>
          <w:lang w:eastAsia="zh-CN"/>
          <w14:textFill>
            <w14:solidFill>
              <w14:schemeClr w14:val="tx1"/>
            </w14:solidFill>
          </w14:textFill>
        </w:rPr>
        <w:t>成交</w:t>
      </w:r>
      <w:r>
        <w:rPr>
          <w:rFonts w:hint="eastAsia" w:ascii="宋体" w:hAnsi="宋体" w:eastAsia="宋体" w:cs="宋体"/>
          <w:b/>
          <w:color w:val="000000" w:themeColor="text1"/>
          <w:szCs w:val="21"/>
          <w:highlight w:val="none"/>
          <w14:textFill>
            <w14:solidFill>
              <w14:schemeClr w14:val="tx1"/>
            </w14:solidFill>
          </w14:textFill>
        </w:rPr>
        <w:t>金额为300万元，计算招标代理服务收费额如下：</w:t>
      </w:r>
    </w:p>
    <w:p>
      <w:pPr>
        <w:spacing w:line="440" w:lineRule="exact"/>
        <w:ind w:left="897" w:leftChars="427"/>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100万元×1.5%=1.5万元         （300-100）万元×1.1%=2.2万元</w:t>
      </w:r>
    </w:p>
    <w:p>
      <w:pPr>
        <w:spacing w:line="440" w:lineRule="exact"/>
        <w:ind w:left="897" w:leftChars="427"/>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合计收费=1.5万元+2.2万元=3.7万元</w:t>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pPr>
        <w:pStyle w:val="31"/>
        <w:rPr>
          <w:rFonts w:hint="eastAsia"/>
          <w:highlight w:val="none"/>
        </w:rPr>
      </w:pPr>
    </w:p>
    <w:p>
      <w:pPr>
        <w:pStyle w:val="31"/>
        <w:rPr>
          <w:color w:val="000000" w:themeColor="text1"/>
          <w:highlight w:val="none"/>
          <w14:textFill>
            <w14:solidFill>
              <w14:schemeClr w14:val="tx1"/>
            </w14:solidFill>
          </w14:textFill>
        </w:rPr>
      </w:pPr>
      <w:r>
        <w:rPr>
          <w:highlight w:val="none"/>
        </w:rPr>
        <w:drawing>
          <wp:inline distT="0" distB="0" distL="114300" distR="114300">
            <wp:extent cx="5715000" cy="7610475"/>
            <wp:effectExtent l="0" t="0" r="0" b="9525"/>
            <wp:docPr id="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
                    <pic:cNvPicPr>
                      <a:picLocks noChangeAspect="1"/>
                    </pic:cNvPicPr>
                  </pic:nvPicPr>
                  <pic:blipFill>
                    <a:blip r:embed="rId14"/>
                    <a:stretch>
                      <a:fillRect/>
                    </a:stretch>
                  </pic:blipFill>
                  <pic:spPr>
                    <a:xfrm>
                      <a:off x="0" y="0"/>
                      <a:ext cx="5715000" cy="7610475"/>
                    </a:xfrm>
                    <a:prstGeom prst="rect">
                      <a:avLst/>
                    </a:prstGeom>
                    <a:noFill/>
                    <a:ln>
                      <a:noFill/>
                    </a:ln>
                  </pic:spPr>
                </pic:pic>
              </a:graphicData>
            </a:graphic>
          </wp:inline>
        </w:drawing>
      </w:r>
      <w:r>
        <w:rPr>
          <w:highlight w:val="none"/>
        </w:rPr>
        <w:drawing>
          <wp:inline distT="0" distB="0" distL="114300" distR="114300">
            <wp:extent cx="5781675" cy="7620000"/>
            <wp:effectExtent l="0" t="0" r="9525" b="0"/>
            <wp:docPr id="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
                    <pic:cNvPicPr>
                      <a:picLocks noChangeAspect="1"/>
                    </pic:cNvPicPr>
                  </pic:nvPicPr>
                  <pic:blipFill>
                    <a:blip r:embed="rId15"/>
                    <a:stretch>
                      <a:fillRect/>
                    </a:stretch>
                  </pic:blipFill>
                  <pic:spPr>
                    <a:xfrm>
                      <a:off x="0" y="0"/>
                      <a:ext cx="5781675" cy="7620000"/>
                    </a:xfrm>
                    <a:prstGeom prst="rect">
                      <a:avLst/>
                    </a:prstGeom>
                    <a:noFill/>
                    <a:ln>
                      <a:noFill/>
                    </a:ln>
                  </pic:spPr>
                </pic:pic>
              </a:graphicData>
            </a:graphic>
          </wp:inline>
        </w:drawing>
      </w:r>
      <w:r>
        <w:rPr>
          <w:highlight w:val="none"/>
        </w:rPr>
        <w:drawing>
          <wp:inline distT="0" distB="0" distL="114300" distR="114300">
            <wp:extent cx="5010150" cy="7134225"/>
            <wp:effectExtent l="0" t="0" r="0" b="9525"/>
            <wp:docPr id="4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
                    <pic:cNvPicPr>
                      <a:picLocks noChangeAspect="1"/>
                    </pic:cNvPicPr>
                  </pic:nvPicPr>
                  <pic:blipFill>
                    <a:blip r:embed="rId16"/>
                    <a:stretch>
                      <a:fillRect/>
                    </a:stretch>
                  </pic:blipFill>
                  <pic:spPr>
                    <a:xfrm>
                      <a:off x="0" y="0"/>
                      <a:ext cx="5010150" cy="7134225"/>
                    </a:xfrm>
                    <a:prstGeom prst="rect">
                      <a:avLst/>
                    </a:prstGeom>
                    <a:noFill/>
                    <a:ln>
                      <a:noFill/>
                    </a:ln>
                  </pic:spPr>
                </pic:pic>
              </a:graphicData>
            </a:graphic>
          </wp:inline>
        </w:drawing>
      </w:r>
      <w:r>
        <w:rPr>
          <w:highlight w:val="none"/>
        </w:rPr>
        <w:drawing>
          <wp:inline distT="0" distB="0" distL="114300" distR="114300">
            <wp:extent cx="5172075" cy="6381750"/>
            <wp:effectExtent l="0" t="0" r="9525" b="0"/>
            <wp:docPr id="4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
                    <pic:cNvPicPr>
                      <a:picLocks noChangeAspect="1"/>
                    </pic:cNvPicPr>
                  </pic:nvPicPr>
                  <pic:blipFill>
                    <a:blip r:embed="rId17"/>
                    <a:stretch>
                      <a:fillRect/>
                    </a:stretch>
                  </pic:blipFill>
                  <pic:spPr>
                    <a:xfrm>
                      <a:off x="0" y="0"/>
                      <a:ext cx="5172075" cy="6381750"/>
                    </a:xfrm>
                    <a:prstGeom prst="rect">
                      <a:avLst/>
                    </a:prstGeom>
                    <a:noFill/>
                    <a:ln>
                      <a:noFill/>
                    </a:ln>
                  </pic:spPr>
                </pic:pic>
              </a:graphicData>
            </a:graphic>
          </wp:inline>
        </w:drawing>
      </w:r>
      <w:r>
        <w:rPr>
          <w:highlight w:val="none"/>
        </w:rPr>
        <w:drawing>
          <wp:inline distT="0" distB="0" distL="114300" distR="114300">
            <wp:extent cx="5705475" cy="7953375"/>
            <wp:effectExtent l="0" t="0" r="9525" b="9525"/>
            <wp:docPr id="4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5"/>
                    <pic:cNvPicPr>
                      <a:picLocks noChangeAspect="1"/>
                    </pic:cNvPicPr>
                  </pic:nvPicPr>
                  <pic:blipFill>
                    <a:blip r:embed="rId18"/>
                    <a:stretch>
                      <a:fillRect/>
                    </a:stretch>
                  </pic:blipFill>
                  <pic:spPr>
                    <a:xfrm>
                      <a:off x="0" y="0"/>
                      <a:ext cx="5705475" cy="7953375"/>
                    </a:xfrm>
                    <a:prstGeom prst="rect">
                      <a:avLst/>
                    </a:prstGeom>
                    <a:noFill/>
                    <a:ln>
                      <a:noFill/>
                    </a:ln>
                  </pic:spPr>
                </pic:pic>
              </a:graphicData>
            </a:graphic>
          </wp:inline>
        </w:drawing>
      </w:r>
      <w:r>
        <w:rPr>
          <w:highlight w:val="none"/>
        </w:rPr>
        <w:drawing>
          <wp:inline distT="0" distB="0" distL="114300" distR="114300">
            <wp:extent cx="5581650" cy="7458075"/>
            <wp:effectExtent l="0" t="0" r="0" b="9525"/>
            <wp:docPr id="4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6"/>
                    <pic:cNvPicPr>
                      <a:picLocks noChangeAspect="1"/>
                    </pic:cNvPicPr>
                  </pic:nvPicPr>
                  <pic:blipFill>
                    <a:blip r:embed="rId19"/>
                    <a:stretch>
                      <a:fillRect/>
                    </a:stretch>
                  </pic:blipFill>
                  <pic:spPr>
                    <a:xfrm>
                      <a:off x="0" y="0"/>
                      <a:ext cx="5581650" cy="7458075"/>
                    </a:xfrm>
                    <a:prstGeom prst="rect">
                      <a:avLst/>
                    </a:prstGeom>
                    <a:noFill/>
                    <a:ln>
                      <a:noFill/>
                    </a:ln>
                  </pic:spPr>
                </pic:pic>
              </a:graphicData>
            </a:graphic>
          </wp:inline>
        </w:drawing>
      </w:r>
      <w:r>
        <w:rPr>
          <w:highlight w:val="none"/>
        </w:rPr>
        <w:drawing>
          <wp:inline distT="0" distB="0" distL="114300" distR="114300">
            <wp:extent cx="5581650" cy="7839075"/>
            <wp:effectExtent l="0" t="0" r="0" b="9525"/>
            <wp:docPr id="4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7"/>
                    <pic:cNvPicPr>
                      <a:picLocks noChangeAspect="1"/>
                    </pic:cNvPicPr>
                  </pic:nvPicPr>
                  <pic:blipFill>
                    <a:blip r:embed="rId20"/>
                    <a:stretch>
                      <a:fillRect/>
                    </a:stretch>
                  </pic:blipFill>
                  <pic:spPr>
                    <a:xfrm>
                      <a:off x="0" y="0"/>
                      <a:ext cx="5581650" cy="7839075"/>
                    </a:xfrm>
                    <a:prstGeom prst="rect">
                      <a:avLst/>
                    </a:prstGeom>
                    <a:noFill/>
                    <a:ln>
                      <a:noFill/>
                    </a:ln>
                  </pic:spPr>
                </pic:pic>
              </a:graphicData>
            </a:graphic>
          </wp:inline>
        </w:drawing>
      </w:r>
      <w:r>
        <w:rPr>
          <w:highlight w:val="none"/>
        </w:rPr>
        <w:drawing>
          <wp:inline distT="0" distB="0" distL="114300" distR="114300">
            <wp:extent cx="5629275" cy="7543800"/>
            <wp:effectExtent l="0" t="0" r="9525" b="0"/>
            <wp:docPr id="4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8"/>
                    <pic:cNvPicPr>
                      <a:picLocks noChangeAspect="1"/>
                    </pic:cNvPicPr>
                  </pic:nvPicPr>
                  <pic:blipFill>
                    <a:blip r:embed="rId21"/>
                    <a:stretch>
                      <a:fillRect/>
                    </a:stretch>
                  </pic:blipFill>
                  <pic:spPr>
                    <a:xfrm>
                      <a:off x="0" y="0"/>
                      <a:ext cx="5629275" cy="7543800"/>
                    </a:xfrm>
                    <a:prstGeom prst="rect">
                      <a:avLst/>
                    </a:prstGeom>
                    <a:noFill/>
                    <a:ln>
                      <a:noFill/>
                    </a:ln>
                  </pic:spPr>
                </pic:pic>
              </a:graphicData>
            </a:graphic>
          </wp:inline>
        </w:drawing>
      </w:r>
    </w:p>
    <w:p>
      <w:pPr>
        <w:pStyle w:val="31"/>
        <w:rPr>
          <w:color w:val="000000" w:themeColor="text1"/>
          <w:highlight w:val="none"/>
          <w14:textFill>
            <w14:solidFill>
              <w14:schemeClr w14:val="tx1"/>
            </w14:solidFill>
          </w14:textFill>
        </w:rPr>
      </w:pPr>
    </w:p>
    <w:p>
      <w:pPr>
        <w:pStyle w:val="31"/>
        <w:rPr>
          <w:color w:val="000000" w:themeColor="text1"/>
          <w:highlight w:val="none"/>
          <w14:textFill>
            <w14:solidFill>
              <w14:schemeClr w14:val="tx1"/>
            </w14:solidFill>
          </w14:textFill>
        </w:rPr>
      </w:pPr>
    </w:p>
    <w:p>
      <w:pPr>
        <w:pStyle w:val="31"/>
        <w:rPr>
          <w:color w:val="000000" w:themeColor="text1"/>
          <w:highlight w:val="none"/>
          <w14:textFill>
            <w14:solidFill>
              <w14:schemeClr w14:val="tx1"/>
            </w14:solidFill>
          </w14:textFill>
        </w:rPr>
      </w:pPr>
    </w:p>
    <w:p>
      <w:pPr>
        <w:snapToGrid w:val="0"/>
        <w:rPr>
          <w:b/>
          <w:bCs/>
          <w:color w:val="000000" w:themeColor="text1"/>
          <w:sz w:val="32"/>
          <w:szCs w:val="32"/>
          <w:highlight w:val="none"/>
          <w14:textFill>
            <w14:solidFill>
              <w14:schemeClr w14:val="tx1"/>
            </w14:solidFill>
          </w14:textFill>
        </w:rPr>
      </w:pPr>
    </w:p>
    <w:p>
      <w:pPr>
        <w:keepNext w:val="0"/>
        <w:keepLines w:val="0"/>
        <w:widowControl/>
        <w:suppressLineNumbers w:val="0"/>
        <w:spacing w:line="360" w:lineRule="auto"/>
        <w:jc w:val="center"/>
        <w:rPr>
          <w:rFonts w:hint="eastAsia" w:ascii="宋体" w:hAnsi="宋体" w:eastAsia="宋体" w:cs="宋体"/>
          <w:b/>
          <w:bCs/>
          <w:color w:val="000000"/>
          <w:kern w:val="0"/>
          <w:sz w:val="28"/>
          <w:szCs w:val="28"/>
          <w:highlight w:val="none"/>
          <w:lang w:val="en-US" w:eastAsia="zh-CN" w:bidi="ar"/>
        </w:rPr>
      </w:pPr>
    </w:p>
    <w:p>
      <w:pPr>
        <w:keepNext w:val="0"/>
        <w:keepLines w:val="0"/>
        <w:widowControl/>
        <w:suppressLineNumbers w:val="0"/>
        <w:spacing w:line="360" w:lineRule="auto"/>
        <w:jc w:val="center"/>
        <w:rPr>
          <w:rFonts w:hint="eastAsia" w:ascii="宋体" w:hAnsi="宋体" w:eastAsia="宋体" w:cs="宋体"/>
          <w:b/>
          <w:bCs/>
          <w:color w:val="000000"/>
          <w:kern w:val="0"/>
          <w:sz w:val="28"/>
          <w:szCs w:val="28"/>
          <w:highlight w:val="none"/>
          <w:lang w:val="en-US" w:eastAsia="zh-CN" w:bidi="ar"/>
        </w:rPr>
      </w:pPr>
    </w:p>
    <w:p>
      <w:pPr>
        <w:jc w:val="center"/>
        <w:rPr>
          <w:highlight w:val="none"/>
        </w:rPr>
      </w:pPr>
      <w:r>
        <w:rPr>
          <w:rFonts w:hint="eastAsia" w:ascii="宋体" w:hAnsi="宋体" w:eastAsia="宋体" w:cs="宋体"/>
          <w:b/>
          <w:bCs/>
          <w:color w:val="000000"/>
          <w:kern w:val="0"/>
          <w:sz w:val="28"/>
          <w:szCs w:val="28"/>
          <w:highlight w:val="none"/>
          <w:lang w:val="en-US" w:eastAsia="zh-CN" w:bidi="ar"/>
        </w:rPr>
        <w:t>《聊城市公共资源交易中心虚拟开标大厅</w:t>
      </w:r>
      <w:r>
        <w:rPr>
          <w:rFonts w:hint="default" w:ascii="Times New Roman" w:hAnsi="Times New Roman" w:eastAsia="宋体" w:cs="Times New Roman"/>
          <w:b/>
          <w:bCs/>
          <w:color w:val="000000"/>
          <w:kern w:val="0"/>
          <w:sz w:val="28"/>
          <w:szCs w:val="28"/>
          <w:highlight w:val="none"/>
          <w:lang w:val="en-US" w:eastAsia="zh-CN" w:bidi="ar"/>
        </w:rPr>
        <w:t>-</w:t>
      </w:r>
      <w:r>
        <w:rPr>
          <w:rFonts w:hint="eastAsia" w:ascii="宋体" w:hAnsi="宋体" w:eastAsia="宋体" w:cs="宋体"/>
          <w:b/>
          <w:bCs/>
          <w:color w:val="000000"/>
          <w:kern w:val="0"/>
          <w:sz w:val="28"/>
          <w:szCs w:val="28"/>
          <w:highlight w:val="none"/>
          <w:lang w:val="en-US" w:eastAsia="zh-CN" w:bidi="ar"/>
        </w:rPr>
        <w:t>投标人操作手册》见聊城市公共资</w:t>
      </w:r>
    </w:p>
    <w:p>
      <w:pPr>
        <w:keepNext w:val="0"/>
        <w:keepLines w:val="0"/>
        <w:widowControl/>
        <w:suppressLineNumbers w:val="0"/>
        <w:spacing w:line="360" w:lineRule="auto"/>
        <w:jc w:val="center"/>
        <w:rPr>
          <w:highlight w:val="none"/>
        </w:rPr>
      </w:pPr>
      <w:r>
        <w:rPr>
          <w:rFonts w:hint="eastAsia" w:ascii="宋体" w:hAnsi="宋体" w:eastAsia="宋体" w:cs="宋体"/>
          <w:b/>
          <w:bCs/>
          <w:color w:val="000000"/>
          <w:kern w:val="0"/>
          <w:sz w:val="28"/>
          <w:szCs w:val="28"/>
          <w:highlight w:val="none"/>
          <w:lang w:val="en-US" w:eastAsia="zh-CN" w:bidi="ar"/>
        </w:rPr>
        <w:t>源交易中心首页</w:t>
      </w:r>
      <w:r>
        <w:rPr>
          <w:rFonts w:hint="default" w:ascii="Times New Roman" w:hAnsi="Times New Roman" w:eastAsia="宋体" w:cs="Times New Roman"/>
          <w:b/>
          <w:bCs/>
          <w:color w:val="000000"/>
          <w:kern w:val="0"/>
          <w:sz w:val="28"/>
          <w:szCs w:val="28"/>
          <w:highlight w:val="none"/>
          <w:lang w:val="en-US" w:eastAsia="zh-CN" w:bidi="ar"/>
        </w:rPr>
        <w:t>---</w:t>
      </w:r>
      <w:r>
        <w:rPr>
          <w:rFonts w:hint="eastAsia" w:ascii="宋体" w:hAnsi="宋体" w:eastAsia="宋体" w:cs="宋体"/>
          <w:b/>
          <w:bCs/>
          <w:color w:val="000000"/>
          <w:kern w:val="0"/>
          <w:sz w:val="28"/>
          <w:szCs w:val="28"/>
          <w:highlight w:val="none"/>
          <w:lang w:val="en-US" w:eastAsia="zh-CN" w:bidi="ar"/>
        </w:rPr>
        <w:t>不见面开标大厅入口</w:t>
      </w:r>
      <w:r>
        <w:rPr>
          <w:rFonts w:hint="default" w:ascii="Times New Roman" w:hAnsi="Times New Roman" w:eastAsia="宋体" w:cs="Times New Roman"/>
          <w:b/>
          <w:bCs/>
          <w:color w:val="000000"/>
          <w:kern w:val="0"/>
          <w:sz w:val="28"/>
          <w:szCs w:val="28"/>
          <w:highlight w:val="none"/>
          <w:lang w:val="en-US" w:eastAsia="zh-CN" w:bidi="ar"/>
        </w:rPr>
        <w:t>-</w:t>
      </w:r>
      <w:r>
        <w:rPr>
          <w:rFonts w:hint="eastAsia" w:ascii="宋体" w:hAnsi="宋体" w:eastAsia="宋体" w:cs="宋体"/>
          <w:b/>
          <w:bCs/>
          <w:color w:val="000000"/>
          <w:kern w:val="0"/>
          <w:sz w:val="28"/>
          <w:szCs w:val="28"/>
          <w:highlight w:val="none"/>
          <w:lang w:val="en-US" w:eastAsia="zh-CN" w:bidi="ar"/>
        </w:rPr>
        <w:t>下载操作手册</w:t>
      </w:r>
    </w:p>
    <w:p>
      <w:pPr>
        <w:pStyle w:val="31"/>
        <w:spacing w:line="360" w:lineRule="auto"/>
        <w:jc w:val="center"/>
        <w:rPr>
          <w:color w:val="000000" w:themeColor="text1"/>
          <w:highlight w:val="none"/>
          <w14:textFill>
            <w14:solidFill>
              <w14:schemeClr w14:val="tx1"/>
            </w14:solidFill>
          </w14:textFill>
        </w:rPr>
      </w:pPr>
    </w:p>
    <w:sectPr>
      <w:pgSz w:w="11905" w:h="16838"/>
      <w:pgMar w:top="1440" w:right="1083" w:bottom="1440" w:left="1083" w:header="1191" w:footer="1077" w:gutter="0"/>
      <w:pgNumType w:fmt="decimal"/>
      <w:cols w:space="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Plotter">
    <w:altName w:val="Times New Roman"/>
    <w:panose1 w:val="00000000000000000000"/>
    <w:charset w:val="00"/>
    <w:family w:val="roman"/>
    <w:pitch w:val="default"/>
    <w:sig w:usb0="00000000" w:usb1="00000000" w:usb2="00000000" w:usb3="00000000" w:csb0="00040001" w:csb1="00000000"/>
  </w:font>
  <w:font w:name="Arial Black">
    <w:panose1 w:val="020B0A04020102020204"/>
    <w:charset w:val="00"/>
    <w:family w:val="swiss"/>
    <w:pitch w:val="default"/>
    <w:sig w:usb0="A00002AF" w:usb1="400078FB" w:usb2="00000000" w:usb3="00000000" w:csb0="6000009F" w:csb1="DFD70000"/>
  </w:font>
  <w:font w:name="仿宋体">
    <w:altName w:val="宋体"/>
    <w:panose1 w:val="00000000000000000000"/>
    <w:charset w:val="86"/>
    <w:family w:val="roma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Courier New"/>
    <w:panose1 w:val="00000000000000000000"/>
    <w:charset w:val="00"/>
    <w:family w:val="auto"/>
    <w:pitch w:val="default"/>
    <w:sig w:usb0="00000000" w:usb1="00000000" w:usb2="00000000" w:usb3="00000000" w:csb0="00000000" w:csb1="00000000"/>
  </w:font>
  <w:font w:name="长城仿宋">
    <w:altName w:val="黑体"/>
    <w:panose1 w:val="00000000000000000000"/>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HYDaHeiJ">
    <w:altName w:val="黑体"/>
    <w:panose1 w:val="00000000000000000000"/>
    <w:charset w:val="86"/>
    <w:family w:val="auto"/>
    <w:pitch w:val="default"/>
    <w:sig w:usb0="00000000" w:usb1="00000000" w:usb2="0000001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汉仪细等线简">
    <w:altName w:val="宋体"/>
    <w:panose1 w:val="00000000000000000000"/>
    <w:charset w:val="86"/>
    <w:family w:val="auto"/>
    <w:pitch w:val="default"/>
    <w:sig w:usb0="00000000" w:usb1="00000000" w:usb2="00000012" w:usb3="00000000" w:csb0="00040000" w:csb1="00000000"/>
  </w:font>
  <w:font w:name="EPKJJF+DFPHeiW5">
    <w:altName w:val="宋体"/>
    <w:panose1 w:val="00000000000000000000"/>
    <w:charset w:val="86"/>
    <w:family w:val="swiss"/>
    <w:pitch w:val="default"/>
    <w:sig w:usb0="00000000" w:usb1="00000000" w:usb2="00000010" w:usb3="00000000" w:csb0="00040000" w:csb1="00000000"/>
  </w:font>
  <w:font w:name="隶书">
    <w:altName w:val="微软雅黑"/>
    <w:panose1 w:val="02010509060101010101"/>
    <w:charset w:val="86"/>
    <w:family w:val="modern"/>
    <w:pitch w:val="default"/>
    <w:sig w:usb0="00000000" w:usb1="00000000" w:usb2="0000000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Tms Rmn">
    <w:altName w:val="Times New Roman"/>
    <w:panose1 w:val="02020603040505020304"/>
    <w:charset w:val="00"/>
    <w:family w:val="roman"/>
    <w:pitch w:val="default"/>
    <w:sig w:usb0="00000000" w:usb1="00000000" w:usb2="00000000" w:usb3="00000000" w:csb0="00000001" w:csb1="00000000"/>
  </w:font>
  <w:font w:name="新宋体">
    <w:panose1 w:val="02010609030101010101"/>
    <w:charset w:val="86"/>
    <w:family w:val="modern"/>
    <w:pitch w:val="default"/>
    <w:sig w:usb0="00000283" w:usb1="288F0000" w:usb2="00000006" w:usb3="00000000" w:csb0="00040001" w:csb1="00000000"/>
  </w:font>
  <w:font w:name="昆仑仿宋">
    <w:altName w:val="黑体"/>
    <w:panose1 w:val="00000000000000000000"/>
    <w:charset w:val="86"/>
    <w:family w:val="modern"/>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汉鼎简大黑Arial Black">
    <w:altName w:val="宋体"/>
    <w:panose1 w:val="00000000000000000000"/>
    <w:charset w:val="86"/>
    <w:family w:val="auto"/>
    <w:pitch w:val="default"/>
    <w:sig w:usb0="00000000" w:usb1="00000000" w:usb2="00000010" w:usb3="00000000" w:csb0="00040000" w:csb1="00000000"/>
  </w:font>
  <w:font w:name="全真中明體">
    <w:altName w:val="MingLiU-ExtB"/>
    <w:panose1 w:val="00000000000000000000"/>
    <w:charset w:val="88"/>
    <w:family w:val="modern"/>
    <w:pitch w:val="default"/>
    <w:sig w:usb0="00000000" w:usb1="00000000" w:usb2="00000010" w:usb3="00000000" w:csb0="00100000" w:csb1="00000000"/>
  </w:font>
  <w:font w:name="Times">
    <w:altName w:val="Times New Roman"/>
    <w:panose1 w:val="02020603050405020304"/>
    <w:charset w:val="00"/>
    <w:family w:val="roman"/>
    <w:pitch w:val="default"/>
    <w:sig w:usb0="00000000" w:usb1="00000000" w:usb2="00000009" w:usb3="00000000" w:csb0="000001FF" w:csb1="00000000"/>
  </w:font>
  <w:font w:name="汉鼎简中等线Arial">
    <w:altName w:val="宋体"/>
    <w:panose1 w:val="00000000000000000000"/>
    <w:charset w:val="86"/>
    <w:family w:val="auto"/>
    <w:pitch w:val="default"/>
    <w:sig w:usb0="00000000" w:usb1="00000000" w:usb2="00000010" w:usb3="00000000" w:csb0="00040000" w:csb1="00000000"/>
  </w:font>
  <w:font w:name="2OcuAe">
    <w:altName w:val="MingLiU-ExtB"/>
    <w:panose1 w:val="00000000000000000000"/>
    <w:charset w:val="88"/>
    <w:family w:val="modern"/>
    <w:pitch w:val="default"/>
    <w:sig w:usb0="00000000" w:usb1="00000000" w:usb2="00000010" w:usb3="00000000" w:csb0="001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 w:name="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pBdr>
        <w:top w:val="single" w:color="auto" w:sz="4" w:space="0"/>
      </w:pBdr>
      <w:spacing w:line="360" w:lineRule="auto"/>
      <w:ind w:left="1" w:hanging="1"/>
      <w:rPr>
        <w:szCs w:val="24"/>
      </w:rPr>
    </w:pPr>
    <w:r>
      <w:rPr>
        <w:rFonts w:ascii="楷体_GB2312" w:hAnsi="楷体_GB2312" w:eastAsia="楷体_GB2312" w:cs="楷体_GB2312"/>
        <w:b/>
        <w:kern w:val="0"/>
        <w:u w:val="single"/>
      </w:rPr>
      <mc:AlternateContent>
        <mc:Choice Requires="wps">
          <w:drawing>
            <wp:anchor distT="0" distB="0" distL="114300" distR="114300" simplePos="0" relativeHeight="251660288" behindDoc="0" locked="0" layoutInCell="1" allowOverlap="1">
              <wp:simplePos x="0" y="0"/>
              <wp:positionH relativeFrom="column">
                <wp:posOffset>6756400</wp:posOffset>
              </wp:positionH>
              <wp:positionV relativeFrom="paragraph">
                <wp:posOffset>13335</wp:posOffset>
              </wp:positionV>
              <wp:extent cx="6413500" cy="33020"/>
              <wp:effectExtent l="0" t="4445" r="6350" b="19685"/>
              <wp:wrapNone/>
              <wp:docPr id="10" name="直线 4"/>
              <wp:cNvGraphicFramePr/>
              <a:graphic xmlns:a="http://schemas.openxmlformats.org/drawingml/2006/main">
                <a:graphicData uri="http://schemas.microsoft.com/office/word/2010/wordprocessingShape">
                  <wps:wsp>
                    <wps:cNvCnPr/>
                    <wps:spPr>
                      <a:xfrm>
                        <a:off x="0" y="0"/>
                        <a:ext cx="6413500" cy="3302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线 4" o:spid="_x0000_s1026" o:spt="20" style="position:absolute;left:0pt;margin-left:532pt;margin-top:1.05pt;height:2.6pt;width:505pt;z-index:251660288;mso-width-relative:page;mso-height-relative:page;" filled="f" stroked="t" coordsize="21600,21600" o:gfxdata="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D3cigDWAAAACQEAAA8AAAAAAAAAAQAgAAAAIgAAAGRycy9kb3ducmV2LnhtbFBLAQIUABQA&#10;AAAIAIdO4kB4r0dJ8gEAAO4DAAAOAAAAAAAAAAEAIAAAACUBAABkcnMvZTJvRG9jLnhtbFBLBQYA&#10;AAAABgAGAFkBAACJBQAAAAA=&#10;">
              <v:fill on="f" focussize="0,0"/>
              <v:stroke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pBdr>
        <w:top w:val="single" w:color="auto" w:sz="4" w:space="0"/>
      </w:pBdr>
      <w:spacing w:line="360" w:lineRule="auto"/>
      <w:ind w:left="1" w:hanging="1"/>
      <w:rPr>
        <w:rFonts w:ascii="楷体_GB2312" w:hAnsi="楷体_GB2312" w:eastAsia="楷体_GB2312" w:cs="楷体_GB2312"/>
        <w:b/>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pPr>
                      <w:pStyle w:val="4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r>
      <w:rPr>
        <w:rFonts w:ascii="楷体_GB2312" w:hAnsi="楷体_GB2312" w:eastAsia="楷体_GB2312" w:cs="楷体_GB2312"/>
        <w:b/>
        <w:kern w:val="0"/>
        <w:u w:val="single"/>
      </w:rPr>
      <mc:AlternateContent>
        <mc:Choice Requires="wps">
          <w:drawing>
            <wp:anchor distT="0" distB="0" distL="114300" distR="114300" simplePos="0" relativeHeight="251661312" behindDoc="0" locked="0" layoutInCell="1" allowOverlap="1">
              <wp:simplePos x="0" y="0"/>
              <wp:positionH relativeFrom="column">
                <wp:posOffset>6756400</wp:posOffset>
              </wp:positionH>
              <wp:positionV relativeFrom="paragraph">
                <wp:posOffset>13335</wp:posOffset>
              </wp:positionV>
              <wp:extent cx="6413500" cy="33020"/>
              <wp:effectExtent l="0" t="4445" r="6350" b="19685"/>
              <wp:wrapNone/>
              <wp:docPr id="3" name="直线 4"/>
              <wp:cNvGraphicFramePr/>
              <a:graphic xmlns:a="http://schemas.openxmlformats.org/drawingml/2006/main">
                <a:graphicData uri="http://schemas.microsoft.com/office/word/2010/wordprocessingShape">
                  <wps:wsp>
                    <wps:cNvCnPr/>
                    <wps:spPr>
                      <a:xfrm>
                        <a:off x="0" y="0"/>
                        <a:ext cx="6413500" cy="3302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线 4" o:spid="_x0000_s1026" o:spt="20" style="position:absolute;left:0pt;margin-left:532pt;margin-top:1.05pt;height:2.6pt;width:505pt;z-index:251661312;mso-width-relative:page;mso-height-relative:page;" filled="f" stroked="t" coordsize="21600,21600" o:gfxdata="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D3cigDWAAAACQEAAA8AAAAAAAAAAQAgAAAAIgAAAGRycy9kb3ducmV2LnhtbFBLAQIUABQA&#10;AAAIAIdO4kAt7dAN8gEAAO0DAAAOAAAAAAAAAAEAIAAAACUBAABkcnMvZTJvRG9jLnhtbFBLBQYA&#10;AAAABgAGAFkBAACJBQAAAAA=&#10;">
              <v:fill on="f" focussize="0,0"/>
              <v:stroke color="#000000" joinstyle="round"/>
              <v:imagedata o:title=""/>
              <o:lock v:ext="edit" aspectratio="f"/>
            </v:line>
          </w:pict>
        </mc:Fallback>
      </mc:AlternateContent>
    </w:r>
  </w:p>
  <w:p>
    <w:pPr>
      <w:pStyle w:val="48"/>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pPr>
                      <w:pStyle w:val="4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pPr>
                      <w:pStyle w:val="4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rPr>
        <w:rFonts w:eastAsia="楷体_GB2312"/>
        <w:b/>
      </w:rPr>
    </w:pPr>
    <w:r>
      <w:rPr>
        <w:rFonts w:hint="eastAsia" w:ascii="宋体" w:hAnsi="宋体" w:eastAsia="宋体" w:cs="宋体"/>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8"/>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48"/>
                    </w:pPr>
                    <w:r>
                      <w:fldChar w:fldCharType="begin"/>
                    </w:r>
                    <w:r>
                      <w:instrText xml:space="preserve"> PAGE  \* MERGEFORMAT </w:instrText>
                    </w:r>
                    <w:r>
                      <w:fldChar w:fldCharType="separate"/>
                    </w:r>
                    <w:r>
                      <w:t>65</w:t>
                    </w:r>
                    <w:r>
                      <w:fldChar w:fldCharType="end"/>
                    </w:r>
                  </w:p>
                </w:txbxContent>
              </v:textbox>
            </v:shape>
          </w:pict>
        </mc:Fallback>
      </mc:AlternateContent>
    </w:r>
    <w:r>
      <w:rPr>
        <w:rFonts w:hint="eastAsia" w:ascii="宋体" w:hAnsi="宋体" w:eastAsia="宋体" w:cs="宋体"/>
        <w:b/>
        <w:szCs w:val="21"/>
      </w:rPr>
      <w:t xml:space="preserve"> </w:t>
    </w:r>
    <w:r>
      <w:rPr>
        <w:rFonts w:eastAsia="楷体_GB2312"/>
        <w:b/>
        <w:szCs w:val="21"/>
      </w:rPr>
      <w:t xml:space="preserve">        </w:t>
    </w:r>
  </w:p>
  <w:p>
    <w:pPr>
      <w:pStyle w:val="4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pBdr>
        <w:bottom w:val="none" w:color="auto" w:sz="0" w:space="1"/>
      </w:pBdr>
      <w:rPr>
        <w:rFonts w:hint="default" w:ascii="楷体_GB2312" w:hAnsi="宋体" w:eastAsia="楷体_GB2312"/>
        <w:b/>
        <w:lang w:val="en-US" w:eastAsia="zh-CN"/>
      </w:rPr>
    </w:pPr>
    <w:r>
      <w:rPr>
        <w:rFonts w:hint="eastAsia"/>
        <w:u w:val="single"/>
        <w:lang w:eastAsia="zh-CN"/>
      </w:rPr>
      <w:t>山东昌润项目管理有限公司</w:t>
    </w:r>
    <w:r>
      <w:rPr>
        <w:rFonts w:hint="eastAsia"/>
        <w:u w:val="single"/>
        <w:lang w:val="en-US" w:eastAsia="zh-CN"/>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pBdr>
        <w:bottom w:val="none" w:color="auto" w:sz="0" w:space="1"/>
      </w:pBdr>
      <w:rPr>
        <w:rFonts w:hint="default" w:eastAsia="宋体"/>
        <w:u w:val="single"/>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pBdr>
        <w:bottom w:val="none" w:color="auto" w:sz="0" w:space="1"/>
      </w:pBdr>
      <w:rPr>
        <w:rFonts w:hint="default" w:eastAsia="宋体"/>
        <w:u w:val="single"/>
        <w:lang w:val="en-US" w:eastAsia="zh-CN"/>
      </w:rPr>
    </w:pPr>
    <w:r>
      <w:rPr>
        <w:rFonts w:hint="eastAsia"/>
        <w:u w:val="single"/>
        <w:lang w:eastAsia="zh-CN"/>
      </w:rPr>
      <w:t>山东昌润项目管理有限公司</w:t>
    </w:r>
    <w:r>
      <w:rPr>
        <w:rFonts w:hint="eastAsia"/>
        <w:u w:val="single"/>
        <w:lang w:val="en-US" w:eastAsia="zh-CN"/>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502C57"/>
    <w:multiLevelType w:val="singleLevel"/>
    <w:tmpl w:val="94502C57"/>
    <w:lvl w:ilvl="0" w:tentative="0">
      <w:start w:val="1"/>
      <w:numFmt w:val="decimal"/>
      <w:lvlText w:val="(%1)"/>
      <w:lvlJc w:val="left"/>
      <w:pPr>
        <w:ind w:left="425" w:hanging="425"/>
      </w:pPr>
      <w:rPr>
        <w:rFonts w:hint="default"/>
      </w:rPr>
    </w:lvl>
  </w:abstractNum>
  <w:abstractNum w:abstractNumId="1">
    <w:nsid w:val="A8A09D3B"/>
    <w:multiLevelType w:val="singleLevel"/>
    <w:tmpl w:val="A8A09D3B"/>
    <w:lvl w:ilvl="0" w:tentative="0">
      <w:start w:val="2"/>
      <w:numFmt w:val="decimal"/>
      <w:suff w:val="nothing"/>
      <w:lvlText w:val="%1、"/>
      <w:lvlJc w:val="left"/>
    </w:lvl>
  </w:abstractNum>
  <w:abstractNum w:abstractNumId="2">
    <w:nsid w:val="C87C3517"/>
    <w:multiLevelType w:val="singleLevel"/>
    <w:tmpl w:val="C87C3517"/>
    <w:lvl w:ilvl="0" w:tentative="0">
      <w:start w:val="1"/>
      <w:numFmt w:val="decimal"/>
      <w:lvlText w:val="%1."/>
      <w:lvlJc w:val="left"/>
      <w:pPr>
        <w:tabs>
          <w:tab w:val="left" w:pos="312"/>
        </w:tabs>
      </w:pPr>
    </w:lvl>
  </w:abstractNum>
  <w:abstractNum w:abstractNumId="3">
    <w:nsid w:val="1BAEBA11"/>
    <w:multiLevelType w:val="singleLevel"/>
    <w:tmpl w:val="1BAEBA11"/>
    <w:lvl w:ilvl="0" w:tentative="0">
      <w:start w:val="1"/>
      <w:numFmt w:val="decimal"/>
      <w:lvlText w:val="%1."/>
      <w:lvlJc w:val="left"/>
      <w:pPr>
        <w:tabs>
          <w:tab w:val="left" w:pos="312"/>
        </w:tabs>
      </w:pPr>
    </w:lvl>
  </w:abstractNum>
  <w:abstractNum w:abstractNumId="4">
    <w:nsid w:val="28895C7B"/>
    <w:multiLevelType w:val="singleLevel"/>
    <w:tmpl w:val="28895C7B"/>
    <w:lvl w:ilvl="0" w:tentative="0">
      <w:start w:val="3"/>
      <w:numFmt w:val="chineseCounting"/>
      <w:suff w:val="nothing"/>
      <w:lvlText w:val="（%1）"/>
      <w:lvlJc w:val="left"/>
      <w:rPr>
        <w:rFonts w:hint="eastAsia"/>
      </w:rPr>
    </w:lvl>
  </w:abstractNum>
  <w:abstractNum w:abstractNumId="5">
    <w:nsid w:val="39DEC8D5"/>
    <w:multiLevelType w:val="singleLevel"/>
    <w:tmpl w:val="39DEC8D5"/>
    <w:lvl w:ilvl="0" w:tentative="0">
      <w:start w:val="6"/>
      <w:numFmt w:val="chineseCounting"/>
      <w:suff w:val="nothing"/>
      <w:lvlText w:val="%1、"/>
      <w:lvlJc w:val="left"/>
      <w:rPr>
        <w:rFonts w:hint="eastAsia"/>
      </w:rPr>
    </w:lvl>
  </w:abstractNum>
  <w:abstractNum w:abstractNumId="6">
    <w:nsid w:val="483E2694"/>
    <w:multiLevelType w:val="multilevel"/>
    <w:tmpl w:val="483E2694"/>
    <w:lvl w:ilvl="0" w:tentative="0">
      <w:start w:val="1"/>
      <w:numFmt w:val="decimal"/>
      <w:pStyle w:val="713"/>
      <w:suff w:val="nothing"/>
      <w:lvlText w:val="%1、"/>
      <w:lvlJc w:val="left"/>
      <w:pPr>
        <w:ind w:left="0" w:firstLine="0"/>
      </w:pPr>
      <w:rPr>
        <w:rFonts w:hint="default"/>
        <w:b/>
      </w:rPr>
    </w:lvl>
    <w:lvl w:ilvl="1" w:tentative="0">
      <w:start w:val="0"/>
      <w:numFmt w:val="bullet"/>
      <w:lvlText w:val="★"/>
      <w:lvlJc w:val="left"/>
      <w:pPr>
        <w:ind w:left="780" w:hanging="360"/>
      </w:pPr>
      <w:rPr>
        <w:rFonts w:hint="eastAsia" w:ascii="宋体" w:hAnsi="宋体" w:eastAsia="宋体" w:cs="Times New Roman"/>
        <w:b/>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0"/>
  </w:num>
  <w:num w:numId="3">
    <w:abstractNumId w:val="2"/>
  </w:num>
  <w:num w:numId="4">
    <w:abstractNumId w:val="3"/>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MzZTU2ZTUwNTlhZDNhZGZlYzExZTg4MDA4ZDZmMmUifQ=="/>
  </w:docVars>
  <w:rsids>
    <w:rsidRoot w:val="00172A27"/>
    <w:rsid w:val="000006E8"/>
    <w:rsid w:val="00000862"/>
    <w:rsid w:val="0000386E"/>
    <w:rsid w:val="00003BF8"/>
    <w:rsid w:val="00003C78"/>
    <w:rsid w:val="00004367"/>
    <w:rsid w:val="000050A2"/>
    <w:rsid w:val="00005DB4"/>
    <w:rsid w:val="0000625E"/>
    <w:rsid w:val="000064DE"/>
    <w:rsid w:val="00006600"/>
    <w:rsid w:val="000073EA"/>
    <w:rsid w:val="00010271"/>
    <w:rsid w:val="00011899"/>
    <w:rsid w:val="0001207B"/>
    <w:rsid w:val="00012C57"/>
    <w:rsid w:val="0001409E"/>
    <w:rsid w:val="00014590"/>
    <w:rsid w:val="000159C0"/>
    <w:rsid w:val="000169CE"/>
    <w:rsid w:val="0002187A"/>
    <w:rsid w:val="00021D11"/>
    <w:rsid w:val="00021EE2"/>
    <w:rsid w:val="00021FD9"/>
    <w:rsid w:val="00022BDF"/>
    <w:rsid w:val="000232E2"/>
    <w:rsid w:val="00023D38"/>
    <w:rsid w:val="00025908"/>
    <w:rsid w:val="00025DD7"/>
    <w:rsid w:val="00025EE2"/>
    <w:rsid w:val="0002613E"/>
    <w:rsid w:val="000274A1"/>
    <w:rsid w:val="00027EA1"/>
    <w:rsid w:val="000310B1"/>
    <w:rsid w:val="00031FAA"/>
    <w:rsid w:val="00032CB9"/>
    <w:rsid w:val="0003321C"/>
    <w:rsid w:val="0003333A"/>
    <w:rsid w:val="000334FA"/>
    <w:rsid w:val="0003387D"/>
    <w:rsid w:val="00033F00"/>
    <w:rsid w:val="000341F8"/>
    <w:rsid w:val="00034E8A"/>
    <w:rsid w:val="00035DFE"/>
    <w:rsid w:val="00036BCB"/>
    <w:rsid w:val="000400FC"/>
    <w:rsid w:val="00040426"/>
    <w:rsid w:val="00040718"/>
    <w:rsid w:val="00041AF9"/>
    <w:rsid w:val="000420D5"/>
    <w:rsid w:val="00044963"/>
    <w:rsid w:val="00047C1F"/>
    <w:rsid w:val="00050497"/>
    <w:rsid w:val="00050647"/>
    <w:rsid w:val="00051297"/>
    <w:rsid w:val="000518ED"/>
    <w:rsid w:val="00052AAF"/>
    <w:rsid w:val="00052D1A"/>
    <w:rsid w:val="00052E24"/>
    <w:rsid w:val="00053582"/>
    <w:rsid w:val="0005382E"/>
    <w:rsid w:val="00054620"/>
    <w:rsid w:val="00054C3A"/>
    <w:rsid w:val="00056429"/>
    <w:rsid w:val="0005727E"/>
    <w:rsid w:val="00057BED"/>
    <w:rsid w:val="00057BF0"/>
    <w:rsid w:val="00057D71"/>
    <w:rsid w:val="0006040F"/>
    <w:rsid w:val="0006188D"/>
    <w:rsid w:val="00061AE1"/>
    <w:rsid w:val="00061F07"/>
    <w:rsid w:val="0006476C"/>
    <w:rsid w:val="0006660A"/>
    <w:rsid w:val="000667F0"/>
    <w:rsid w:val="000701A3"/>
    <w:rsid w:val="00070385"/>
    <w:rsid w:val="00071312"/>
    <w:rsid w:val="00071543"/>
    <w:rsid w:val="0007258F"/>
    <w:rsid w:val="00073ED9"/>
    <w:rsid w:val="00074A11"/>
    <w:rsid w:val="000756F9"/>
    <w:rsid w:val="00077451"/>
    <w:rsid w:val="00080E93"/>
    <w:rsid w:val="00080FA3"/>
    <w:rsid w:val="00080FCF"/>
    <w:rsid w:val="00081F8B"/>
    <w:rsid w:val="000827CE"/>
    <w:rsid w:val="00084283"/>
    <w:rsid w:val="00084D6F"/>
    <w:rsid w:val="00085725"/>
    <w:rsid w:val="00085C1D"/>
    <w:rsid w:val="0008679A"/>
    <w:rsid w:val="000869A1"/>
    <w:rsid w:val="000869E9"/>
    <w:rsid w:val="0009194C"/>
    <w:rsid w:val="00091D65"/>
    <w:rsid w:val="00091F98"/>
    <w:rsid w:val="00093160"/>
    <w:rsid w:val="00093FCB"/>
    <w:rsid w:val="00094DE0"/>
    <w:rsid w:val="0009546D"/>
    <w:rsid w:val="000963FD"/>
    <w:rsid w:val="00096DB5"/>
    <w:rsid w:val="0009744E"/>
    <w:rsid w:val="000A01C6"/>
    <w:rsid w:val="000A058B"/>
    <w:rsid w:val="000A27AC"/>
    <w:rsid w:val="000A2B08"/>
    <w:rsid w:val="000A336A"/>
    <w:rsid w:val="000A3E3B"/>
    <w:rsid w:val="000A40EC"/>
    <w:rsid w:val="000A59E8"/>
    <w:rsid w:val="000A748E"/>
    <w:rsid w:val="000B03CE"/>
    <w:rsid w:val="000B0C67"/>
    <w:rsid w:val="000B0C96"/>
    <w:rsid w:val="000B0F16"/>
    <w:rsid w:val="000B1D12"/>
    <w:rsid w:val="000B27C5"/>
    <w:rsid w:val="000B464C"/>
    <w:rsid w:val="000B51D1"/>
    <w:rsid w:val="000B5FC2"/>
    <w:rsid w:val="000B6D7F"/>
    <w:rsid w:val="000C17F0"/>
    <w:rsid w:val="000C18C8"/>
    <w:rsid w:val="000C1D8A"/>
    <w:rsid w:val="000C207E"/>
    <w:rsid w:val="000C54D0"/>
    <w:rsid w:val="000C5632"/>
    <w:rsid w:val="000C5C71"/>
    <w:rsid w:val="000C63D2"/>
    <w:rsid w:val="000C6D32"/>
    <w:rsid w:val="000C7873"/>
    <w:rsid w:val="000D0836"/>
    <w:rsid w:val="000D0A2D"/>
    <w:rsid w:val="000D1F38"/>
    <w:rsid w:val="000D2762"/>
    <w:rsid w:val="000D36EB"/>
    <w:rsid w:val="000D47C9"/>
    <w:rsid w:val="000D562E"/>
    <w:rsid w:val="000D68AA"/>
    <w:rsid w:val="000D7AF2"/>
    <w:rsid w:val="000E21CA"/>
    <w:rsid w:val="000E2E83"/>
    <w:rsid w:val="000E372B"/>
    <w:rsid w:val="000E383B"/>
    <w:rsid w:val="000E3C39"/>
    <w:rsid w:val="000E4CEB"/>
    <w:rsid w:val="000E52FF"/>
    <w:rsid w:val="000E686D"/>
    <w:rsid w:val="000E69BB"/>
    <w:rsid w:val="000F06C0"/>
    <w:rsid w:val="000F0C8B"/>
    <w:rsid w:val="000F39DC"/>
    <w:rsid w:val="000F5804"/>
    <w:rsid w:val="000F61AC"/>
    <w:rsid w:val="000F64A0"/>
    <w:rsid w:val="00102AF8"/>
    <w:rsid w:val="00104176"/>
    <w:rsid w:val="00105080"/>
    <w:rsid w:val="00105F6D"/>
    <w:rsid w:val="00107FE6"/>
    <w:rsid w:val="00110714"/>
    <w:rsid w:val="00110E48"/>
    <w:rsid w:val="00111329"/>
    <w:rsid w:val="00112486"/>
    <w:rsid w:val="00113D03"/>
    <w:rsid w:val="001147E3"/>
    <w:rsid w:val="00114ECA"/>
    <w:rsid w:val="00116032"/>
    <w:rsid w:val="001166EB"/>
    <w:rsid w:val="00116B47"/>
    <w:rsid w:val="0011792A"/>
    <w:rsid w:val="00117ED5"/>
    <w:rsid w:val="001204B8"/>
    <w:rsid w:val="00122507"/>
    <w:rsid w:val="00122C56"/>
    <w:rsid w:val="00123AE8"/>
    <w:rsid w:val="00124836"/>
    <w:rsid w:val="00124DF2"/>
    <w:rsid w:val="00125A1E"/>
    <w:rsid w:val="0013073F"/>
    <w:rsid w:val="00131854"/>
    <w:rsid w:val="001321F6"/>
    <w:rsid w:val="00135CCB"/>
    <w:rsid w:val="00141D42"/>
    <w:rsid w:val="00141DA9"/>
    <w:rsid w:val="00142923"/>
    <w:rsid w:val="00142A41"/>
    <w:rsid w:val="001430B8"/>
    <w:rsid w:val="00143679"/>
    <w:rsid w:val="0014400C"/>
    <w:rsid w:val="00144DAC"/>
    <w:rsid w:val="00144F76"/>
    <w:rsid w:val="00145DB4"/>
    <w:rsid w:val="00146053"/>
    <w:rsid w:val="001468BC"/>
    <w:rsid w:val="00147844"/>
    <w:rsid w:val="00147E1A"/>
    <w:rsid w:val="00151A59"/>
    <w:rsid w:val="00151C62"/>
    <w:rsid w:val="00152EBF"/>
    <w:rsid w:val="00152F1D"/>
    <w:rsid w:val="0015592E"/>
    <w:rsid w:val="00155F09"/>
    <w:rsid w:val="00156411"/>
    <w:rsid w:val="001567DB"/>
    <w:rsid w:val="00156D82"/>
    <w:rsid w:val="00157401"/>
    <w:rsid w:val="0016098E"/>
    <w:rsid w:val="00161F0E"/>
    <w:rsid w:val="00162D60"/>
    <w:rsid w:val="00162EC8"/>
    <w:rsid w:val="00163C6E"/>
    <w:rsid w:val="00164886"/>
    <w:rsid w:val="00164AE4"/>
    <w:rsid w:val="0016594D"/>
    <w:rsid w:val="001661D3"/>
    <w:rsid w:val="0017077F"/>
    <w:rsid w:val="00171EF2"/>
    <w:rsid w:val="00171F3C"/>
    <w:rsid w:val="00172A27"/>
    <w:rsid w:val="00173202"/>
    <w:rsid w:val="00173A37"/>
    <w:rsid w:val="00173F77"/>
    <w:rsid w:val="001745C7"/>
    <w:rsid w:val="00174DD2"/>
    <w:rsid w:val="0017538D"/>
    <w:rsid w:val="00175475"/>
    <w:rsid w:val="001758B9"/>
    <w:rsid w:val="00175A82"/>
    <w:rsid w:val="00175BE1"/>
    <w:rsid w:val="00175CE5"/>
    <w:rsid w:val="00176109"/>
    <w:rsid w:val="00176D96"/>
    <w:rsid w:val="00177857"/>
    <w:rsid w:val="001779E0"/>
    <w:rsid w:val="00177CD7"/>
    <w:rsid w:val="00183381"/>
    <w:rsid w:val="0018340F"/>
    <w:rsid w:val="00183784"/>
    <w:rsid w:val="001837DC"/>
    <w:rsid w:val="00183823"/>
    <w:rsid w:val="001841B5"/>
    <w:rsid w:val="001861E4"/>
    <w:rsid w:val="00193079"/>
    <w:rsid w:val="00195DA4"/>
    <w:rsid w:val="00197591"/>
    <w:rsid w:val="001A0524"/>
    <w:rsid w:val="001A1923"/>
    <w:rsid w:val="001A1D01"/>
    <w:rsid w:val="001A2132"/>
    <w:rsid w:val="001A4517"/>
    <w:rsid w:val="001A6606"/>
    <w:rsid w:val="001A6DD3"/>
    <w:rsid w:val="001A79CE"/>
    <w:rsid w:val="001B0192"/>
    <w:rsid w:val="001B1851"/>
    <w:rsid w:val="001B2043"/>
    <w:rsid w:val="001B25F2"/>
    <w:rsid w:val="001B749F"/>
    <w:rsid w:val="001C05F8"/>
    <w:rsid w:val="001C0E53"/>
    <w:rsid w:val="001C1285"/>
    <w:rsid w:val="001C1CC6"/>
    <w:rsid w:val="001C267E"/>
    <w:rsid w:val="001C2AA7"/>
    <w:rsid w:val="001C3EA3"/>
    <w:rsid w:val="001C4CA6"/>
    <w:rsid w:val="001C5172"/>
    <w:rsid w:val="001C5928"/>
    <w:rsid w:val="001C6182"/>
    <w:rsid w:val="001C653F"/>
    <w:rsid w:val="001C701A"/>
    <w:rsid w:val="001C70BA"/>
    <w:rsid w:val="001D0908"/>
    <w:rsid w:val="001D1424"/>
    <w:rsid w:val="001D2FEC"/>
    <w:rsid w:val="001D31D5"/>
    <w:rsid w:val="001D389D"/>
    <w:rsid w:val="001D47C9"/>
    <w:rsid w:val="001D4A42"/>
    <w:rsid w:val="001D5572"/>
    <w:rsid w:val="001D65E0"/>
    <w:rsid w:val="001D7359"/>
    <w:rsid w:val="001D743F"/>
    <w:rsid w:val="001D74A9"/>
    <w:rsid w:val="001E2123"/>
    <w:rsid w:val="001E35DA"/>
    <w:rsid w:val="001E4160"/>
    <w:rsid w:val="001E57F6"/>
    <w:rsid w:val="001E5856"/>
    <w:rsid w:val="001E718D"/>
    <w:rsid w:val="001E77EF"/>
    <w:rsid w:val="001E7DB3"/>
    <w:rsid w:val="001E7FA4"/>
    <w:rsid w:val="001F063D"/>
    <w:rsid w:val="001F0BC3"/>
    <w:rsid w:val="001F2167"/>
    <w:rsid w:val="001F30EF"/>
    <w:rsid w:val="001F3832"/>
    <w:rsid w:val="001F405B"/>
    <w:rsid w:val="001F4D82"/>
    <w:rsid w:val="00202B8E"/>
    <w:rsid w:val="00202E40"/>
    <w:rsid w:val="002043AE"/>
    <w:rsid w:val="00204674"/>
    <w:rsid w:val="00204F09"/>
    <w:rsid w:val="00206673"/>
    <w:rsid w:val="0021010D"/>
    <w:rsid w:val="00210448"/>
    <w:rsid w:val="0021065B"/>
    <w:rsid w:val="00210679"/>
    <w:rsid w:val="00211722"/>
    <w:rsid w:val="00212259"/>
    <w:rsid w:val="002136B9"/>
    <w:rsid w:val="00214BB8"/>
    <w:rsid w:val="00217F42"/>
    <w:rsid w:val="00220F21"/>
    <w:rsid w:val="0022159B"/>
    <w:rsid w:val="00221757"/>
    <w:rsid w:val="00221FFD"/>
    <w:rsid w:val="00222969"/>
    <w:rsid w:val="00222D88"/>
    <w:rsid w:val="00223949"/>
    <w:rsid w:val="00225118"/>
    <w:rsid w:val="00225CBE"/>
    <w:rsid w:val="00225F71"/>
    <w:rsid w:val="00226015"/>
    <w:rsid w:val="00226B37"/>
    <w:rsid w:val="00226D75"/>
    <w:rsid w:val="002270A1"/>
    <w:rsid w:val="00231F27"/>
    <w:rsid w:val="002324C0"/>
    <w:rsid w:val="00232747"/>
    <w:rsid w:val="002332EC"/>
    <w:rsid w:val="00235764"/>
    <w:rsid w:val="00235F50"/>
    <w:rsid w:val="0023623E"/>
    <w:rsid w:val="00237618"/>
    <w:rsid w:val="0024027F"/>
    <w:rsid w:val="0024201B"/>
    <w:rsid w:val="002432DA"/>
    <w:rsid w:val="002442C2"/>
    <w:rsid w:val="00244ADC"/>
    <w:rsid w:val="0024520F"/>
    <w:rsid w:val="00245450"/>
    <w:rsid w:val="00251ABE"/>
    <w:rsid w:val="00252678"/>
    <w:rsid w:val="00252CE0"/>
    <w:rsid w:val="002534E6"/>
    <w:rsid w:val="00254F7D"/>
    <w:rsid w:val="002569CE"/>
    <w:rsid w:val="002576A9"/>
    <w:rsid w:val="002600F4"/>
    <w:rsid w:val="0026085F"/>
    <w:rsid w:val="0026134F"/>
    <w:rsid w:val="0026143A"/>
    <w:rsid w:val="002616DB"/>
    <w:rsid w:val="00261787"/>
    <w:rsid w:val="00264E07"/>
    <w:rsid w:val="00265906"/>
    <w:rsid w:val="00265F99"/>
    <w:rsid w:val="0026642C"/>
    <w:rsid w:val="00266438"/>
    <w:rsid w:val="0026719A"/>
    <w:rsid w:val="00270258"/>
    <w:rsid w:val="00272A68"/>
    <w:rsid w:val="00273859"/>
    <w:rsid w:val="00273B92"/>
    <w:rsid w:val="002740FC"/>
    <w:rsid w:val="002752A4"/>
    <w:rsid w:val="002805FC"/>
    <w:rsid w:val="00283014"/>
    <w:rsid w:val="00283C61"/>
    <w:rsid w:val="00284129"/>
    <w:rsid w:val="00285DF8"/>
    <w:rsid w:val="00285ED9"/>
    <w:rsid w:val="002866C4"/>
    <w:rsid w:val="0028741F"/>
    <w:rsid w:val="002874E3"/>
    <w:rsid w:val="00287A63"/>
    <w:rsid w:val="00290121"/>
    <w:rsid w:val="00291D58"/>
    <w:rsid w:val="00293D08"/>
    <w:rsid w:val="00294B45"/>
    <w:rsid w:val="0029666A"/>
    <w:rsid w:val="002A03FD"/>
    <w:rsid w:val="002A0967"/>
    <w:rsid w:val="002A0B4A"/>
    <w:rsid w:val="002A1E87"/>
    <w:rsid w:val="002A2EF0"/>
    <w:rsid w:val="002A4577"/>
    <w:rsid w:val="002A462E"/>
    <w:rsid w:val="002A537D"/>
    <w:rsid w:val="002A5CE5"/>
    <w:rsid w:val="002A6342"/>
    <w:rsid w:val="002A6FCC"/>
    <w:rsid w:val="002A7247"/>
    <w:rsid w:val="002A760C"/>
    <w:rsid w:val="002A791D"/>
    <w:rsid w:val="002A7EF4"/>
    <w:rsid w:val="002B098D"/>
    <w:rsid w:val="002B1821"/>
    <w:rsid w:val="002B270F"/>
    <w:rsid w:val="002B28DB"/>
    <w:rsid w:val="002B3D62"/>
    <w:rsid w:val="002B510D"/>
    <w:rsid w:val="002B5123"/>
    <w:rsid w:val="002B597F"/>
    <w:rsid w:val="002B7104"/>
    <w:rsid w:val="002C0003"/>
    <w:rsid w:val="002C0FE7"/>
    <w:rsid w:val="002C1422"/>
    <w:rsid w:val="002C1BBB"/>
    <w:rsid w:val="002C24E7"/>
    <w:rsid w:val="002C2BAD"/>
    <w:rsid w:val="002C30A3"/>
    <w:rsid w:val="002C3ACB"/>
    <w:rsid w:val="002C402B"/>
    <w:rsid w:val="002C5594"/>
    <w:rsid w:val="002C6A07"/>
    <w:rsid w:val="002C718A"/>
    <w:rsid w:val="002C77DD"/>
    <w:rsid w:val="002D19B7"/>
    <w:rsid w:val="002D1C1E"/>
    <w:rsid w:val="002D1C57"/>
    <w:rsid w:val="002D21C5"/>
    <w:rsid w:val="002D269B"/>
    <w:rsid w:val="002D3050"/>
    <w:rsid w:val="002D3C7E"/>
    <w:rsid w:val="002D4992"/>
    <w:rsid w:val="002D55D6"/>
    <w:rsid w:val="002D7A05"/>
    <w:rsid w:val="002E0529"/>
    <w:rsid w:val="002E0C14"/>
    <w:rsid w:val="002E187F"/>
    <w:rsid w:val="002E1C22"/>
    <w:rsid w:val="002E2C4F"/>
    <w:rsid w:val="002E2D9E"/>
    <w:rsid w:val="002E3CA4"/>
    <w:rsid w:val="002E5441"/>
    <w:rsid w:val="002E610E"/>
    <w:rsid w:val="002E6CB0"/>
    <w:rsid w:val="002E77EE"/>
    <w:rsid w:val="002E7DE2"/>
    <w:rsid w:val="002F09E5"/>
    <w:rsid w:val="002F1AE4"/>
    <w:rsid w:val="002F1BED"/>
    <w:rsid w:val="002F3101"/>
    <w:rsid w:val="002F48A9"/>
    <w:rsid w:val="002F64A8"/>
    <w:rsid w:val="002F6E6A"/>
    <w:rsid w:val="003024FD"/>
    <w:rsid w:val="00302782"/>
    <w:rsid w:val="00302BDF"/>
    <w:rsid w:val="00302EE5"/>
    <w:rsid w:val="003044FC"/>
    <w:rsid w:val="00305362"/>
    <w:rsid w:val="003058AE"/>
    <w:rsid w:val="00305966"/>
    <w:rsid w:val="00305E05"/>
    <w:rsid w:val="00306384"/>
    <w:rsid w:val="0030659E"/>
    <w:rsid w:val="00306912"/>
    <w:rsid w:val="0031062C"/>
    <w:rsid w:val="00310790"/>
    <w:rsid w:val="00310906"/>
    <w:rsid w:val="00311B44"/>
    <w:rsid w:val="00312E55"/>
    <w:rsid w:val="00312E75"/>
    <w:rsid w:val="003138E3"/>
    <w:rsid w:val="00313917"/>
    <w:rsid w:val="00314E16"/>
    <w:rsid w:val="00315318"/>
    <w:rsid w:val="0031602C"/>
    <w:rsid w:val="003169CC"/>
    <w:rsid w:val="00316EE5"/>
    <w:rsid w:val="00320144"/>
    <w:rsid w:val="003202D0"/>
    <w:rsid w:val="003206A6"/>
    <w:rsid w:val="0032230C"/>
    <w:rsid w:val="0032284D"/>
    <w:rsid w:val="003232C0"/>
    <w:rsid w:val="00324E55"/>
    <w:rsid w:val="00327684"/>
    <w:rsid w:val="00330CD6"/>
    <w:rsid w:val="0033133D"/>
    <w:rsid w:val="0033232A"/>
    <w:rsid w:val="003330D6"/>
    <w:rsid w:val="00334C0E"/>
    <w:rsid w:val="00335140"/>
    <w:rsid w:val="0033551A"/>
    <w:rsid w:val="00335B73"/>
    <w:rsid w:val="00336466"/>
    <w:rsid w:val="00336CC6"/>
    <w:rsid w:val="00336FD0"/>
    <w:rsid w:val="0033714C"/>
    <w:rsid w:val="003408E5"/>
    <w:rsid w:val="00340B3B"/>
    <w:rsid w:val="00341244"/>
    <w:rsid w:val="00341586"/>
    <w:rsid w:val="00341B9F"/>
    <w:rsid w:val="003430D9"/>
    <w:rsid w:val="00343D6B"/>
    <w:rsid w:val="00346790"/>
    <w:rsid w:val="00347654"/>
    <w:rsid w:val="00350A9A"/>
    <w:rsid w:val="00351E7D"/>
    <w:rsid w:val="00352EF8"/>
    <w:rsid w:val="00353535"/>
    <w:rsid w:val="00353DC8"/>
    <w:rsid w:val="00354323"/>
    <w:rsid w:val="003544BA"/>
    <w:rsid w:val="00354752"/>
    <w:rsid w:val="0035499E"/>
    <w:rsid w:val="003555F2"/>
    <w:rsid w:val="00355E80"/>
    <w:rsid w:val="00355E88"/>
    <w:rsid w:val="003632FF"/>
    <w:rsid w:val="00363B59"/>
    <w:rsid w:val="00365015"/>
    <w:rsid w:val="00365900"/>
    <w:rsid w:val="0036613D"/>
    <w:rsid w:val="00366997"/>
    <w:rsid w:val="003674D5"/>
    <w:rsid w:val="003677C0"/>
    <w:rsid w:val="00370BBE"/>
    <w:rsid w:val="003710A9"/>
    <w:rsid w:val="00371A50"/>
    <w:rsid w:val="00372737"/>
    <w:rsid w:val="00373E46"/>
    <w:rsid w:val="00374AE7"/>
    <w:rsid w:val="00374CEB"/>
    <w:rsid w:val="003751DA"/>
    <w:rsid w:val="003754BE"/>
    <w:rsid w:val="00375761"/>
    <w:rsid w:val="00376EF6"/>
    <w:rsid w:val="00377582"/>
    <w:rsid w:val="00377841"/>
    <w:rsid w:val="003779C5"/>
    <w:rsid w:val="00380389"/>
    <w:rsid w:val="00380C34"/>
    <w:rsid w:val="003820AA"/>
    <w:rsid w:val="00383C89"/>
    <w:rsid w:val="00384DBF"/>
    <w:rsid w:val="00385385"/>
    <w:rsid w:val="003869B0"/>
    <w:rsid w:val="003878FA"/>
    <w:rsid w:val="00390A1B"/>
    <w:rsid w:val="00390A25"/>
    <w:rsid w:val="00390C77"/>
    <w:rsid w:val="00390D90"/>
    <w:rsid w:val="00391110"/>
    <w:rsid w:val="003918E0"/>
    <w:rsid w:val="00394B18"/>
    <w:rsid w:val="00394D60"/>
    <w:rsid w:val="00396729"/>
    <w:rsid w:val="003A2520"/>
    <w:rsid w:val="003A2760"/>
    <w:rsid w:val="003A302E"/>
    <w:rsid w:val="003A429E"/>
    <w:rsid w:val="003A42E0"/>
    <w:rsid w:val="003A4D6B"/>
    <w:rsid w:val="003A6414"/>
    <w:rsid w:val="003A6496"/>
    <w:rsid w:val="003A72A6"/>
    <w:rsid w:val="003A7860"/>
    <w:rsid w:val="003B0311"/>
    <w:rsid w:val="003B1284"/>
    <w:rsid w:val="003B1DCC"/>
    <w:rsid w:val="003B3E5E"/>
    <w:rsid w:val="003B44AD"/>
    <w:rsid w:val="003B4F29"/>
    <w:rsid w:val="003B4FB7"/>
    <w:rsid w:val="003B60C5"/>
    <w:rsid w:val="003B6758"/>
    <w:rsid w:val="003B6D8D"/>
    <w:rsid w:val="003B793F"/>
    <w:rsid w:val="003C02CF"/>
    <w:rsid w:val="003C094A"/>
    <w:rsid w:val="003C0DA8"/>
    <w:rsid w:val="003C19C9"/>
    <w:rsid w:val="003C214A"/>
    <w:rsid w:val="003C2FDC"/>
    <w:rsid w:val="003C3377"/>
    <w:rsid w:val="003C34A5"/>
    <w:rsid w:val="003C39C6"/>
    <w:rsid w:val="003C3A9C"/>
    <w:rsid w:val="003C6834"/>
    <w:rsid w:val="003D0BB9"/>
    <w:rsid w:val="003D2D6F"/>
    <w:rsid w:val="003D3130"/>
    <w:rsid w:val="003D34E4"/>
    <w:rsid w:val="003D3781"/>
    <w:rsid w:val="003D3F7C"/>
    <w:rsid w:val="003D429E"/>
    <w:rsid w:val="003D6AC7"/>
    <w:rsid w:val="003D74D5"/>
    <w:rsid w:val="003E2C80"/>
    <w:rsid w:val="003E2F27"/>
    <w:rsid w:val="003E36C1"/>
    <w:rsid w:val="003E3934"/>
    <w:rsid w:val="003E54E8"/>
    <w:rsid w:val="003E5A77"/>
    <w:rsid w:val="003E604F"/>
    <w:rsid w:val="003E6126"/>
    <w:rsid w:val="003E69F7"/>
    <w:rsid w:val="003E6A3A"/>
    <w:rsid w:val="003E79DC"/>
    <w:rsid w:val="003F2A0F"/>
    <w:rsid w:val="003F3268"/>
    <w:rsid w:val="003F3D56"/>
    <w:rsid w:val="003F4B66"/>
    <w:rsid w:val="003F5E5C"/>
    <w:rsid w:val="003F5FCA"/>
    <w:rsid w:val="003F6136"/>
    <w:rsid w:val="003F6A14"/>
    <w:rsid w:val="003F7C22"/>
    <w:rsid w:val="00400AF3"/>
    <w:rsid w:val="00401F30"/>
    <w:rsid w:val="004036FA"/>
    <w:rsid w:val="00404166"/>
    <w:rsid w:val="0040547A"/>
    <w:rsid w:val="004054AB"/>
    <w:rsid w:val="00406E12"/>
    <w:rsid w:val="004070C4"/>
    <w:rsid w:val="00407314"/>
    <w:rsid w:val="0041117D"/>
    <w:rsid w:val="00411BA3"/>
    <w:rsid w:val="00414BBC"/>
    <w:rsid w:val="0041556F"/>
    <w:rsid w:val="00416300"/>
    <w:rsid w:val="0041632F"/>
    <w:rsid w:val="0041710B"/>
    <w:rsid w:val="0041761D"/>
    <w:rsid w:val="00420308"/>
    <w:rsid w:val="00420823"/>
    <w:rsid w:val="00420B1F"/>
    <w:rsid w:val="00421DBC"/>
    <w:rsid w:val="004231EA"/>
    <w:rsid w:val="00423C60"/>
    <w:rsid w:val="00423DF6"/>
    <w:rsid w:val="00424357"/>
    <w:rsid w:val="0042498E"/>
    <w:rsid w:val="004258FA"/>
    <w:rsid w:val="00425B42"/>
    <w:rsid w:val="00425D71"/>
    <w:rsid w:val="00426589"/>
    <w:rsid w:val="004302F6"/>
    <w:rsid w:val="00430BAF"/>
    <w:rsid w:val="00430D69"/>
    <w:rsid w:val="0043115C"/>
    <w:rsid w:val="0043183F"/>
    <w:rsid w:val="00432564"/>
    <w:rsid w:val="00433EE3"/>
    <w:rsid w:val="00434366"/>
    <w:rsid w:val="0043587D"/>
    <w:rsid w:val="00436E08"/>
    <w:rsid w:val="00437AF6"/>
    <w:rsid w:val="00440109"/>
    <w:rsid w:val="00440390"/>
    <w:rsid w:val="00440552"/>
    <w:rsid w:val="004427CD"/>
    <w:rsid w:val="0044285D"/>
    <w:rsid w:val="00443BDC"/>
    <w:rsid w:val="00443CBA"/>
    <w:rsid w:val="0044524B"/>
    <w:rsid w:val="00446404"/>
    <w:rsid w:val="004466FB"/>
    <w:rsid w:val="00446AB4"/>
    <w:rsid w:val="00446BDB"/>
    <w:rsid w:val="004470A9"/>
    <w:rsid w:val="004510C3"/>
    <w:rsid w:val="004511AD"/>
    <w:rsid w:val="00451997"/>
    <w:rsid w:val="00452243"/>
    <w:rsid w:val="004535B1"/>
    <w:rsid w:val="004543A2"/>
    <w:rsid w:val="004546CB"/>
    <w:rsid w:val="0045663E"/>
    <w:rsid w:val="00456E4C"/>
    <w:rsid w:val="004577C8"/>
    <w:rsid w:val="0046062F"/>
    <w:rsid w:val="0046175F"/>
    <w:rsid w:val="00462BDC"/>
    <w:rsid w:val="00462FE7"/>
    <w:rsid w:val="00463DF7"/>
    <w:rsid w:val="00466DBE"/>
    <w:rsid w:val="00466F64"/>
    <w:rsid w:val="00467451"/>
    <w:rsid w:val="00467465"/>
    <w:rsid w:val="00467B54"/>
    <w:rsid w:val="004703D3"/>
    <w:rsid w:val="004713B7"/>
    <w:rsid w:val="00471847"/>
    <w:rsid w:val="0047200D"/>
    <w:rsid w:val="00472109"/>
    <w:rsid w:val="00472F9A"/>
    <w:rsid w:val="00474EA4"/>
    <w:rsid w:val="00475666"/>
    <w:rsid w:val="0047618D"/>
    <w:rsid w:val="004778A0"/>
    <w:rsid w:val="0048154B"/>
    <w:rsid w:val="00481FB3"/>
    <w:rsid w:val="004825B7"/>
    <w:rsid w:val="00482D68"/>
    <w:rsid w:val="00482DB2"/>
    <w:rsid w:val="00483D81"/>
    <w:rsid w:val="00485098"/>
    <w:rsid w:val="00486E9B"/>
    <w:rsid w:val="004872E0"/>
    <w:rsid w:val="00491BCF"/>
    <w:rsid w:val="0049229F"/>
    <w:rsid w:val="00494347"/>
    <w:rsid w:val="004A1719"/>
    <w:rsid w:val="004A17D3"/>
    <w:rsid w:val="004A19EE"/>
    <w:rsid w:val="004A2DFC"/>
    <w:rsid w:val="004A3417"/>
    <w:rsid w:val="004A3F5D"/>
    <w:rsid w:val="004A46D4"/>
    <w:rsid w:val="004A4F10"/>
    <w:rsid w:val="004A52DC"/>
    <w:rsid w:val="004B0BF2"/>
    <w:rsid w:val="004B1AC9"/>
    <w:rsid w:val="004B2168"/>
    <w:rsid w:val="004B2E50"/>
    <w:rsid w:val="004B325F"/>
    <w:rsid w:val="004B341D"/>
    <w:rsid w:val="004B5F47"/>
    <w:rsid w:val="004B6534"/>
    <w:rsid w:val="004B76CD"/>
    <w:rsid w:val="004C19AB"/>
    <w:rsid w:val="004C2350"/>
    <w:rsid w:val="004C470B"/>
    <w:rsid w:val="004C50BF"/>
    <w:rsid w:val="004C5258"/>
    <w:rsid w:val="004C52A2"/>
    <w:rsid w:val="004C5767"/>
    <w:rsid w:val="004D0CB7"/>
    <w:rsid w:val="004D0CC8"/>
    <w:rsid w:val="004D252A"/>
    <w:rsid w:val="004D291A"/>
    <w:rsid w:val="004D3D48"/>
    <w:rsid w:val="004D41E5"/>
    <w:rsid w:val="004D5209"/>
    <w:rsid w:val="004D5320"/>
    <w:rsid w:val="004D5825"/>
    <w:rsid w:val="004D5CB0"/>
    <w:rsid w:val="004D5E20"/>
    <w:rsid w:val="004D6EC7"/>
    <w:rsid w:val="004D7A65"/>
    <w:rsid w:val="004E0FAD"/>
    <w:rsid w:val="004E10C2"/>
    <w:rsid w:val="004E19C9"/>
    <w:rsid w:val="004E1C22"/>
    <w:rsid w:val="004E232D"/>
    <w:rsid w:val="004E380E"/>
    <w:rsid w:val="004E404C"/>
    <w:rsid w:val="004E4EAA"/>
    <w:rsid w:val="004E5354"/>
    <w:rsid w:val="004E548A"/>
    <w:rsid w:val="004E754F"/>
    <w:rsid w:val="004F1232"/>
    <w:rsid w:val="004F1416"/>
    <w:rsid w:val="004F1775"/>
    <w:rsid w:val="004F185F"/>
    <w:rsid w:val="004F3353"/>
    <w:rsid w:val="004F35F0"/>
    <w:rsid w:val="004F3C1B"/>
    <w:rsid w:val="004F45C0"/>
    <w:rsid w:val="004F4824"/>
    <w:rsid w:val="004F56DF"/>
    <w:rsid w:val="004F60A3"/>
    <w:rsid w:val="004F6446"/>
    <w:rsid w:val="004F6865"/>
    <w:rsid w:val="004F7C23"/>
    <w:rsid w:val="00500796"/>
    <w:rsid w:val="00501DDA"/>
    <w:rsid w:val="005050E4"/>
    <w:rsid w:val="00505F2B"/>
    <w:rsid w:val="00506B7F"/>
    <w:rsid w:val="00507662"/>
    <w:rsid w:val="00507DFB"/>
    <w:rsid w:val="00510ABA"/>
    <w:rsid w:val="005118C9"/>
    <w:rsid w:val="00512C87"/>
    <w:rsid w:val="00512CCD"/>
    <w:rsid w:val="00512D2A"/>
    <w:rsid w:val="00514BD2"/>
    <w:rsid w:val="0051633A"/>
    <w:rsid w:val="00516F7A"/>
    <w:rsid w:val="00517411"/>
    <w:rsid w:val="00517E1B"/>
    <w:rsid w:val="0052237E"/>
    <w:rsid w:val="005223FE"/>
    <w:rsid w:val="0052251C"/>
    <w:rsid w:val="00522961"/>
    <w:rsid w:val="00522EC1"/>
    <w:rsid w:val="005243B1"/>
    <w:rsid w:val="00526E06"/>
    <w:rsid w:val="0052789C"/>
    <w:rsid w:val="00530A4A"/>
    <w:rsid w:val="00531F44"/>
    <w:rsid w:val="00532918"/>
    <w:rsid w:val="00533771"/>
    <w:rsid w:val="00534656"/>
    <w:rsid w:val="005372FC"/>
    <w:rsid w:val="00541FEF"/>
    <w:rsid w:val="005426CD"/>
    <w:rsid w:val="005428D6"/>
    <w:rsid w:val="00543E30"/>
    <w:rsid w:val="00544E68"/>
    <w:rsid w:val="00545811"/>
    <w:rsid w:val="00545DAA"/>
    <w:rsid w:val="00545E78"/>
    <w:rsid w:val="00547575"/>
    <w:rsid w:val="00550454"/>
    <w:rsid w:val="00551153"/>
    <w:rsid w:val="00551739"/>
    <w:rsid w:val="00551A63"/>
    <w:rsid w:val="00553EE5"/>
    <w:rsid w:val="00554BFB"/>
    <w:rsid w:val="00555BA4"/>
    <w:rsid w:val="00555D9F"/>
    <w:rsid w:val="005578E6"/>
    <w:rsid w:val="00557DEF"/>
    <w:rsid w:val="00563A33"/>
    <w:rsid w:val="005651C4"/>
    <w:rsid w:val="0056732C"/>
    <w:rsid w:val="00567BEB"/>
    <w:rsid w:val="00567D55"/>
    <w:rsid w:val="00570862"/>
    <w:rsid w:val="00571309"/>
    <w:rsid w:val="00571467"/>
    <w:rsid w:val="00571D09"/>
    <w:rsid w:val="00572457"/>
    <w:rsid w:val="005727B9"/>
    <w:rsid w:val="00574488"/>
    <w:rsid w:val="0057740D"/>
    <w:rsid w:val="0058005B"/>
    <w:rsid w:val="00581869"/>
    <w:rsid w:val="00581BA3"/>
    <w:rsid w:val="00582CB4"/>
    <w:rsid w:val="0058391F"/>
    <w:rsid w:val="0058446B"/>
    <w:rsid w:val="0058638A"/>
    <w:rsid w:val="005874F2"/>
    <w:rsid w:val="00587C37"/>
    <w:rsid w:val="00590A04"/>
    <w:rsid w:val="00590FBF"/>
    <w:rsid w:val="00593B75"/>
    <w:rsid w:val="00594FC2"/>
    <w:rsid w:val="005968F2"/>
    <w:rsid w:val="00596D97"/>
    <w:rsid w:val="00597C7A"/>
    <w:rsid w:val="005A0306"/>
    <w:rsid w:val="005A0B5E"/>
    <w:rsid w:val="005A0D09"/>
    <w:rsid w:val="005A10C6"/>
    <w:rsid w:val="005A2CE5"/>
    <w:rsid w:val="005A4F27"/>
    <w:rsid w:val="005A5A51"/>
    <w:rsid w:val="005A60DE"/>
    <w:rsid w:val="005A613A"/>
    <w:rsid w:val="005A76BC"/>
    <w:rsid w:val="005A7BE0"/>
    <w:rsid w:val="005B0A17"/>
    <w:rsid w:val="005B2E06"/>
    <w:rsid w:val="005B3430"/>
    <w:rsid w:val="005B5623"/>
    <w:rsid w:val="005B6F76"/>
    <w:rsid w:val="005B7BAF"/>
    <w:rsid w:val="005C06CD"/>
    <w:rsid w:val="005C2591"/>
    <w:rsid w:val="005C2D44"/>
    <w:rsid w:val="005C35DF"/>
    <w:rsid w:val="005C3D30"/>
    <w:rsid w:val="005C53CC"/>
    <w:rsid w:val="005C57FA"/>
    <w:rsid w:val="005C7792"/>
    <w:rsid w:val="005C7C68"/>
    <w:rsid w:val="005C7E4F"/>
    <w:rsid w:val="005D0420"/>
    <w:rsid w:val="005D09C5"/>
    <w:rsid w:val="005D10D3"/>
    <w:rsid w:val="005D150E"/>
    <w:rsid w:val="005D1671"/>
    <w:rsid w:val="005D174E"/>
    <w:rsid w:val="005D2780"/>
    <w:rsid w:val="005D2D2C"/>
    <w:rsid w:val="005D37A9"/>
    <w:rsid w:val="005D3E69"/>
    <w:rsid w:val="005D3F74"/>
    <w:rsid w:val="005D6305"/>
    <w:rsid w:val="005D6363"/>
    <w:rsid w:val="005D681B"/>
    <w:rsid w:val="005D6D27"/>
    <w:rsid w:val="005E0C04"/>
    <w:rsid w:val="005E0DEB"/>
    <w:rsid w:val="005E0F4A"/>
    <w:rsid w:val="005E2568"/>
    <w:rsid w:val="005E2EB9"/>
    <w:rsid w:val="005E3D55"/>
    <w:rsid w:val="005E4ED5"/>
    <w:rsid w:val="005E6291"/>
    <w:rsid w:val="005E6698"/>
    <w:rsid w:val="005E736B"/>
    <w:rsid w:val="005E763E"/>
    <w:rsid w:val="005E7EFD"/>
    <w:rsid w:val="005E7FA3"/>
    <w:rsid w:val="005F0177"/>
    <w:rsid w:val="005F066E"/>
    <w:rsid w:val="005F106F"/>
    <w:rsid w:val="005F1269"/>
    <w:rsid w:val="005F13E6"/>
    <w:rsid w:val="005F3175"/>
    <w:rsid w:val="005F3E47"/>
    <w:rsid w:val="005F449C"/>
    <w:rsid w:val="005F4F77"/>
    <w:rsid w:val="005F54C0"/>
    <w:rsid w:val="005F55EB"/>
    <w:rsid w:val="005F6EAD"/>
    <w:rsid w:val="005F79B8"/>
    <w:rsid w:val="00602805"/>
    <w:rsid w:val="00602DDF"/>
    <w:rsid w:val="00602E3A"/>
    <w:rsid w:val="0060345B"/>
    <w:rsid w:val="006036CC"/>
    <w:rsid w:val="00603D0C"/>
    <w:rsid w:val="006043CA"/>
    <w:rsid w:val="006048E2"/>
    <w:rsid w:val="00604DF6"/>
    <w:rsid w:val="00605CF0"/>
    <w:rsid w:val="00610319"/>
    <w:rsid w:val="00610686"/>
    <w:rsid w:val="00610B83"/>
    <w:rsid w:val="00611582"/>
    <w:rsid w:val="00611727"/>
    <w:rsid w:val="00611886"/>
    <w:rsid w:val="00611910"/>
    <w:rsid w:val="00611ECD"/>
    <w:rsid w:val="0061348F"/>
    <w:rsid w:val="006134CB"/>
    <w:rsid w:val="0061375F"/>
    <w:rsid w:val="00614AE0"/>
    <w:rsid w:val="006158F1"/>
    <w:rsid w:val="006162B1"/>
    <w:rsid w:val="00616935"/>
    <w:rsid w:val="00617B33"/>
    <w:rsid w:val="00621893"/>
    <w:rsid w:val="0062287A"/>
    <w:rsid w:val="00623A2E"/>
    <w:rsid w:val="006258A9"/>
    <w:rsid w:val="00632345"/>
    <w:rsid w:val="00632C65"/>
    <w:rsid w:val="00633379"/>
    <w:rsid w:val="00635060"/>
    <w:rsid w:val="00635824"/>
    <w:rsid w:val="00636F4B"/>
    <w:rsid w:val="00640563"/>
    <w:rsid w:val="006412F7"/>
    <w:rsid w:val="0064240E"/>
    <w:rsid w:val="006425CF"/>
    <w:rsid w:val="006428DB"/>
    <w:rsid w:val="0064401F"/>
    <w:rsid w:val="00644A5D"/>
    <w:rsid w:val="00644BF7"/>
    <w:rsid w:val="00645066"/>
    <w:rsid w:val="00645152"/>
    <w:rsid w:val="00645FC2"/>
    <w:rsid w:val="00646006"/>
    <w:rsid w:val="006475E0"/>
    <w:rsid w:val="00647ACA"/>
    <w:rsid w:val="00647C20"/>
    <w:rsid w:val="00647E8B"/>
    <w:rsid w:val="00650AE1"/>
    <w:rsid w:val="0065103D"/>
    <w:rsid w:val="00651CCE"/>
    <w:rsid w:val="00651E6F"/>
    <w:rsid w:val="006534B9"/>
    <w:rsid w:val="006565A6"/>
    <w:rsid w:val="00656E7A"/>
    <w:rsid w:val="00657CE8"/>
    <w:rsid w:val="00660AC4"/>
    <w:rsid w:val="00660B57"/>
    <w:rsid w:val="00660D74"/>
    <w:rsid w:val="00661376"/>
    <w:rsid w:val="006619A9"/>
    <w:rsid w:val="00664286"/>
    <w:rsid w:val="0066582B"/>
    <w:rsid w:val="00665FA3"/>
    <w:rsid w:val="00667AB8"/>
    <w:rsid w:val="0067037C"/>
    <w:rsid w:val="00671438"/>
    <w:rsid w:val="00671DE7"/>
    <w:rsid w:val="006729D8"/>
    <w:rsid w:val="00673691"/>
    <w:rsid w:val="00673E1D"/>
    <w:rsid w:val="0067619D"/>
    <w:rsid w:val="006762A4"/>
    <w:rsid w:val="0067722E"/>
    <w:rsid w:val="006777EC"/>
    <w:rsid w:val="00682CC6"/>
    <w:rsid w:val="00682D62"/>
    <w:rsid w:val="0068394A"/>
    <w:rsid w:val="00683E0A"/>
    <w:rsid w:val="006865F2"/>
    <w:rsid w:val="00686641"/>
    <w:rsid w:val="00687AEE"/>
    <w:rsid w:val="00690561"/>
    <w:rsid w:val="0069153E"/>
    <w:rsid w:val="0069241F"/>
    <w:rsid w:val="00693B1E"/>
    <w:rsid w:val="00693FBD"/>
    <w:rsid w:val="006969D4"/>
    <w:rsid w:val="00697BAC"/>
    <w:rsid w:val="006A1D0D"/>
    <w:rsid w:val="006A2A8C"/>
    <w:rsid w:val="006A45EB"/>
    <w:rsid w:val="006A51BE"/>
    <w:rsid w:val="006A60B7"/>
    <w:rsid w:val="006A6AA6"/>
    <w:rsid w:val="006A6F83"/>
    <w:rsid w:val="006A7875"/>
    <w:rsid w:val="006B0298"/>
    <w:rsid w:val="006B074D"/>
    <w:rsid w:val="006B0BC7"/>
    <w:rsid w:val="006B12A6"/>
    <w:rsid w:val="006B16C3"/>
    <w:rsid w:val="006B1DCA"/>
    <w:rsid w:val="006B244C"/>
    <w:rsid w:val="006B2B23"/>
    <w:rsid w:val="006B3685"/>
    <w:rsid w:val="006B3D74"/>
    <w:rsid w:val="006B58CA"/>
    <w:rsid w:val="006B5C36"/>
    <w:rsid w:val="006B7B78"/>
    <w:rsid w:val="006C01F5"/>
    <w:rsid w:val="006C0DE9"/>
    <w:rsid w:val="006C277A"/>
    <w:rsid w:val="006C6F3F"/>
    <w:rsid w:val="006C75BD"/>
    <w:rsid w:val="006D0D09"/>
    <w:rsid w:val="006D1133"/>
    <w:rsid w:val="006D25C4"/>
    <w:rsid w:val="006D2E52"/>
    <w:rsid w:val="006D36E1"/>
    <w:rsid w:val="006D3994"/>
    <w:rsid w:val="006D4306"/>
    <w:rsid w:val="006D7EB1"/>
    <w:rsid w:val="006E1957"/>
    <w:rsid w:val="006E1A58"/>
    <w:rsid w:val="006E2245"/>
    <w:rsid w:val="006E3CD1"/>
    <w:rsid w:val="006E45C2"/>
    <w:rsid w:val="006E560C"/>
    <w:rsid w:val="006E5E7C"/>
    <w:rsid w:val="006E5F5B"/>
    <w:rsid w:val="006E7A2B"/>
    <w:rsid w:val="006F081C"/>
    <w:rsid w:val="006F1028"/>
    <w:rsid w:val="006F180D"/>
    <w:rsid w:val="006F1CED"/>
    <w:rsid w:val="006F1DAF"/>
    <w:rsid w:val="006F2557"/>
    <w:rsid w:val="006F2816"/>
    <w:rsid w:val="006F2A9B"/>
    <w:rsid w:val="006F46F9"/>
    <w:rsid w:val="006F4863"/>
    <w:rsid w:val="006F7849"/>
    <w:rsid w:val="006F7D0B"/>
    <w:rsid w:val="00700B10"/>
    <w:rsid w:val="00701BA8"/>
    <w:rsid w:val="00703C5E"/>
    <w:rsid w:val="00704417"/>
    <w:rsid w:val="0070534B"/>
    <w:rsid w:val="0070694A"/>
    <w:rsid w:val="00710DEB"/>
    <w:rsid w:val="00712155"/>
    <w:rsid w:val="007126C4"/>
    <w:rsid w:val="00712BDB"/>
    <w:rsid w:val="00715F37"/>
    <w:rsid w:val="00716FBE"/>
    <w:rsid w:val="00720923"/>
    <w:rsid w:val="00720BE4"/>
    <w:rsid w:val="00720C26"/>
    <w:rsid w:val="00721EBC"/>
    <w:rsid w:val="00721F9E"/>
    <w:rsid w:val="00722A09"/>
    <w:rsid w:val="007239D5"/>
    <w:rsid w:val="00727947"/>
    <w:rsid w:val="00730402"/>
    <w:rsid w:val="007304B6"/>
    <w:rsid w:val="0073153A"/>
    <w:rsid w:val="00732078"/>
    <w:rsid w:val="00732E77"/>
    <w:rsid w:val="007333D0"/>
    <w:rsid w:val="00733931"/>
    <w:rsid w:val="00733F58"/>
    <w:rsid w:val="00735699"/>
    <w:rsid w:val="007363E7"/>
    <w:rsid w:val="00737E1F"/>
    <w:rsid w:val="00741D54"/>
    <w:rsid w:val="007424A4"/>
    <w:rsid w:val="00742B37"/>
    <w:rsid w:val="0074421A"/>
    <w:rsid w:val="00746382"/>
    <w:rsid w:val="007507C1"/>
    <w:rsid w:val="00753764"/>
    <w:rsid w:val="00753825"/>
    <w:rsid w:val="00753BD8"/>
    <w:rsid w:val="00753E1A"/>
    <w:rsid w:val="00753EAB"/>
    <w:rsid w:val="00754479"/>
    <w:rsid w:val="007558FF"/>
    <w:rsid w:val="00755E3D"/>
    <w:rsid w:val="007566FF"/>
    <w:rsid w:val="00756DE0"/>
    <w:rsid w:val="00757AB7"/>
    <w:rsid w:val="00760678"/>
    <w:rsid w:val="0076095D"/>
    <w:rsid w:val="007620E8"/>
    <w:rsid w:val="007658C4"/>
    <w:rsid w:val="00766747"/>
    <w:rsid w:val="00766B00"/>
    <w:rsid w:val="00770618"/>
    <w:rsid w:val="007745DA"/>
    <w:rsid w:val="00774A07"/>
    <w:rsid w:val="0077607A"/>
    <w:rsid w:val="00776DD2"/>
    <w:rsid w:val="00776FB2"/>
    <w:rsid w:val="00777451"/>
    <w:rsid w:val="00777468"/>
    <w:rsid w:val="007778C1"/>
    <w:rsid w:val="0078008E"/>
    <w:rsid w:val="00780879"/>
    <w:rsid w:val="00782B7B"/>
    <w:rsid w:val="00784701"/>
    <w:rsid w:val="00784EB3"/>
    <w:rsid w:val="00786769"/>
    <w:rsid w:val="007928FA"/>
    <w:rsid w:val="00792960"/>
    <w:rsid w:val="007933E7"/>
    <w:rsid w:val="007936CE"/>
    <w:rsid w:val="00794808"/>
    <w:rsid w:val="00796263"/>
    <w:rsid w:val="00797859"/>
    <w:rsid w:val="00797C04"/>
    <w:rsid w:val="00797CB5"/>
    <w:rsid w:val="00797F43"/>
    <w:rsid w:val="007A02E9"/>
    <w:rsid w:val="007A0932"/>
    <w:rsid w:val="007A362B"/>
    <w:rsid w:val="007A3F12"/>
    <w:rsid w:val="007A4321"/>
    <w:rsid w:val="007A4854"/>
    <w:rsid w:val="007A5DCA"/>
    <w:rsid w:val="007A5FE7"/>
    <w:rsid w:val="007A70BF"/>
    <w:rsid w:val="007A7245"/>
    <w:rsid w:val="007A7640"/>
    <w:rsid w:val="007B130D"/>
    <w:rsid w:val="007B1880"/>
    <w:rsid w:val="007B29B8"/>
    <w:rsid w:val="007B327B"/>
    <w:rsid w:val="007B371D"/>
    <w:rsid w:val="007B5793"/>
    <w:rsid w:val="007B736E"/>
    <w:rsid w:val="007B75AD"/>
    <w:rsid w:val="007C03D9"/>
    <w:rsid w:val="007C048A"/>
    <w:rsid w:val="007C0CE5"/>
    <w:rsid w:val="007C11CD"/>
    <w:rsid w:val="007C141A"/>
    <w:rsid w:val="007C1B12"/>
    <w:rsid w:val="007C1B32"/>
    <w:rsid w:val="007C2309"/>
    <w:rsid w:val="007C2503"/>
    <w:rsid w:val="007C2551"/>
    <w:rsid w:val="007C25C9"/>
    <w:rsid w:val="007C26F8"/>
    <w:rsid w:val="007C4266"/>
    <w:rsid w:val="007C4ACD"/>
    <w:rsid w:val="007C4E0D"/>
    <w:rsid w:val="007C5A09"/>
    <w:rsid w:val="007C72E8"/>
    <w:rsid w:val="007C7863"/>
    <w:rsid w:val="007C7CAA"/>
    <w:rsid w:val="007D0D85"/>
    <w:rsid w:val="007D12DB"/>
    <w:rsid w:val="007D1FDC"/>
    <w:rsid w:val="007D2DF9"/>
    <w:rsid w:val="007D3BB0"/>
    <w:rsid w:val="007D3CC6"/>
    <w:rsid w:val="007D49C8"/>
    <w:rsid w:val="007D4D43"/>
    <w:rsid w:val="007D51C4"/>
    <w:rsid w:val="007D53A1"/>
    <w:rsid w:val="007D5B57"/>
    <w:rsid w:val="007D6260"/>
    <w:rsid w:val="007D6615"/>
    <w:rsid w:val="007D6C00"/>
    <w:rsid w:val="007E167C"/>
    <w:rsid w:val="007E2395"/>
    <w:rsid w:val="007E2CBC"/>
    <w:rsid w:val="007E30AB"/>
    <w:rsid w:val="007E35FC"/>
    <w:rsid w:val="007E4A3D"/>
    <w:rsid w:val="007E51B1"/>
    <w:rsid w:val="007E5B65"/>
    <w:rsid w:val="007E6FE6"/>
    <w:rsid w:val="007E79B8"/>
    <w:rsid w:val="007F032B"/>
    <w:rsid w:val="007F07CE"/>
    <w:rsid w:val="007F0CAA"/>
    <w:rsid w:val="007F18A9"/>
    <w:rsid w:val="007F1C09"/>
    <w:rsid w:val="007F1C5D"/>
    <w:rsid w:val="007F2382"/>
    <w:rsid w:val="007F3C9E"/>
    <w:rsid w:val="007F5254"/>
    <w:rsid w:val="007F58B9"/>
    <w:rsid w:val="007F6722"/>
    <w:rsid w:val="007F7404"/>
    <w:rsid w:val="008001A5"/>
    <w:rsid w:val="008022B7"/>
    <w:rsid w:val="008030D0"/>
    <w:rsid w:val="00803815"/>
    <w:rsid w:val="00803F5C"/>
    <w:rsid w:val="008043B5"/>
    <w:rsid w:val="008045BE"/>
    <w:rsid w:val="00804E87"/>
    <w:rsid w:val="00804EBA"/>
    <w:rsid w:val="00805212"/>
    <w:rsid w:val="0080642E"/>
    <w:rsid w:val="008069B4"/>
    <w:rsid w:val="00807855"/>
    <w:rsid w:val="00807D6E"/>
    <w:rsid w:val="0081123D"/>
    <w:rsid w:val="00813D12"/>
    <w:rsid w:val="0081491E"/>
    <w:rsid w:val="00814EFC"/>
    <w:rsid w:val="0081664C"/>
    <w:rsid w:val="008167BD"/>
    <w:rsid w:val="00816C9D"/>
    <w:rsid w:val="008170D7"/>
    <w:rsid w:val="0081717D"/>
    <w:rsid w:val="008179A0"/>
    <w:rsid w:val="00817BD0"/>
    <w:rsid w:val="008200BF"/>
    <w:rsid w:val="008203D4"/>
    <w:rsid w:val="00821D6B"/>
    <w:rsid w:val="008224AF"/>
    <w:rsid w:val="00822ACB"/>
    <w:rsid w:val="008243B1"/>
    <w:rsid w:val="00824829"/>
    <w:rsid w:val="008253CE"/>
    <w:rsid w:val="00825BC2"/>
    <w:rsid w:val="00826265"/>
    <w:rsid w:val="00826BA2"/>
    <w:rsid w:val="00827C38"/>
    <w:rsid w:val="00832126"/>
    <w:rsid w:val="00834D14"/>
    <w:rsid w:val="008350C0"/>
    <w:rsid w:val="0083642A"/>
    <w:rsid w:val="00842786"/>
    <w:rsid w:val="00842F40"/>
    <w:rsid w:val="00843F1B"/>
    <w:rsid w:val="0084426B"/>
    <w:rsid w:val="008453FB"/>
    <w:rsid w:val="008455D8"/>
    <w:rsid w:val="008459C8"/>
    <w:rsid w:val="00846F77"/>
    <w:rsid w:val="00847041"/>
    <w:rsid w:val="00847C45"/>
    <w:rsid w:val="00847DFE"/>
    <w:rsid w:val="0085115D"/>
    <w:rsid w:val="00852503"/>
    <w:rsid w:val="00853424"/>
    <w:rsid w:val="0085483C"/>
    <w:rsid w:val="00855384"/>
    <w:rsid w:val="00855468"/>
    <w:rsid w:val="008554D4"/>
    <w:rsid w:val="0085580A"/>
    <w:rsid w:val="00855827"/>
    <w:rsid w:val="00856401"/>
    <w:rsid w:val="008566CD"/>
    <w:rsid w:val="00856B6D"/>
    <w:rsid w:val="00856D7B"/>
    <w:rsid w:val="00856F2D"/>
    <w:rsid w:val="00857CF0"/>
    <w:rsid w:val="00861784"/>
    <w:rsid w:val="008628A8"/>
    <w:rsid w:val="00862F76"/>
    <w:rsid w:val="00862FA7"/>
    <w:rsid w:val="00865085"/>
    <w:rsid w:val="0086546C"/>
    <w:rsid w:val="00865B04"/>
    <w:rsid w:val="00870829"/>
    <w:rsid w:val="00872252"/>
    <w:rsid w:val="00873B1A"/>
    <w:rsid w:val="00874519"/>
    <w:rsid w:val="008747CE"/>
    <w:rsid w:val="008756D0"/>
    <w:rsid w:val="0087640C"/>
    <w:rsid w:val="00877B73"/>
    <w:rsid w:val="00880F66"/>
    <w:rsid w:val="00881C3F"/>
    <w:rsid w:val="00881D58"/>
    <w:rsid w:val="00882452"/>
    <w:rsid w:val="0088246A"/>
    <w:rsid w:val="00883AF2"/>
    <w:rsid w:val="0088413D"/>
    <w:rsid w:val="00884D44"/>
    <w:rsid w:val="0088666A"/>
    <w:rsid w:val="008910FC"/>
    <w:rsid w:val="00891A6B"/>
    <w:rsid w:val="00893011"/>
    <w:rsid w:val="0089362E"/>
    <w:rsid w:val="0089411C"/>
    <w:rsid w:val="00894CB7"/>
    <w:rsid w:val="0089550B"/>
    <w:rsid w:val="008959FA"/>
    <w:rsid w:val="00895FA3"/>
    <w:rsid w:val="00896AC5"/>
    <w:rsid w:val="00897538"/>
    <w:rsid w:val="00897591"/>
    <w:rsid w:val="00897C2A"/>
    <w:rsid w:val="008A0CD1"/>
    <w:rsid w:val="008A2E58"/>
    <w:rsid w:val="008A304B"/>
    <w:rsid w:val="008A3988"/>
    <w:rsid w:val="008A622D"/>
    <w:rsid w:val="008A6EA8"/>
    <w:rsid w:val="008B0D53"/>
    <w:rsid w:val="008B15DB"/>
    <w:rsid w:val="008B1B63"/>
    <w:rsid w:val="008B1D2F"/>
    <w:rsid w:val="008B20F1"/>
    <w:rsid w:val="008B2124"/>
    <w:rsid w:val="008B250A"/>
    <w:rsid w:val="008B2747"/>
    <w:rsid w:val="008B31DB"/>
    <w:rsid w:val="008B402A"/>
    <w:rsid w:val="008B42E4"/>
    <w:rsid w:val="008B4BA8"/>
    <w:rsid w:val="008B5438"/>
    <w:rsid w:val="008C022A"/>
    <w:rsid w:val="008C0254"/>
    <w:rsid w:val="008C0950"/>
    <w:rsid w:val="008C0C09"/>
    <w:rsid w:val="008C19EB"/>
    <w:rsid w:val="008C2312"/>
    <w:rsid w:val="008C270D"/>
    <w:rsid w:val="008C308F"/>
    <w:rsid w:val="008C33FD"/>
    <w:rsid w:val="008C4C88"/>
    <w:rsid w:val="008C4FBB"/>
    <w:rsid w:val="008C599F"/>
    <w:rsid w:val="008C6B9F"/>
    <w:rsid w:val="008D14EE"/>
    <w:rsid w:val="008D1590"/>
    <w:rsid w:val="008D1622"/>
    <w:rsid w:val="008D1B1D"/>
    <w:rsid w:val="008D4DFA"/>
    <w:rsid w:val="008D4E9E"/>
    <w:rsid w:val="008E04C0"/>
    <w:rsid w:val="008E0A3A"/>
    <w:rsid w:val="008E193D"/>
    <w:rsid w:val="008E26C4"/>
    <w:rsid w:val="008E2E54"/>
    <w:rsid w:val="008E3D9D"/>
    <w:rsid w:val="008E3F79"/>
    <w:rsid w:val="008E434C"/>
    <w:rsid w:val="008E76E9"/>
    <w:rsid w:val="008F010F"/>
    <w:rsid w:val="008F1389"/>
    <w:rsid w:val="008F2811"/>
    <w:rsid w:val="008F3635"/>
    <w:rsid w:val="008F4957"/>
    <w:rsid w:val="008F5033"/>
    <w:rsid w:val="008F5C39"/>
    <w:rsid w:val="008F6910"/>
    <w:rsid w:val="0090002A"/>
    <w:rsid w:val="009006FB"/>
    <w:rsid w:val="0090072A"/>
    <w:rsid w:val="00901E72"/>
    <w:rsid w:val="00904141"/>
    <w:rsid w:val="00904158"/>
    <w:rsid w:val="00904188"/>
    <w:rsid w:val="00904A81"/>
    <w:rsid w:val="0090642A"/>
    <w:rsid w:val="00906B52"/>
    <w:rsid w:val="00906DBA"/>
    <w:rsid w:val="00907E23"/>
    <w:rsid w:val="009100CE"/>
    <w:rsid w:val="009112ED"/>
    <w:rsid w:val="00912212"/>
    <w:rsid w:val="009127B4"/>
    <w:rsid w:val="00913150"/>
    <w:rsid w:val="00913BFE"/>
    <w:rsid w:val="00913E73"/>
    <w:rsid w:val="00917723"/>
    <w:rsid w:val="00920694"/>
    <w:rsid w:val="0092076E"/>
    <w:rsid w:val="0092086D"/>
    <w:rsid w:val="00920D17"/>
    <w:rsid w:val="00921326"/>
    <w:rsid w:val="00921759"/>
    <w:rsid w:val="009217CC"/>
    <w:rsid w:val="00921B39"/>
    <w:rsid w:val="009224CE"/>
    <w:rsid w:val="00925869"/>
    <w:rsid w:val="00925AFE"/>
    <w:rsid w:val="00926290"/>
    <w:rsid w:val="00927F1F"/>
    <w:rsid w:val="009329EA"/>
    <w:rsid w:val="00932AAF"/>
    <w:rsid w:val="0093442A"/>
    <w:rsid w:val="00936CD4"/>
    <w:rsid w:val="00937835"/>
    <w:rsid w:val="0094048E"/>
    <w:rsid w:val="0094058C"/>
    <w:rsid w:val="00941674"/>
    <w:rsid w:val="00942647"/>
    <w:rsid w:val="00943012"/>
    <w:rsid w:val="009449B7"/>
    <w:rsid w:val="009451E2"/>
    <w:rsid w:val="0094611B"/>
    <w:rsid w:val="00946588"/>
    <w:rsid w:val="00946891"/>
    <w:rsid w:val="009472B5"/>
    <w:rsid w:val="009479D0"/>
    <w:rsid w:val="00954CE1"/>
    <w:rsid w:val="0095525F"/>
    <w:rsid w:val="009555B1"/>
    <w:rsid w:val="009556EB"/>
    <w:rsid w:val="00956907"/>
    <w:rsid w:val="00956D0D"/>
    <w:rsid w:val="00957048"/>
    <w:rsid w:val="00957FA4"/>
    <w:rsid w:val="00960288"/>
    <w:rsid w:val="00960D8D"/>
    <w:rsid w:val="00960FE5"/>
    <w:rsid w:val="009611E6"/>
    <w:rsid w:val="009624ED"/>
    <w:rsid w:val="00964270"/>
    <w:rsid w:val="00964B7E"/>
    <w:rsid w:val="00965841"/>
    <w:rsid w:val="00965F08"/>
    <w:rsid w:val="00966146"/>
    <w:rsid w:val="00966656"/>
    <w:rsid w:val="00967852"/>
    <w:rsid w:val="00971B8D"/>
    <w:rsid w:val="00973EAA"/>
    <w:rsid w:val="00974F78"/>
    <w:rsid w:val="00975877"/>
    <w:rsid w:val="00975C64"/>
    <w:rsid w:val="00975E5B"/>
    <w:rsid w:val="0098033A"/>
    <w:rsid w:val="00980A2F"/>
    <w:rsid w:val="00980B3E"/>
    <w:rsid w:val="00983DBE"/>
    <w:rsid w:val="00984846"/>
    <w:rsid w:val="00984DCA"/>
    <w:rsid w:val="009859E7"/>
    <w:rsid w:val="00990711"/>
    <w:rsid w:val="00990A37"/>
    <w:rsid w:val="00990B94"/>
    <w:rsid w:val="009918B1"/>
    <w:rsid w:val="00992ABC"/>
    <w:rsid w:val="00993BB7"/>
    <w:rsid w:val="009946A5"/>
    <w:rsid w:val="00994C26"/>
    <w:rsid w:val="00995D83"/>
    <w:rsid w:val="0099728B"/>
    <w:rsid w:val="0099736E"/>
    <w:rsid w:val="009A012D"/>
    <w:rsid w:val="009A0883"/>
    <w:rsid w:val="009A22AB"/>
    <w:rsid w:val="009A3B45"/>
    <w:rsid w:val="009A70D2"/>
    <w:rsid w:val="009A7756"/>
    <w:rsid w:val="009B0850"/>
    <w:rsid w:val="009B09D2"/>
    <w:rsid w:val="009B1A6D"/>
    <w:rsid w:val="009B1E19"/>
    <w:rsid w:val="009B26F5"/>
    <w:rsid w:val="009B4889"/>
    <w:rsid w:val="009B5D1A"/>
    <w:rsid w:val="009B5DC9"/>
    <w:rsid w:val="009B66EC"/>
    <w:rsid w:val="009B6F67"/>
    <w:rsid w:val="009B7B3C"/>
    <w:rsid w:val="009C05B5"/>
    <w:rsid w:val="009C0B2C"/>
    <w:rsid w:val="009C105E"/>
    <w:rsid w:val="009C11FC"/>
    <w:rsid w:val="009C15CF"/>
    <w:rsid w:val="009C2023"/>
    <w:rsid w:val="009C2082"/>
    <w:rsid w:val="009C308E"/>
    <w:rsid w:val="009C3912"/>
    <w:rsid w:val="009C50C3"/>
    <w:rsid w:val="009C514F"/>
    <w:rsid w:val="009C534E"/>
    <w:rsid w:val="009C55B1"/>
    <w:rsid w:val="009C6B6C"/>
    <w:rsid w:val="009C7575"/>
    <w:rsid w:val="009D0557"/>
    <w:rsid w:val="009D1386"/>
    <w:rsid w:val="009D1873"/>
    <w:rsid w:val="009D3D81"/>
    <w:rsid w:val="009D69CD"/>
    <w:rsid w:val="009D6DCB"/>
    <w:rsid w:val="009D7E32"/>
    <w:rsid w:val="009E17A5"/>
    <w:rsid w:val="009E1EC1"/>
    <w:rsid w:val="009E3847"/>
    <w:rsid w:val="009E5329"/>
    <w:rsid w:val="009E5DB0"/>
    <w:rsid w:val="009E5DB6"/>
    <w:rsid w:val="009E5E13"/>
    <w:rsid w:val="009E60BB"/>
    <w:rsid w:val="009E67C9"/>
    <w:rsid w:val="009E6DD0"/>
    <w:rsid w:val="009E74FF"/>
    <w:rsid w:val="009E7681"/>
    <w:rsid w:val="009F22A6"/>
    <w:rsid w:val="009F28AE"/>
    <w:rsid w:val="009F392E"/>
    <w:rsid w:val="009F4329"/>
    <w:rsid w:val="009F4C81"/>
    <w:rsid w:val="009F5560"/>
    <w:rsid w:val="00A019A9"/>
    <w:rsid w:val="00A01D8A"/>
    <w:rsid w:val="00A025C5"/>
    <w:rsid w:val="00A043DD"/>
    <w:rsid w:val="00A05707"/>
    <w:rsid w:val="00A0602D"/>
    <w:rsid w:val="00A06074"/>
    <w:rsid w:val="00A07775"/>
    <w:rsid w:val="00A07FAD"/>
    <w:rsid w:val="00A114B5"/>
    <w:rsid w:val="00A11A7A"/>
    <w:rsid w:val="00A126A7"/>
    <w:rsid w:val="00A13C05"/>
    <w:rsid w:val="00A13F92"/>
    <w:rsid w:val="00A14FA6"/>
    <w:rsid w:val="00A15343"/>
    <w:rsid w:val="00A1554A"/>
    <w:rsid w:val="00A1585D"/>
    <w:rsid w:val="00A1659D"/>
    <w:rsid w:val="00A17CB4"/>
    <w:rsid w:val="00A21279"/>
    <w:rsid w:val="00A238E8"/>
    <w:rsid w:val="00A257F0"/>
    <w:rsid w:val="00A25F4F"/>
    <w:rsid w:val="00A27565"/>
    <w:rsid w:val="00A2758E"/>
    <w:rsid w:val="00A30208"/>
    <w:rsid w:val="00A30B15"/>
    <w:rsid w:val="00A30FBB"/>
    <w:rsid w:val="00A32256"/>
    <w:rsid w:val="00A32458"/>
    <w:rsid w:val="00A32537"/>
    <w:rsid w:val="00A325A2"/>
    <w:rsid w:val="00A3430A"/>
    <w:rsid w:val="00A361E4"/>
    <w:rsid w:val="00A40B5C"/>
    <w:rsid w:val="00A41371"/>
    <w:rsid w:val="00A4142F"/>
    <w:rsid w:val="00A430FE"/>
    <w:rsid w:val="00A44C35"/>
    <w:rsid w:val="00A45893"/>
    <w:rsid w:val="00A46E01"/>
    <w:rsid w:val="00A5072C"/>
    <w:rsid w:val="00A51A90"/>
    <w:rsid w:val="00A51F61"/>
    <w:rsid w:val="00A52718"/>
    <w:rsid w:val="00A538D4"/>
    <w:rsid w:val="00A53AC6"/>
    <w:rsid w:val="00A53B22"/>
    <w:rsid w:val="00A54D2C"/>
    <w:rsid w:val="00A6063D"/>
    <w:rsid w:val="00A606FD"/>
    <w:rsid w:val="00A6173B"/>
    <w:rsid w:val="00A618D0"/>
    <w:rsid w:val="00A6451C"/>
    <w:rsid w:val="00A651DD"/>
    <w:rsid w:val="00A65848"/>
    <w:rsid w:val="00A702C3"/>
    <w:rsid w:val="00A71A54"/>
    <w:rsid w:val="00A71F17"/>
    <w:rsid w:val="00A73187"/>
    <w:rsid w:val="00A73A9A"/>
    <w:rsid w:val="00A73D2B"/>
    <w:rsid w:val="00A7443B"/>
    <w:rsid w:val="00A753FF"/>
    <w:rsid w:val="00A76816"/>
    <w:rsid w:val="00A771FE"/>
    <w:rsid w:val="00A77399"/>
    <w:rsid w:val="00A774A6"/>
    <w:rsid w:val="00A800EE"/>
    <w:rsid w:val="00A80BE1"/>
    <w:rsid w:val="00A80C42"/>
    <w:rsid w:val="00A83368"/>
    <w:rsid w:val="00A83989"/>
    <w:rsid w:val="00A846C9"/>
    <w:rsid w:val="00A85086"/>
    <w:rsid w:val="00A85A2D"/>
    <w:rsid w:val="00A85AE2"/>
    <w:rsid w:val="00A863B5"/>
    <w:rsid w:val="00A86DD2"/>
    <w:rsid w:val="00A87F7D"/>
    <w:rsid w:val="00A90A81"/>
    <w:rsid w:val="00A91502"/>
    <w:rsid w:val="00A91B16"/>
    <w:rsid w:val="00A930EB"/>
    <w:rsid w:val="00A94034"/>
    <w:rsid w:val="00A95D29"/>
    <w:rsid w:val="00AA0838"/>
    <w:rsid w:val="00AA2E76"/>
    <w:rsid w:val="00AA33DD"/>
    <w:rsid w:val="00AA3763"/>
    <w:rsid w:val="00AA4794"/>
    <w:rsid w:val="00AA61E7"/>
    <w:rsid w:val="00AA6728"/>
    <w:rsid w:val="00AA6C34"/>
    <w:rsid w:val="00AB1397"/>
    <w:rsid w:val="00AB319F"/>
    <w:rsid w:val="00AB330F"/>
    <w:rsid w:val="00AB46CF"/>
    <w:rsid w:val="00AB47B2"/>
    <w:rsid w:val="00AB5AC8"/>
    <w:rsid w:val="00AB76CB"/>
    <w:rsid w:val="00AB7872"/>
    <w:rsid w:val="00AB7A14"/>
    <w:rsid w:val="00AB7B02"/>
    <w:rsid w:val="00AC09C2"/>
    <w:rsid w:val="00AC33CD"/>
    <w:rsid w:val="00AC6358"/>
    <w:rsid w:val="00AC6784"/>
    <w:rsid w:val="00AC7714"/>
    <w:rsid w:val="00AC7FA0"/>
    <w:rsid w:val="00AD0258"/>
    <w:rsid w:val="00AD1513"/>
    <w:rsid w:val="00AD1734"/>
    <w:rsid w:val="00AD17D3"/>
    <w:rsid w:val="00AD1E4E"/>
    <w:rsid w:val="00AD3758"/>
    <w:rsid w:val="00AD3EA2"/>
    <w:rsid w:val="00AD44D9"/>
    <w:rsid w:val="00AD4AE6"/>
    <w:rsid w:val="00AD4E86"/>
    <w:rsid w:val="00AD62A9"/>
    <w:rsid w:val="00AD6930"/>
    <w:rsid w:val="00AD6EEA"/>
    <w:rsid w:val="00AD74D9"/>
    <w:rsid w:val="00AE0746"/>
    <w:rsid w:val="00AE2105"/>
    <w:rsid w:val="00AE39A9"/>
    <w:rsid w:val="00AE5EBA"/>
    <w:rsid w:val="00AE6725"/>
    <w:rsid w:val="00AE6D13"/>
    <w:rsid w:val="00AE7775"/>
    <w:rsid w:val="00AF00BA"/>
    <w:rsid w:val="00AF0F2F"/>
    <w:rsid w:val="00AF135B"/>
    <w:rsid w:val="00AF18C1"/>
    <w:rsid w:val="00AF1E7F"/>
    <w:rsid w:val="00AF1EAE"/>
    <w:rsid w:val="00AF23D2"/>
    <w:rsid w:val="00AF2A1A"/>
    <w:rsid w:val="00AF30CC"/>
    <w:rsid w:val="00AF35FA"/>
    <w:rsid w:val="00AF48BB"/>
    <w:rsid w:val="00AF584A"/>
    <w:rsid w:val="00AF5EB0"/>
    <w:rsid w:val="00AF79C1"/>
    <w:rsid w:val="00B009C4"/>
    <w:rsid w:val="00B00BC6"/>
    <w:rsid w:val="00B02178"/>
    <w:rsid w:val="00B02F27"/>
    <w:rsid w:val="00B030FF"/>
    <w:rsid w:val="00B03489"/>
    <w:rsid w:val="00B04073"/>
    <w:rsid w:val="00B04786"/>
    <w:rsid w:val="00B05B1B"/>
    <w:rsid w:val="00B11082"/>
    <w:rsid w:val="00B12E72"/>
    <w:rsid w:val="00B130F8"/>
    <w:rsid w:val="00B155B9"/>
    <w:rsid w:val="00B15AB1"/>
    <w:rsid w:val="00B1649A"/>
    <w:rsid w:val="00B16BB4"/>
    <w:rsid w:val="00B17B3C"/>
    <w:rsid w:val="00B20598"/>
    <w:rsid w:val="00B213DA"/>
    <w:rsid w:val="00B21A96"/>
    <w:rsid w:val="00B227D7"/>
    <w:rsid w:val="00B23C5D"/>
    <w:rsid w:val="00B2453C"/>
    <w:rsid w:val="00B24F40"/>
    <w:rsid w:val="00B26C70"/>
    <w:rsid w:val="00B2794D"/>
    <w:rsid w:val="00B30208"/>
    <w:rsid w:val="00B303BC"/>
    <w:rsid w:val="00B306FA"/>
    <w:rsid w:val="00B30CA5"/>
    <w:rsid w:val="00B30EDF"/>
    <w:rsid w:val="00B327E7"/>
    <w:rsid w:val="00B33CB3"/>
    <w:rsid w:val="00B34EC1"/>
    <w:rsid w:val="00B35A7D"/>
    <w:rsid w:val="00B35F82"/>
    <w:rsid w:val="00B36B1F"/>
    <w:rsid w:val="00B371BD"/>
    <w:rsid w:val="00B404F1"/>
    <w:rsid w:val="00B404FA"/>
    <w:rsid w:val="00B41DC2"/>
    <w:rsid w:val="00B42283"/>
    <w:rsid w:val="00B43586"/>
    <w:rsid w:val="00B44270"/>
    <w:rsid w:val="00B445F2"/>
    <w:rsid w:val="00B44E13"/>
    <w:rsid w:val="00B463E7"/>
    <w:rsid w:val="00B47461"/>
    <w:rsid w:val="00B5234E"/>
    <w:rsid w:val="00B5250F"/>
    <w:rsid w:val="00B525CD"/>
    <w:rsid w:val="00B5298F"/>
    <w:rsid w:val="00B52A45"/>
    <w:rsid w:val="00B53763"/>
    <w:rsid w:val="00B55314"/>
    <w:rsid w:val="00B55D2C"/>
    <w:rsid w:val="00B55EA8"/>
    <w:rsid w:val="00B55EAB"/>
    <w:rsid w:val="00B61221"/>
    <w:rsid w:val="00B62009"/>
    <w:rsid w:val="00B624FC"/>
    <w:rsid w:val="00B62BAE"/>
    <w:rsid w:val="00B6378C"/>
    <w:rsid w:val="00B63822"/>
    <w:rsid w:val="00B64051"/>
    <w:rsid w:val="00B65EB2"/>
    <w:rsid w:val="00B67D03"/>
    <w:rsid w:val="00B707D2"/>
    <w:rsid w:val="00B712B7"/>
    <w:rsid w:val="00B741C3"/>
    <w:rsid w:val="00B74A29"/>
    <w:rsid w:val="00B75889"/>
    <w:rsid w:val="00B75C16"/>
    <w:rsid w:val="00B76536"/>
    <w:rsid w:val="00B77539"/>
    <w:rsid w:val="00B77E27"/>
    <w:rsid w:val="00B81594"/>
    <w:rsid w:val="00B8197B"/>
    <w:rsid w:val="00B81E30"/>
    <w:rsid w:val="00B846DF"/>
    <w:rsid w:val="00B87B48"/>
    <w:rsid w:val="00B9046B"/>
    <w:rsid w:val="00B95E74"/>
    <w:rsid w:val="00B97155"/>
    <w:rsid w:val="00B97615"/>
    <w:rsid w:val="00BA26D3"/>
    <w:rsid w:val="00BA2F78"/>
    <w:rsid w:val="00BA4449"/>
    <w:rsid w:val="00BA50B2"/>
    <w:rsid w:val="00BA5168"/>
    <w:rsid w:val="00BA68CA"/>
    <w:rsid w:val="00BB0A21"/>
    <w:rsid w:val="00BB0E7D"/>
    <w:rsid w:val="00BB144F"/>
    <w:rsid w:val="00BB2006"/>
    <w:rsid w:val="00BB262A"/>
    <w:rsid w:val="00BB2924"/>
    <w:rsid w:val="00BB2AA0"/>
    <w:rsid w:val="00BB44CE"/>
    <w:rsid w:val="00BB47D8"/>
    <w:rsid w:val="00BB5CD9"/>
    <w:rsid w:val="00BB7B3F"/>
    <w:rsid w:val="00BC21E5"/>
    <w:rsid w:val="00BC39EC"/>
    <w:rsid w:val="00BC52E9"/>
    <w:rsid w:val="00BC56D7"/>
    <w:rsid w:val="00BC61FE"/>
    <w:rsid w:val="00BC6729"/>
    <w:rsid w:val="00BD23C6"/>
    <w:rsid w:val="00BD3344"/>
    <w:rsid w:val="00BD43EA"/>
    <w:rsid w:val="00BD4EF7"/>
    <w:rsid w:val="00BD5B2A"/>
    <w:rsid w:val="00BD76BA"/>
    <w:rsid w:val="00BD7E84"/>
    <w:rsid w:val="00BE101E"/>
    <w:rsid w:val="00BE1314"/>
    <w:rsid w:val="00BE136A"/>
    <w:rsid w:val="00BE3DC4"/>
    <w:rsid w:val="00BE5400"/>
    <w:rsid w:val="00BE5655"/>
    <w:rsid w:val="00BE5E99"/>
    <w:rsid w:val="00BF088C"/>
    <w:rsid w:val="00BF1069"/>
    <w:rsid w:val="00BF1B8C"/>
    <w:rsid w:val="00BF22C1"/>
    <w:rsid w:val="00BF25CE"/>
    <w:rsid w:val="00BF3C5A"/>
    <w:rsid w:val="00BF464D"/>
    <w:rsid w:val="00C00CCF"/>
    <w:rsid w:val="00C04DB5"/>
    <w:rsid w:val="00C05B9C"/>
    <w:rsid w:val="00C05E26"/>
    <w:rsid w:val="00C0652A"/>
    <w:rsid w:val="00C069F4"/>
    <w:rsid w:val="00C07D2C"/>
    <w:rsid w:val="00C07E76"/>
    <w:rsid w:val="00C100A9"/>
    <w:rsid w:val="00C12802"/>
    <w:rsid w:val="00C1417A"/>
    <w:rsid w:val="00C1601F"/>
    <w:rsid w:val="00C16F3F"/>
    <w:rsid w:val="00C17BA7"/>
    <w:rsid w:val="00C20179"/>
    <w:rsid w:val="00C2033F"/>
    <w:rsid w:val="00C2095E"/>
    <w:rsid w:val="00C210AE"/>
    <w:rsid w:val="00C21262"/>
    <w:rsid w:val="00C222F1"/>
    <w:rsid w:val="00C23033"/>
    <w:rsid w:val="00C23FE7"/>
    <w:rsid w:val="00C248F8"/>
    <w:rsid w:val="00C259C1"/>
    <w:rsid w:val="00C25C55"/>
    <w:rsid w:val="00C308F8"/>
    <w:rsid w:val="00C3136D"/>
    <w:rsid w:val="00C316CF"/>
    <w:rsid w:val="00C31A0E"/>
    <w:rsid w:val="00C31CEA"/>
    <w:rsid w:val="00C32F68"/>
    <w:rsid w:val="00C32FE2"/>
    <w:rsid w:val="00C33D4D"/>
    <w:rsid w:val="00C33F87"/>
    <w:rsid w:val="00C340CF"/>
    <w:rsid w:val="00C35417"/>
    <w:rsid w:val="00C35587"/>
    <w:rsid w:val="00C35EBA"/>
    <w:rsid w:val="00C40679"/>
    <w:rsid w:val="00C40CA1"/>
    <w:rsid w:val="00C4430A"/>
    <w:rsid w:val="00C44941"/>
    <w:rsid w:val="00C45BAF"/>
    <w:rsid w:val="00C45D82"/>
    <w:rsid w:val="00C466FA"/>
    <w:rsid w:val="00C46B10"/>
    <w:rsid w:val="00C505AD"/>
    <w:rsid w:val="00C50DB2"/>
    <w:rsid w:val="00C50E65"/>
    <w:rsid w:val="00C5131A"/>
    <w:rsid w:val="00C51CC0"/>
    <w:rsid w:val="00C53CC6"/>
    <w:rsid w:val="00C546C9"/>
    <w:rsid w:val="00C55752"/>
    <w:rsid w:val="00C55969"/>
    <w:rsid w:val="00C56EE0"/>
    <w:rsid w:val="00C609F4"/>
    <w:rsid w:val="00C60E65"/>
    <w:rsid w:val="00C61651"/>
    <w:rsid w:val="00C61B1B"/>
    <w:rsid w:val="00C61B6B"/>
    <w:rsid w:val="00C61C44"/>
    <w:rsid w:val="00C61EF3"/>
    <w:rsid w:val="00C635C8"/>
    <w:rsid w:val="00C66645"/>
    <w:rsid w:val="00C67A12"/>
    <w:rsid w:val="00C7006C"/>
    <w:rsid w:val="00C736F2"/>
    <w:rsid w:val="00C73B5E"/>
    <w:rsid w:val="00C7553D"/>
    <w:rsid w:val="00C76E09"/>
    <w:rsid w:val="00C778D9"/>
    <w:rsid w:val="00C80F39"/>
    <w:rsid w:val="00C8257A"/>
    <w:rsid w:val="00C82FF1"/>
    <w:rsid w:val="00C83B07"/>
    <w:rsid w:val="00C83FC6"/>
    <w:rsid w:val="00C85109"/>
    <w:rsid w:val="00C85E14"/>
    <w:rsid w:val="00C86A26"/>
    <w:rsid w:val="00C87A9B"/>
    <w:rsid w:val="00C87B89"/>
    <w:rsid w:val="00C90D01"/>
    <w:rsid w:val="00C91862"/>
    <w:rsid w:val="00C92AAA"/>
    <w:rsid w:val="00C954F4"/>
    <w:rsid w:val="00C95739"/>
    <w:rsid w:val="00C96342"/>
    <w:rsid w:val="00C96D47"/>
    <w:rsid w:val="00CA0122"/>
    <w:rsid w:val="00CA4A8E"/>
    <w:rsid w:val="00CA5178"/>
    <w:rsid w:val="00CA6035"/>
    <w:rsid w:val="00CA6CAF"/>
    <w:rsid w:val="00CA7C5D"/>
    <w:rsid w:val="00CB0ED7"/>
    <w:rsid w:val="00CB158D"/>
    <w:rsid w:val="00CB164F"/>
    <w:rsid w:val="00CB16F7"/>
    <w:rsid w:val="00CB179E"/>
    <w:rsid w:val="00CB1C60"/>
    <w:rsid w:val="00CB2BB0"/>
    <w:rsid w:val="00CB313C"/>
    <w:rsid w:val="00CB35EA"/>
    <w:rsid w:val="00CB43C4"/>
    <w:rsid w:val="00CB46D4"/>
    <w:rsid w:val="00CB549F"/>
    <w:rsid w:val="00CB59D0"/>
    <w:rsid w:val="00CB5E66"/>
    <w:rsid w:val="00CB62DD"/>
    <w:rsid w:val="00CB65A8"/>
    <w:rsid w:val="00CB6A23"/>
    <w:rsid w:val="00CB723D"/>
    <w:rsid w:val="00CB733D"/>
    <w:rsid w:val="00CB7781"/>
    <w:rsid w:val="00CB7F23"/>
    <w:rsid w:val="00CC1035"/>
    <w:rsid w:val="00CC105F"/>
    <w:rsid w:val="00CC1994"/>
    <w:rsid w:val="00CC2B4C"/>
    <w:rsid w:val="00CC4845"/>
    <w:rsid w:val="00CC713A"/>
    <w:rsid w:val="00CD270E"/>
    <w:rsid w:val="00CD49B7"/>
    <w:rsid w:val="00CD762D"/>
    <w:rsid w:val="00CE0865"/>
    <w:rsid w:val="00CE0975"/>
    <w:rsid w:val="00CE31FF"/>
    <w:rsid w:val="00CE4426"/>
    <w:rsid w:val="00CE4D1B"/>
    <w:rsid w:val="00CE4EDC"/>
    <w:rsid w:val="00CE5A45"/>
    <w:rsid w:val="00CE79F5"/>
    <w:rsid w:val="00CF1B7D"/>
    <w:rsid w:val="00CF1C79"/>
    <w:rsid w:val="00CF2D3D"/>
    <w:rsid w:val="00CF3443"/>
    <w:rsid w:val="00CF60EB"/>
    <w:rsid w:val="00D00373"/>
    <w:rsid w:val="00D007D4"/>
    <w:rsid w:val="00D00804"/>
    <w:rsid w:val="00D0145F"/>
    <w:rsid w:val="00D01787"/>
    <w:rsid w:val="00D018C5"/>
    <w:rsid w:val="00D01C23"/>
    <w:rsid w:val="00D01F1B"/>
    <w:rsid w:val="00D034CA"/>
    <w:rsid w:val="00D03AD7"/>
    <w:rsid w:val="00D04135"/>
    <w:rsid w:val="00D06B65"/>
    <w:rsid w:val="00D078C8"/>
    <w:rsid w:val="00D11BE7"/>
    <w:rsid w:val="00D11E7B"/>
    <w:rsid w:val="00D13E7C"/>
    <w:rsid w:val="00D148A3"/>
    <w:rsid w:val="00D14CA5"/>
    <w:rsid w:val="00D17973"/>
    <w:rsid w:val="00D20238"/>
    <w:rsid w:val="00D2055B"/>
    <w:rsid w:val="00D207AB"/>
    <w:rsid w:val="00D216B8"/>
    <w:rsid w:val="00D23145"/>
    <w:rsid w:val="00D23DE1"/>
    <w:rsid w:val="00D24EB1"/>
    <w:rsid w:val="00D26019"/>
    <w:rsid w:val="00D267FD"/>
    <w:rsid w:val="00D27785"/>
    <w:rsid w:val="00D27882"/>
    <w:rsid w:val="00D302E4"/>
    <w:rsid w:val="00D33654"/>
    <w:rsid w:val="00D33693"/>
    <w:rsid w:val="00D3453D"/>
    <w:rsid w:val="00D40B33"/>
    <w:rsid w:val="00D4152B"/>
    <w:rsid w:val="00D418BE"/>
    <w:rsid w:val="00D42436"/>
    <w:rsid w:val="00D428E0"/>
    <w:rsid w:val="00D45597"/>
    <w:rsid w:val="00D46099"/>
    <w:rsid w:val="00D4631D"/>
    <w:rsid w:val="00D47777"/>
    <w:rsid w:val="00D50661"/>
    <w:rsid w:val="00D50C9D"/>
    <w:rsid w:val="00D51B33"/>
    <w:rsid w:val="00D52616"/>
    <w:rsid w:val="00D535A5"/>
    <w:rsid w:val="00D543E5"/>
    <w:rsid w:val="00D556A3"/>
    <w:rsid w:val="00D55BFD"/>
    <w:rsid w:val="00D56385"/>
    <w:rsid w:val="00D56B0C"/>
    <w:rsid w:val="00D56F0F"/>
    <w:rsid w:val="00D57867"/>
    <w:rsid w:val="00D61A18"/>
    <w:rsid w:val="00D62B00"/>
    <w:rsid w:val="00D63835"/>
    <w:rsid w:val="00D652B8"/>
    <w:rsid w:val="00D65DBE"/>
    <w:rsid w:val="00D65EC9"/>
    <w:rsid w:val="00D664D2"/>
    <w:rsid w:val="00D6664F"/>
    <w:rsid w:val="00D67F50"/>
    <w:rsid w:val="00D71D23"/>
    <w:rsid w:val="00D7272E"/>
    <w:rsid w:val="00D7331C"/>
    <w:rsid w:val="00D73DFD"/>
    <w:rsid w:val="00D758E6"/>
    <w:rsid w:val="00D77B56"/>
    <w:rsid w:val="00D82BF1"/>
    <w:rsid w:val="00D8391F"/>
    <w:rsid w:val="00D83AA5"/>
    <w:rsid w:val="00D85550"/>
    <w:rsid w:val="00D8588B"/>
    <w:rsid w:val="00D90297"/>
    <w:rsid w:val="00D91B97"/>
    <w:rsid w:val="00D92E20"/>
    <w:rsid w:val="00D9420C"/>
    <w:rsid w:val="00D958CD"/>
    <w:rsid w:val="00D95CC8"/>
    <w:rsid w:val="00D96AA1"/>
    <w:rsid w:val="00D97A8B"/>
    <w:rsid w:val="00DA0004"/>
    <w:rsid w:val="00DA00E5"/>
    <w:rsid w:val="00DA01FA"/>
    <w:rsid w:val="00DA1086"/>
    <w:rsid w:val="00DA1120"/>
    <w:rsid w:val="00DA1EC0"/>
    <w:rsid w:val="00DA32DA"/>
    <w:rsid w:val="00DA3382"/>
    <w:rsid w:val="00DA363E"/>
    <w:rsid w:val="00DA55F6"/>
    <w:rsid w:val="00DA5AF6"/>
    <w:rsid w:val="00DA5FC2"/>
    <w:rsid w:val="00DA6527"/>
    <w:rsid w:val="00DA75E6"/>
    <w:rsid w:val="00DB1C3F"/>
    <w:rsid w:val="00DB1E90"/>
    <w:rsid w:val="00DB2A62"/>
    <w:rsid w:val="00DB3788"/>
    <w:rsid w:val="00DB49B9"/>
    <w:rsid w:val="00DB5159"/>
    <w:rsid w:val="00DB5CA3"/>
    <w:rsid w:val="00DB61F7"/>
    <w:rsid w:val="00DB657D"/>
    <w:rsid w:val="00DB7194"/>
    <w:rsid w:val="00DC0069"/>
    <w:rsid w:val="00DC0FA4"/>
    <w:rsid w:val="00DC0FB7"/>
    <w:rsid w:val="00DC1593"/>
    <w:rsid w:val="00DC21ED"/>
    <w:rsid w:val="00DC2405"/>
    <w:rsid w:val="00DC332D"/>
    <w:rsid w:val="00DC434E"/>
    <w:rsid w:val="00DC4454"/>
    <w:rsid w:val="00DD00A6"/>
    <w:rsid w:val="00DD1754"/>
    <w:rsid w:val="00DD21A8"/>
    <w:rsid w:val="00DD285E"/>
    <w:rsid w:val="00DD2E5E"/>
    <w:rsid w:val="00DD3237"/>
    <w:rsid w:val="00DD40B9"/>
    <w:rsid w:val="00DD486C"/>
    <w:rsid w:val="00DD5B71"/>
    <w:rsid w:val="00DD686D"/>
    <w:rsid w:val="00DD6CC8"/>
    <w:rsid w:val="00DD741E"/>
    <w:rsid w:val="00DE0966"/>
    <w:rsid w:val="00DE0B42"/>
    <w:rsid w:val="00DE0D3F"/>
    <w:rsid w:val="00DE11A2"/>
    <w:rsid w:val="00DE1284"/>
    <w:rsid w:val="00DE22BC"/>
    <w:rsid w:val="00DE2692"/>
    <w:rsid w:val="00DE29AA"/>
    <w:rsid w:val="00DE2D5B"/>
    <w:rsid w:val="00DE3961"/>
    <w:rsid w:val="00DE408D"/>
    <w:rsid w:val="00DE4F8F"/>
    <w:rsid w:val="00DE5AC0"/>
    <w:rsid w:val="00DE707C"/>
    <w:rsid w:val="00DF031C"/>
    <w:rsid w:val="00DF076D"/>
    <w:rsid w:val="00DF0A3C"/>
    <w:rsid w:val="00DF2A2F"/>
    <w:rsid w:val="00DF373B"/>
    <w:rsid w:val="00DF40F5"/>
    <w:rsid w:val="00DF48E3"/>
    <w:rsid w:val="00DF5ECB"/>
    <w:rsid w:val="00DF5EEE"/>
    <w:rsid w:val="00DF6554"/>
    <w:rsid w:val="00DF6AC7"/>
    <w:rsid w:val="00DF6DB8"/>
    <w:rsid w:val="00E01330"/>
    <w:rsid w:val="00E01752"/>
    <w:rsid w:val="00E01894"/>
    <w:rsid w:val="00E02FBD"/>
    <w:rsid w:val="00E0331A"/>
    <w:rsid w:val="00E033FB"/>
    <w:rsid w:val="00E044EF"/>
    <w:rsid w:val="00E04B9F"/>
    <w:rsid w:val="00E05E40"/>
    <w:rsid w:val="00E06E69"/>
    <w:rsid w:val="00E06F35"/>
    <w:rsid w:val="00E077B6"/>
    <w:rsid w:val="00E11298"/>
    <w:rsid w:val="00E124E1"/>
    <w:rsid w:val="00E128C9"/>
    <w:rsid w:val="00E12DE1"/>
    <w:rsid w:val="00E13654"/>
    <w:rsid w:val="00E14D01"/>
    <w:rsid w:val="00E1786D"/>
    <w:rsid w:val="00E17E83"/>
    <w:rsid w:val="00E200F2"/>
    <w:rsid w:val="00E21A35"/>
    <w:rsid w:val="00E22BB2"/>
    <w:rsid w:val="00E23516"/>
    <w:rsid w:val="00E235F9"/>
    <w:rsid w:val="00E23A8B"/>
    <w:rsid w:val="00E241FB"/>
    <w:rsid w:val="00E246C7"/>
    <w:rsid w:val="00E24B64"/>
    <w:rsid w:val="00E264E9"/>
    <w:rsid w:val="00E2689D"/>
    <w:rsid w:val="00E27A1A"/>
    <w:rsid w:val="00E30093"/>
    <w:rsid w:val="00E30EC4"/>
    <w:rsid w:val="00E3154F"/>
    <w:rsid w:val="00E319B4"/>
    <w:rsid w:val="00E3200B"/>
    <w:rsid w:val="00E32E10"/>
    <w:rsid w:val="00E341B7"/>
    <w:rsid w:val="00E36A28"/>
    <w:rsid w:val="00E415AC"/>
    <w:rsid w:val="00E423A9"/>
    <w:rsid w:val="00E444C3"/>
    <w:rsid w:val="00E45080"/>
    <w:rsid w:val="00E4549E"/>
    <w:rsid w:val="00E458F2"/>
    <w:rsid w:val="00E477E2"/>
    <w:rsid w:val="00E479FF"/>
    <w:rsid w:val="00E50B3B"/>
    <w:rsid w:val="00E51034"/>
    <w:rsid w:val="00E513E6"/>
    <w:rsid w:val="00E51A4B"/>
    <w:rsid w:val="00E52777"/>
    <w:rsid w:val="00E557C0"/>
    <w:rsid w:val="00E5601A"/>
    <w:rsid w:val="00E56BAF"/>
    <w:rsid w:val="00E61FBA"/>
    <w:rsid w:val="00E621AD"/>
    <w:rsid w:val="00E633FF"/>
    <w:rsid w:val="00E63D09"/>
    <w:rsid w:val="00E64C5E"/>
    <w:rsid w:val="00E65847"/>
    <w:rsid w:val="00E67392"/>
    <w:rsid w:val="00E7070B"/>
    <w:rsid w:val="00E708AD"/>
    <w:rsid w:val="00E70AB9"/>
    <w:rsid w:val="00E70B51"/>
    <w:rsid w:val="00E713CC"/>
    <w:rsid w:val="00E717E0"/>
    <w:rsid w:val="00E71A1D"/>
    <w:rsid w:val="00E7326E"/>
    <w:rsid w:val="00E73A24"/>
    <w:rsid w:val="00E73C65"/>
    <w:rsid w:val="00E73E5B"/>
    <w:rsid w:val="00E750BA"/>
    <w:rsid w:val="00E7747A"/>
    <w:rsid w:val="00E77573"/>
    <w:rsid w:val="00E77B91"/>
    <w:rsid w:val="00E80D43"/>
    <w:rsid w:val="00E819E2"/>
    <w:rsid w:val="00E81B8B"/>
    <w:rsid w:val="00E8208D"/>
    <w:rsid w:val="00E83610"/>
    <w:rsid w:val="00E840C2"/>
    <w:rsid w:val="00E84AE9"/>
    <w:rsid w:val="00E86443"/>
    <w:rsid w:val="00E875A5"/>
    <w:rsid w:val="00E901F3"/>
    <w:rsid w:val="00E90D34"/>
    <w:rsid w:val="00E90DAD"/>
    <w:rsid w:val="00E919A4"/>
    <w:rsid w:val="00E91F3B"/>
    <w:rsid w:val="00E93C43"/>
    <w:rsid w:val="00E94237"/>
    <w:rsid w:val="00E96EE2"/>
    <w:rsid w:val="00EA0AF1"/>
    <w:rsid w:val="00EA0FB1"/>
    <w:rsid w:val="00EA128C"/>
    <w:rsid w:val="00EA1895"/>
    <w:rsid w:val="00EA2EB6"/>
    <w:rsid w:val="00EA4192"/>
    <w:rsid w:val="00EA4C48"/>
    <w:rsid w:val="00EA567C"/>
    <w:rsid w:val="00EB03ED"/>
    <w:rsid w:val="00EB0469"/>
    <w:rsid w:val="00EB07AF"/>
    <w:rsid w:val="00EB1500"/>
    <w:rsid w:val="00EB22DD"/>
    <w:rsid w:val="00EB2335"/>
    <w:rsid w:val="00EB2468"/>
    <w:rsid w:val="00EB264D"/>
    <w:rsid w:val="00EB464E"/>
    <w:rsid w:val="00EB51D2"/>
    <w:rsid w:val="00EB5FEB"/>
    <w:rsid w:val="00EB60B2"/>
    <w:rsid w:val="00EB69E2"/>
    <w:rsid w:val="00EB77C1"/>
    <w:rsid w:val="00EC1BE9"/>
    <w:rsid w:val="00EC1D1D"/>
    <w:rsid w:val="00EC4455"/>
    <w:rsid w:val="00EC4FFE"/>
    <w:rsid w:val="00EC51E2"/>
    <w:rsid w:val="00EC5311"/>
    <w:rsid w:val="00EC7646"/>
    <w:rsid w:val="00EC7FD8"/>
    <w:rsid w:val="00ED15B3"/>
    <w:rsid w:val="00ED2DE7"/>
    <w:rsid w:val="00ED3DC7"/>
    <w:rsid w:val="00ED42BC"/>
    <w:rsid w:val="00ED5A63"/>
    <w:rsid w:val="00ED628C"/>
    <w:rsid w:val="00ED6D88"/>
    <w:rsid w:val="00ED7A73"/>
    <w:rsid w:val="00ED7E0A"/>
    <w:rsid w:val="00EE17D5"/>
    <w:rsid w:val="00EE26A5"/>
    <w:rsid w:val="00EE278F"/>
    <w:rsid w:val="00EE3F7D"/>
    <w:rsid w:val="00EE4B71"/>
    <w:rsid w:val="00EE4CF1"/>
    <w:rsid w:val="00EE4DA3"/>
    <w:rsid w:val="00EE57FD"/>
    <w:rsid w:val="00EE5EEE"/>
    <w:rsid w:val="00EE6EE1"/>
    <w:rsid w:val="00EE7D08"/>
    <w:rsid w:val="00EE7F37"/>
    <w:rsid w:val="00EF103C"/>
    <w:rsid w:val="00EF10CA"/>
    <w:rsid w:val="00EF1ACA"/>
    <w:rsid w:val="00EF1FDD"/>
    <w:rsid w:val="00EF41F8"/>
    <w:rsid w:val="00EF4730"/>
    <w:rsid w:val="00EF4F03"/>
    <w:rsid w:val="00EF532F"/>
    <w:rsid w:val="00EF5AB1"/>
    <w:rsid w:val="00EF5AD4"/>
    <w:rsid w:val="00EF5B95"/>
    <w:rsid w:val="00EF5C63"/>
    <w:rsid w:val="00EF6784"/>
    <w:rsid w:val="00F00E93"/>
    <w:rsid w:val="00F03626"/>
    <w:rsid w:val="00F03AEE"/>
    <w:rsid w:val="00F03CE8"/>
    <w:rsid w:val="00F04405"/>
    <w:rsid w:val="00F04B95"/>
    <w:rsid w:val="00F0568B"/>
    <w:rsid w:val="00F05728"/>
    <w:rsid w:val="00F0659D"/>
    <w:rsid w:val="00F065EC"/>
    <w:rsid w:val="00F068E6"/>
    <w:rsid w:val="00F072C1"/>
    <w:rsid w:val="00F109EB"/>
    <w:rsid w:val="00F1186B"/>
    <w:rsid w:val="00F1259B"/>
    <w:rsid w:val="00F12960"/>
    <w:rsid w:val="00F12FA7"/>
    <w:rsid w:val="00F135EE"/>
    <w:rsid w:val="00F144E8"/>
    <w:rsid w:val="00F15BE2"/>
    <w:rsid w:val="00F168B6"/>
    <w:rsid w:val="00F20BD3"/>
    <w:rsid w:val="00F21268"/>
    <w:rsid w:val="00F214EC"/>
    <w:rsid w:val="00F21584"/>
    <w:rsid w:val="00F2204E"/>
    <w:rsid w:val="00F25C0A"/>
    <w:rsid w:val="00F25FD5"/>
    <w:rsid w:val="00F2687D"/>
    <w:rsid w:val="00F26919"/>
    <w:rsid w:val="00F26F2A"/>
    <w:rsid w:val="00F30724"/>
    <w:rsid w:val="00F32627"/>
    <w:rsid w:val="00F334DF"/>
    <w:rsid w:val="00F33DEC"/>
    <w:rsid w:val="00F33E04"/>
    <w:rsid w:val="00F34931"/>
    <w:rsid w:val="00F34AA1"/>
    <w:rsid w:val="00F35407"/>
    <w:rsid w:val="00F35CAA"/>
    <w:rsid w:val="00F36384"/>
    <w:rsid w:val="00F36392"/>
    <w:rsid w:val="00F36CD1"/>
    <w:rsid w:val="00F37003"/>
    <w:rsid w:val="00F3710C"/>
    <w:rsid w:val="00F3738D"/>
    <w:rsid w:val="00F379B5"/>
    <w:rsid w:val="00F37B5F"/>
    <w:rsid w:val="00F40644"/>
    <w:rsid w:val="00F40D74"/>
    <w:rsid w:val="00F412D6"/>
    <w:rsid w:val="00F418FB"/>
    <w:rsid w:val="00F43A04"/>
    <w:rsid w:val="00F4478F"/>
    <w:rsid w:val="00F4606D"/>
    <w:rsid w:val="00F46A54"/>
    <w:rsid w:val="00F54288"/>
    <w:rsid w:val="00F54504"/>
    <w:rsid w:val="00F5531D"/>
    <w:rsid w:val="00F556A2"/>
    <w:rsid w:val="00F5617B"/>
    <w:rsid w:val="00F561E4"/>
    <w:rsid w:val="00F57D6D"/>
    <w:rsid w:val="00F60073"/>
    <w:rsid w:val="00F601AC"/>
    <w:rsid w:val="00F61D7B"/>
    <w:rsid w:val="00F6326C"/>
    <w:rsid w:val="00F63763"/>
    <w:rsid w:val="00F64138"/>
    <w:rsid w:val="00F651D2"/>
    <w:rsid w:val="00F659A0"/>
    <w:rsid w:val="00F67141"/>
    <w:rsid w:val="00F671DB"/>
    <w:rsid w:val="00F675E3"/>
    <w:rsid w:val="00F67779"/>
    <w:rsid w:val="00F70155"/>
    <w:rsid w:val="00F74614"/>
    <w:rsid w:val="00F7470C"/>
    <w:rsid w:val="00F74814"/>
    <w:rsid w:val="00F76EA1"/>
    <w:rsid w:val="00F778CC"/>
    <w:rsid w:val="00F800EF"/>
    <w:rsid w:val="00F8114C"/>
    <w:rsid w:val="00F81692"/>
    <w:rsid w:val="00F81C86"/>
    <w:rsid w:val="00F81C89"/>
    <w:rsid w:val="00F8339F"/>
    <w:rsid w:val="00F8482D"/>
    <w:rsid w:val="00F8699B"/>
    <w:rsid w:val="00F90596"/>
    <w:rsid w:val="00F90911"/>
    <w:rsid w:val="00F90F1C"/>
    <w:rsid w:val="00F9158A"/>
    <w:rsid w:val="00F923E7"/>
    <w:rsid w:val="00F92F31"/>
    <w:rsid w:val="00F9440E"/>
    <w:rsid w:val="00F94FE7"/>
    <w:rsid w:val="00F95101"/>
    <w:rsid w:val="00F959D3"/>
    <w:rsid w:val="00F959EA"/>
    <w:rsid w:val="00F96228"/>
    <w:rsid w:val="00F96324"/>
    <w:rsid w:val="00F96B90"/>
    <w:rsid w:val="00F97598"/>
    <w:rsid w:val="00FA1529"/>
    <w:rsid w:val="00FA15FD"/>
    <w:rsid w:val="00FA18E1"/>
    <w:rsid w:val="00FA20B8"/>
    <w:rsid w:val="00FA2F9B"/>
    <w:rsid w:val="00FA51CA"/>
    <w:rsid w:val="00FA5433"/>
    <w:rsid w:val="00FA5C5F"/>
    <w:rsid w:val="00FA6150"/>
    <w:rsid w:val="00FA62C0"/>
    <w:rsid w:val="00FA6FAD"/>
    <w:rsid w:val="00FA7F51"/>
    <w:rsid w:val="00FB0DBC"/>
    <w:rsid w:val="00FB2D6C"/>
    <w:rsid w:val="00FB30CF"/>
    <w:rsid w:val="00FB333A"/>
    <w:rsid w:val="00FB3CD1"/>
    <w:rsid w:val="00FB429B"/>
    <w:rsid w:val="00FB44C3"/>
    <w:rsid w:val="00FB4BFA"/>
    <w:rsid w:val="00FB5160"/>
    <w:rsid w:val="00FB6D00"/>
    <w:rsid w:val="00FC02AB"/>
    <w:rsid w:val="00FC05FF"/>
    <w:rsid w:val="00FC0B38"/>
    <w:rsid w:val="00FC1676"/>
    <w:rsid w:val="00FC2254"/>
    <w:rsid w:val="00FC366B"/>
    <w:rsid w:val="00FC40EE"/>
    <w:rsid w:val="00FC51CA"/>
    <w:rsid w:val="00FC5BF1"/>
    <w:rsid w:val="00FC7464"/>
    <w:rsid w:val="00FC7DC5"/>
    <w:rsid w:val="00FC7F46"/>
    <w:rsid w:val="00FD006D"/>
    <w:rsid w:val="00FD12EE"/>
    <w:rsid w:val="00FD3829"/>
    <w:rsid w:val="00FD4603"/>
    <w:rsid w:val="00FD4D8A"/>
    <w:rsid w:val="00FD56DE"/>
    <w:rsid w:val="00FD6ECF"/>
    <w:rsid w:val="00FD7314"/>
    <w:rsid w:val="00FD7826"/>
    <w:rsid w:val="00FE03F7"/>
    <w:rsid w:val="00FE0DA0"/>
    <w:rsid w:val="00FE2212"/>
    <w:rsid w:val="00FE23BA"/>
    <w:rsid w:val="00FE29FD"/>
    <w:rsid w:val="00FE427E"/>
    <w:rsid w:val="00FE589E"/>
    <w:rsid w:val="00FE60CB"/>
    <w:rsid w:val="00FE676B"/>
    <w:rsid w:val="00FE7778"/>
    <w:rsid w:val="00FF0A67"/>
    <w:rsid w:val="00FF0BAC"/>
    <w:rsid w:val="00FF1C27"/>
    <w:rsid w:val="00FF1C65"/>
    <w:rsid w:val="00FF21F8"/>
    <w:rsid w:val="00FF247C"/>
    <w:rsid w:val="00FF2D4A"/>
    <w:rsid w:val="00FF4294"/>
    <w:rsid w:val="00FF65F9"/>
    <w:rsid w:val="01064CD2"/>
    <w:rsid w:val="010F6287"/>
    <w:rsid w:val="012034B3"/>
    <w:rsid w:val="012931F6"/>
    <w:rsid w:val="0136732D"/>
    <w:rsid w:val="01374E54"/>
    <w:rsid w:val="01410DD9"/>
    <w:rsid w:val="01492F1C"/>
    <w:rsid w:val="014F34B6"/>
    <w:rsid w:val="015C70C8"/>
    <w:rsid w:val="015E1496"/>
    <w:rsid w:val="01620756"/>
    <w:rsid w:val="019F4D04"/>
    <w:rsid w:val="01B6239B"/>
    <w:rsid w:val="01BE6CCA"/>
    <w:rsid w:val="01C3246C"/>
    <w:rsid w:val="01CE1272"/>
    <w:rsid w:val="01D72AFA"/>
    <w:rsid w:val="01DE46B6"/>
    <w:rsid w:val="01E67E20"/>
    <w:rsid w:val="01F6617B"/>
    <w:rsid w:val="02236B64"/>
    <w:rsid w:val="023D0B8F"/>
    <w:rsid w:val="02511F45"/>
    <w:rsid w:val="02537BF0"/>
    <w:rsid w:val="025C19D8"/>
    <w:rsid w:val="025D4279"/>
    <w:rsid w:val="026E762B"/>
    <w:rsid w:val="02730257"/>
    <w:rsid w:val="02777BFD"/>
    <w:rsid w:val="02873320"/>
    <w:rsid w:val="02934DDB"/>
    <w:rsid w:val="029D2B45"/>
    <w:rsid w:val="02C646E1"/>
    <w:rsid w:val="02C963C1"/>
    <w:rsid w:val="02CE73DA"/>
    <w:rsid w:val="02DD0824"/>
    <w:rsid w:val="02E278BC"/>
    <w:rsid w:val="030809A4"/>
    <w:rsid w:val="032D650E"/>
    <w:rsid w:val="034F46D6"/>
    <w:rsid w:val="035808CA"/>
    <w:rsid w:val="03582ACB"/>
    <w:rsid w:val="035858E7"/>
    <w:rsid w:val="03616C8D"/>
    <w:rsid w:val="03694447"/>
    <w:rsid w:val="0377249C"/>
    <w:rsid w:val="037B371D"/>
    <w:rsid w:val="03894711"/>
    <w:rsid w:val="038A148D"/>
    <w:rsid w:val="038E6AC1"/>
    <w:rsid w:val="039A0638"/>
    <w:rsid w:val="03A60CA8"/>
    <w:rsid w:val="03A66576"/>
    <w:rsid w:val="03B95FF4"/>
    <w:rsid w:val="03D90444"/>
    <w:rsid w:val="03DB41BC"/>
    <w:rsid w:val="03E0077C"/>
    <w:rsid w:val="040F6FC0"/>
    <w:rsid w:val="041047F1"/>
    <w:rsid w:val="04397422"/>
    <w:rsid w:val="044A5DED"/>
    <w:rsid w:val="044B5C73"/>
    <w:rsid w:val="045902E2"/>
    <w:rsid w:val="046F6055"/>
    <w:rsid w:val="047F58BB"/>
    <w:rsid w:val="0487100E"/>
    <w:rsid w:val="04BD3E66"/>
    <w:rsid w:val="04C54E7B"/>
    <w:rsid w:val="04CA0231"/>
    <w:rsid w:val="04DA5875"/>
    <w:rsid w:val="050A63F8"/>
    <w:rsid w:val="052755C8"/>
    <w:rsid w:val="052B0546"/>
    <w:rsid w:val="052C1856"/>
    <w:rsid w:val="052D6C99"/>
    <w:rsid w:val="052F1703"/>
    <w:rsid w:val="055A0427"/>
    <w:rsid w:val="0562681E"/>
    <w:rsid w:val="056F101C"/>
    <w:rsid w:val="05A8689A"/>
    <w:rsid w:val="05BE451B"/>
    <w:rsid w:val="05E27A84"/>
    <w:rsid w:val="05E746D4"/>
    <w:rsid w:val="05E74F64"/>
    <w:rsid w:val="05ED01D7"/>
    <w:rsid w:val="05F417A0"/>
    <w:rsid w:val="05F71525"/>
    <w:rsid w:val="05FB0B46"/>
    <w:rsid w:val="06015DF1"/>
    <w:rsid w:val="060B70A1"/>
    <w:rsid w:val="06103DE6"/>
    <w:rsid w:val="06110BCA"/>
    <w:rsid w:val="06135E8F"/>
    <w:rsid w:val="06147E01"/>
    <w:rsid w:val="061E0BA3"/>
    <w:rsid w:val="06304C93"/>
    <w:rsid w:val="065226E7"/>
    <w:rsid w:val="066206D2"/>
    <w:rsid w:val="0688277C"/>
    <w:rsid w:val="069028A2"/>
    <w:rsid w:val="06A07E91"/>
    <w:rsid w:val="06AC7CD2"/>
    <w:rsid w:val="06BF0A4B"/>
    <w:rsid w:val="06C1427D"/>
    <w:rsid w:val="06E53A19"/>
    <w:rsid w:val="06F04F81"/>
    <w:rsid w:val="07271E68"/>
    <w:rsid w:val="072E7D8E"/>
    <w:rsid w:val="07302A71"/>
    <w:rsid w:val="07353A48"/>
    <w:rsid w:val="07361EBF"/>
    <w:rsid w:val="07416C1A"/>
    <w:rsid w:val="07525B44"/>
    <w:rsid w:val="075F2C80"/>
    <w:rsid w:val="07624E9A"/>
    <w:rsid w:val="076A188E"/>
    <w:rsid w:val="078B5EF9"/>
    <w:rsid w:val="07945326"/>
    <w:rsid w:val="07946A15"/>
    <w:rsid w:val="07A91C3A"/>
    <w:rsid w:val="07AE16DD"/>
    <w:rsid w:val="07B37C0B"/>
    <w:rsid w:val="07BC497D"/>
    <w:rsid w:val="07F93A4B"/>
    <w:rsid w:val="081629EB"/>
    <w:rsid w:val="08382A65"/>
    <w:rsid w:val="083E4F38"/>
    <w:rsid w:val="0840097F"/>
    <w:rsid w:val="08475B09"/>
    <w:rsid w:val="085A5C78"/>
    <w:rsid w:val="086730EE"/>
    <w:rsid w:val="086E0331"/>
    <w:rsid w:val="088D4869"/>
    <w:rsid w:val="08971884"/>
    <w:rsid w:val="08D91C22"/>
    <w:rsid w:val="08E51639"/>
    <w:rsid w:val="08EE6BE1"/>
    <w:rsid w:val="0905606D"/>
    <w:rsid w:val="09092D75"/>
    <w:rsid w:val="09165337"/>
    <w:rsid w:val="09277A21"/>
    <w:rsid w:val="092C4DBA"/>
    <w:rsid w:val="09370DC8"/>
    <w:rsid w:val="094054E5"/>
    <w:rsid w:val="094236D7"/>
    <w:rsid w:val="09434CDD"/>
    <w:rsid w:val="095567BF"/>
    <w:rsid w:val="09694018"/>
    <w:rsid w:val="09751765"/>
    <w:rsid w:val="097B0CEF"/>
    <w:rsid w:val="09820204"/>
    <w:rsid w:val="098F0BC0"/>
    <w:rsid w:val="09957B77"/>
    <w:rsid w:val="09A82F3A"/>
    <w:rsid w:val="09C4597B"/>
    <w:rsid w:val="09D536E6"/>
    <w:rsid w:val="09E85885"/>
    <w:rsid w:val="09F828C3"/>
    <w:rsid w:val="09FD7AEB"/>
    <w:rsid w:val="0A2D6114"/>
    <w:rsid w:val="0A4C6356"/>
    <w:rsid w:val="0A5B6275"/>
    <w:rsid w:val="0A644A48"/>
    <w:rsid w:val="0A671952"/>
    <w:rsid w:val="0A6F05F5"/>
    <w:rsid w:val="0A7964DD"/>
    <w:rsid w:val="0A871A0F"/>
    <w:rsid w:val="0A9E755D"/>
    <w:rsid w:val="0AAE6990"/>
    <w:rsid w:val="0AB00FC1"/>
    <w:rsid w:val="0ABD6D86"/>
    <w:rsid w:val="0AC168AF"/>
    <w:rsid w:val="0AD16B72"/>
    <w:rsid w:val="0ADE6C09"/>
    <w:rsid w:val="0AED2F6B"/>
    <w:rsid w:val="0AF314DB"/>
    <w:rsid w:val="0B1E3FE9"/>
    <w:rsid w:val="0B242375"/>
    <w:rsid w:val="0B3365AD"/>
    <w:rsid w:val="0B417F5A"/>
    <w:rsid w:val="0B5A4560"/>
    <w:rsid w:val="0B6E1DBA"/>
    <w:rsid w:val="0B750F32"/>
    <w:rsid w:val="0B786DA4"/>
    <w:rsid w:val="0B7C5079"/>
    <w:rsid w:val="0B8015D4"/>
    <w:rsid w:val="0B8A0B4F"/>
    <w:rsid w:val="0B8B7C33"/>
    <w:rsid w:val="0B9218C2"/>
    <w:rsid w:val="0B992E37"/>
    <w:rsid w:val="0BA23FCD"/>
    <w:rsid w:val="0BCF0704"/>
    <w:rsid w:val="0BFD0A48"/>
    <w:rsid w:val="0C1D75FC"/>
    <w:rsid w:val="0C26777D"/>
    <w:rsid w:val="0C2A540E"/>
    <w:rsid w:val="0C4D10DC"/>
    <w:rsid w:val="0C63112C"/>
    <w:rsid w:val="0C9231F7"/>
    <w:rsid w:val="0CA77331"/>
    <w:rsid w:val="0CB92907"/>
    <w:rsid w:val="0CC567DC"/>
    <w:rsid w:val="0CD26ABD"/>
    <w:rsid w:val="0CDA4944"/>
    <w:rsid w:val="0CE60069"/>
    <w:rsid w:val="0D003A0E"/>
    <w:rsid w:val="0D193D4C"/>
    <w:rsid w:val="0D1C6862"/>
    <w:rsid w:val="0D2A1D10"/>
    <w:rsid w:val="0D38267F"/>
    <w:rsid w:val="0D6356CF"/>
    <w:rsid w:val="0D6A7E4D"/>
    <w:rsid w:val="0D6D77B8"/>
    <w:rsid w:val="0DA67720"/>
    <w:rsid w:val="0DB87F63"/>
    <w:rsid w:val="0DC772E5"/>
    <w:rsid w:val="0DD10FE9"/>
    <w:rsid w:val="0DD30EE5"/>
    <w:rsid w:val="0DD3537D"/>
    <w:rsid w:val="0DD40DB5"/>
    <w:rsid w:val="0DEE4400"/>
    <w:rsid w:val="0DF77E44"/>
    <w:rsid w:val="0E083E00"/>
    <w:rsid w:val="0E175885"/>
    <w:rsid w:val="0E21485C"/>
    <w:rsid w:val="0E516AE1"/>
    <w:rsid w:val="0E573B90"/>
    <w:rsid w:val="0E5B0931"/>
    <w:rsid w:val="0E5C1B74"/>
    <w:rsid w:val="0E8221BD"/>
    <w:rsid w:val="0E876694"/>
    <w:rsid w:val="0E8E5C98"/>
    <w:rsid w:val="0EC341CA"/>
    <w:rsid w:val="0EC853AF"/>
    <w:rsid w:val="0ECB57B6"/>
    <w:rsid w:val="0ED01EA6"/>
    <w:rsid w:val="0ED67282"/>
    <w:rsid w:val="0EF331A1"/>
    <w:rsid w:val="0F0B75D2"/>
    <w:rsid w:val="0F287407"/>
    <w:rsid w:val="0F5A68DD"/>
    <w:rsid w:val="0F66331F"/>
    <w:rsid w:val="0F6D5DA4"/>
    <w:rsid w:val="0F9D6B95"/>
    <w:rsid w:val="0FB05C1B"/>
    <w:rsid w:val="0FC260EE"/>
    <w:rsid w:val="0FC3024D"/>
    <w:rsid w:val="0FC63F72"/>
    <w:rsid w:val="0FEA2ADC"/>
    <w:rsid w:val="100B1250"/>
    <w:rsid w:val="101F5AC3"/>
    <w:rsid w:val="102962AF"/>
    <w:rsid w:val="104A5783"/>
    <w:rsid w:val="105E23FD"/>
    <w:rsid w:val="10636B58"/>
    <w:rsid w:val="1066663C"/>
    <w:rsid w:val="10680557"/>
    <w:rsid w:val="108A1FB5"/>
    <w:rsid w:val="109F3033"/>
    <w:rsid w:val="10AB67DC"/>
    <w:rsid w:val="10BF77ED"/>
    <w:rsid w:val="10CC01C5"/>
    <w:rsid w:val="10CC3BD0"/>
    <w:rsid w:val="10D358B9"/>
    <w:rsid w:val="10D7347F"/>
    <w:rsid w:val="10D75D0B"/>
    <w:rsid w:val="10D911E7"/>
    <w:rsid w:val="10F034D3"/>
    <w:rsid w:val="10F97DC5"/>
    <w:rsid w:val="110A60E1"/>
    <w:rsid w:val="11221C12"/>
    <w:rsid w:val="112469FB"/>
    <w:rsid w:val="11491157"/>
    <w:rsid w:val="11A22A61"/>
    <w:rsid w:val="11AF336F"/>
    <w:rsid w:val="11B536D3"/>
    <w:rsid w:val="11CD7DDF"/>
    <w:rsid w:val="11DD059F"/>
    <w:rsid w:val="11E44B84"/>
    <w:rsid w:val="11EA36BB"/>
    <w:rsid w:val="11FA43A7"/>
    <w:rsid w:val="11FE409D"/>
    <w:rsid w:val="12042E0D"/>
    <w:rsid w:val="121B4E6A"/>
    <w:rsid w:val="121F04D7"/>
    <w:rsid w:val="122937F4"/>
    <w:rsid w:val="123577B5"/>
    <w:rsid w:val="12396910"/>
    <w:rsid w:val="123F625E"/>
    <w:rsid w:val="124B6C24"/>
    <w:rsid w:val="12555609"/>
    <w:rsid w:val="125D32C4"/>
    <w:rsid w:val="12753A2E"/>
    <w:rsid w:val="128D65FD"/>
    <w:rsid w:val="128F02BF"/>
    <w:rsid w:val="128F2D41"/>
    <w:rsid w:val="12977E48"/>
    <w:rsid w:val="12A10CC7"/>
    <w:rsid w:val="12EE1A3F"/>
    <w:rsid w:val="12EE7DCD"/>
    <w:rsid w:val="130A2A2D"/>
    <w:rsid w:val="13172903"/>
    <w:rsid w:val="1319260B"/>
    <w:rsid w:val="13534FBA"/>
    <w:rsid w:val="13693468"/>
    <w:rsid w:val="13740F16"/>
    <w:rsid w:val="138E68E8"/>
    <w:rsid w:val="13963CE7"/>
    <w:rsid w:val="139D2C81"/>
    <w:rsid w:val="13A4281C"/>
    <w:rsid w:val="13AF4383"/>
    <w:rsid w:val="13BC4225"/>
    <w:rsid w:val="13CF1B60"/>
    <w:rsid w:val="13D1738A"/>
    <w:rsid w:val="13FC084C"/>
    <w:rsid w:val="13FE1284"/>
    <w:rsid w:val="14057F33"/>
    <w:rsid w:val="140817B5"/>
    <w:rsid w:val="142A3648"/>
    <w:rsid w:val="14416F00"/>
    <w:rsid w:val="1453512E"/>
    <w:rsid w:val="145644D3"/>
    <w:rsid w:val="1460015A"/>
    <w:rsid w:val="148F5203"/>
    <w:rsid w:val="149B4124"/>
    <w:rsid w:val="14A019D6"/>
    <w:rsid w:val="14B922F8"/>
    <w:rsid w:val="14C667C2"/>
    <w:rsid w:val="14D51755"/>
    <w:rsid w:val="14D54CF1"/>
    <w:rsid w:val="14DA7696"/>
    <w:rsid w:val="14DF2495"/>
    <w:rsid w:val="14F13629"/>
    <w:rsid w:val="14F50E56"/>
    <w:rsid w:val="15064E11"/>
    <w:rsid w:val="15114515"/>
    <w:rsid w:val="152C0355"/>
    <w:rsid w:val="1548409C"/>
    <w:rsid w:val="154D2A40"/>
    <w:rsid w:val="15515FA9"/>
    <w:rsid w:val="155C6AE0"/>
    <w:rsid w:val="155F7B44"/>
    <w:rsid w:val="15805A14"/>
    <w:rsid w:val="158E3B78"/>
    <w:rsid w:val="15AD515A"/>
    <w:rsid w:val="15AE0219"/>
    <w:rsid w:val="15BB78F3"/>
    <w:rsid w:val="15DE5ED3"/>
    <w:rsid w:val="15ED3500"/>
    <w:rsid w:val="15F4050D"/>
    <w:rsid w:val="15FD6214"/>
    <w:rsid w:val="16061AD9"/>
    <w:rsid w:val="161C042E"/>
    <w:rsid w:val="16361356"/>
    <w:rsid w:val="1638724C"/>
    <w:rsid w:val="163F05DA"/>
    <w:rsid w:val="16476833"/>
    <w:rsid w:val="164A5F5C"/>
    <w:rsid w:val="165352E5"/>
    <w:rsid w:val="165B2F3A"/>
    <w:rsid w:val="167726BB"/>
    <w:rsid w:val="16785638"/>
    <w:rsid w:val="169034F3"/>
    <w:rsid w:val="16E61369"/>
    <w:rsid w:val="16E779A9"/>
    <w:rsid w:val="16EB14EF"/>
    <w:rsid w:val="16F85143"/>
    <w:rsid w:val="170C3F19"/>
    <w:rsid w:val="17120380"/>
    <w:rsid w:val="172D3038"/>
    <w:rsid w:val="17477EA3"/>
    <w:rsid w:val="176A1B84"/>
    <w:rsid w:val="176E6B3E"/>
    <w:rsid w:val="178319E9"/>
    <w:rsid w:val="179865BF"/>
    <w:rsid w:val="17A164A0"/>
    <w:rsid w:val="17BE4636"/>
    <w:rsid w:val="17CB43BA"/>
    <w:rsid w:val="17F81389"/>
    <w:rsid w:val="180516B5"/>
    <w:rsid w:val="1809772A"/>
    <w:rsid w:val="18161874"/>
    <w:rsid w:val="182928B0"/>
    <w:rsid w:val="18306597"/>
    <w:rsid w:val="18315305"/>
    <w:rsid w:val="185F7C30"/>
    <w:rsid w:val="1867206B"/>
    <w:rsid w:val="18795A85"/>
    <w:rsid w:val="187A1D9E"/>
    <w:rsid w:val="187F4E94"/>
    <w:rsid w:val="18856EFF"/>
    <w:rsid w:val="188C1A0A"/>
    <w:rsid w:val="188D1AD1"/>
    <w:rsid w:val="18947F57"/>
    <w:rsid w:val="189D49AF"/>
    <w:rsid w:val="18AE1A47"/>
    <w:rsid w:val="18CD7911"/>
    <w:rsid w:val="18DE74F2"/>
    <w:rsid w:val="1909040C"/>
    <w:rsid w:val="190B7B77"/>
    <w:rsid w:val="190F56B3"/>
    <w:rsid w:val="191B6DA1"/>
    <w:rsid w:val="19232CA5"/>
    <w:rsid w:val="19516FA3"/>
    <w:rsid w:val="195F2FA8"/>
    <w:rsid w:val="1961002D"/>
    <w:rsid w:val="19706CFD"/>
    <w:rsid w:val="19846285"/>
    <w:rsid w:val="199D3183"/>
    <w:rsid w:val="19C808E7"/>
    <w:rsid w:val="19CC423D"/>
    <w:rsid w:val="19D04261"/>
    <w:rsid w:val="19D434BC"/>
    <w:rsid w:val="19ED16E8"/>
    <w:rsid w:val="1A027241"/>
    <w:rsid w:val="1A034299"/>
    <w:rsid w:val="1A155A76"/>
    <w:rsid w:val="1A442663"/>
    <w:rsid w:val="1A4661E7"/>
    <w:rsid w:val="1A4860D8"/>
    <w:rsid w:val="1A71619A"/>
    <w:rsid w:val="1A88448F"/>
    <w:rsid w:val="1AAC2DA3"/>
    <w:rsid w:val="1AC9700C"/>
    <w:rsid w:val="1AEB4323"/>
    <w:rsid w:val="1AEE4744"/>
    <w:rsid w:val="1AF019CE"/>
    <w:rsid w:val="1AF2058A"/>
    <w:rsid w:val="1B141E70"/>
    <w:rsid w:val="1B2A235C"/>
    <w:rsid w:val="1B2B66DA"/>
    <w:rsid w:val="1B2E301D"/>
    <w:rsid w:val="1B4159CC"/>
    <w:rsid w:val="1B566FB7"/>
    <w:rsid w:val="1B5A143A"/>
    <w:rsid w:val="1B73292F"/>
    <w:rsid w:val="1B785A20"/>
    <w:rsid w:val="1B830F69"/>
    <w:rsid w:val="1BA504E1"/>
    <w:rsid w:val="1BA51D4F"/>
    <w:rsid w:val="1BA9065B"/>
    <w:rsid w:val="1BBC4C1E"/>
    <w:rsid w:val="1C07128D"/>
    <w:rsid w:val="1C0E31D2"/>
    <w:rsid w:val="1C36454D"/>
    <w:rsid w:val="1C493F61"/>
    <w:rsid w:val="1C4B5EC3"/>
    <w:rsid w:val="1C5D51DE"/>
    <w:rsid w:val="1C7569B9"/>
    <w:rsid w:val="1C81562C"/>
    <w:rsid w:val="1C9F4294"/>
    <w:rsid w:val="1CA0712C"/>
    <w:rsid w:val="1CC37E85"/>
    <w:rsid w:val="1CD12222"/>
    <w:rsid w:val="1D05037B"/>
    <w:rsid w:val="1D075835"/>
    <w:rsid w:val="1D131341"/>
    <w:rsid w:val="1D155B3C"/>
    <w:rsid w:val="1D1E1187"/>
    <w:rsid w:val="1D1E76E8"/>
    <w:rsid w:val="1D3249F5"/>
    <w:rsid w:val="1D474B34"/>
    <w:rsid w:val="1D5F73A6"/>
    <w:rsid w:val="1D666512"/>
    <w:rsid w:val="1D745932"/>
    <w:rsid w:val="1D7D18A4"/>
    <w:rsid w:val="1D992F2B"/>
    <w:rsid w:val="1DD015DB"/>
    <w:rsid w:val="1DFA2D5D"/>
    <w:rsid w:val="1DFF0F95"/>
    <w:rsid w:val="1E02637C"/>
    <w:rsid w:val="1E1F4510"/>
    <w:rsid w:val="1E2B6D2A"/>
    <w:rsid w:val="1E2D37E0"/>
    <w:rsid w:val="1E3A5E19"/>
    <w:rsid w:val="1E424571"/>
    <w:rsid w:val="1E697983"/>
    <w:rsid w:val="1E830CF8"/>
    <w:rsid w:val="1E876418"/>
    <w:rsid w:val="1E933BB9"/>
    <w:rsid w:val="1E965E24"/>
    <w:rsid w:val="1EC55D25"/>
    <w:rsid w:val="1ECC4068"/>
    <w:rsid w:val="1EDD06A8"/>
    <w:rsid w:val="1EEB512E"/>
    <w:rsid w:val="1F1D39EB"/>
    <w:rsid w:val="1F1D5B6D"/>
    <w:rsid w:val="1F1D71A6"/>
    <w:rsid w:val="1F217EEB"/>
    <w:rsid w:val="1F28628A"/>
    <w:rsid w:val="1F3F164B"/>
    <w:rsid w:val="1F4816B7"/>
    <w:rsid w:val="1F4879B3"/>
    <w:rsid w:val="1F59095F"/>
    <w:rsid w:val="1F6328CE"/>
    <w:rsid w:val="1F6D2133"/>
    <w:rsid w:val="1F737EAB"/>
    <w:rsid w:val="1F8D7282"/>
    <w:rsid w:val="1F991DD0"/>
    <w:rsid w:val="1F9C16F9"/>
    <w:rsid w:val="1FA8546D"/>
    <w:rsid w:val="1FB34B64"/>
    <w:rsid w:val="1FB82CE2"/>
    <w:rsid w:val="1FC63B1B"/>
    <w:rsid w:val="1FE478E3"/>
    <w:rsid w:val="1FE47927"/>
    <w:rsid w:val="200059F1"/>
    <w:rsid w:val="200D34F7"/>
    <w:rsid w:val="204A64FA"/>
    <w:rsid w:val="204C224B"/>
    <w:rsid w:val="20511AE7"/>
    <w:rsid w:val="205246C4"/>
    <w:rsid w:val="20635AAE"/>
    <w:rsid w:val="206E521E"/>
    <w:rsid w:val="209C6CF0"/>
    <w:rsid w:val="20A901EB"/>
    <w:rsid w:val="20D81D57"/>
    <w:rsid w:val="20E20E03"/>
    <w:rsid w:val="20E4178F"/>
    <w:rsid w:val="21012CDA"/>
    <w:rsid w:val="212159CC"/>
    <w:rsid w:val="21364EE9"/>
    <w:rsid w:val="21703D96"/>
    <w:rsid w:val="217B063C"/>
    <w:rsid w:val="218154A9"/>
    <w:rsid w:val="21837F15"/>
    <w:rsid w:val="2196670C"/>
    <w:rsid w:val="219A3E97"/>
    <w:rsid w:val="219B0853"/>
    <w:rsid w:val="21D3069E"/>
    <w:rsid w:val="21D73DBD"/>
    <w:rsid w:val="21D97D01"/>
    <w:rsid w:val="21FB4922"/>
    <w:rsid w:val="221A3B7F"/>
    <w:rsid w:val="224845E1"/>
    <w:rsid w:val="225134B5"/>
    <w:rsid w:val="225B5806"/>
    <w:rsid w:val="22650DDE"/>
    <w:rsid w:val="226E0244"/>
    <w:rsid w:val="22734F09"/>
    <w:rsid w:val="227461C1"/>
    <w:rsid w:val="227B72AF"/>
    <w:rsid w:val="22805CCA"/>
    <w:rsid w:val="22853819"/>
    <w:rsid w:val="2287403F"/>
    <w:rsid w:val="228A7081"/>
    <w:rsid w:val="22BE7B64"/>
    <w:rsid w:val="22C372E5"/>
    <w:rsid w:val="22C500B9"/>
    <w:rsid w:val="22C65F6B"/>
    <w:rsid w:val="22E2518F"/>
    <w:rsid w:val="22E345DB"/>
    <w:rsid w:val="22E542B8"/>
    <w:rsid w:val="22F16EE9"/>
    <w:rsid w:val="22F90E47"/>
    <w:rsid w:val="22FC204C"/>
    <w:rsid w:val="230F570C"/>
    <w:rsid w:val="231676B9"/>
    <w:rsid w:val="231F3C6E"/>
    <w:rsid w:val="23250B58"/>
    <w:rsid w:val="23311FF2"/>
    <w:rsid w:val="233137C8"/>
    <w:rsid w:val="233B3D88"/>
    <w:rsid w:val="239176E3"/>
    <w:rsid w:val="23982480"/>
    <w:rsid w:val="23B44AB7"/>
    <w:rsid w:val="23D22A8E"/>
    <w:rsid w:val="23D975B6"/>
    <w:rsid w:val="23DD3872"/>
    <w:rsid w:val="23FF6A83"/>
    <w:rsid w:val="24094246"/>
    <w:rsid w:val="241A7278"/>
    <w:rsid w:val="241C4DBA"/>
    <w:rsid w:val="242633C4"/>
    <w:rsid w:val="242C6A23"/>
    <w:rsid w:val="243038D8"/>
    <w:rsid w:val="2438769C"/>
    <w:rsid w:val="24403322"/>
    <w:rsid w:val="245272E6"/>
    <w:rsid w:val="245841E2"/>
    <w:rsid w:val="24632E20"/>
    <w:rsid w:val="2477581A"/>
    <w:rsid w:val="247F3C66"/>
    <w:rsid w:val="249064A5"/>
    <w:rsid w:val="24974CD3"/>
    <w:rsid w:val="24985C8C"/>
    <w:rsid w:val="249F498F"/>
    <w:rsid w:val="24AF3E55"/>
    <w:rsid w:val="24BB49D0"/>
    <w:rsid w:val="24D62316"/>
    <w:rsid w:val="24EC4190"/>
    <w:rsid w:val="25095CA8"/>
    <w:rsid w:val="250F3A2C"/>
    <w:rsid w:val="251B161F"/>
    <w:rsid w:val="251F61A7"/>
    <w:rsid w:val="25373D72"/>
    <w:rsid w:val="254D4711"/>
    <w:rsid w:val="25553977"/>
    <w:rsid w:val="256233A3"/>
    <w:rsid w:val="2593449F"/>
    <w:rsid w:val="25A24E05"/>
    <w:rsid w:val="25A9321C"/>
    <w:rsid w:val="25B85290"/>
    <w:rsid w:val="25C04DA0"/>
    <w:rsid w:val="25EE0448"/>
    <w:rsid w:val="261455E0"/>
    <w:rsid w:val="261A2832"/>
    <w:rsid w:val="26296BB1"/>
    <w:rsid w:val="263041A6"/>
    <w:rsid w:val="26307F40"/>
    <w:rsid w:val="2637307C"/>
    <w:rsid w:val="265444E1"/>
    <w:rsid w:val="26562AB8"/>
    <w:rsid w:val="265C5002"/>
    <w:rsid w:val="266A16A4"/>
    <w:rsid w:val="266D6C98"/>
    <w:rsid w:val="266F4427"/>
    <w:rsid w:val="267658B5"/>
    <w:rsid w:val="26AA5F44"/>
    <w:rsid w:val="26AC7F58"/>
    <w:rsid w:val="26AE5525"/>
    <w:rsid w:val="26BB5A5B"/>
    <w:rsid w:val="26BC7A25"/>
    <w:rsid w:val="26BD721E"/>
    <w:rsid w:val="26CC26D7"/>
    <w:rsid w:val="26CF7B42"/>
    <w:rsid w:val="26DB4F88"/>
    <w:rsid w:val="26F77DBA"/>
    <w:rsid w:val="27130402"/>
    <w:rsid w:val="27194E78"/>
    <w:rsid w:val="27217A1A"/>
    <w:rsid w:val="272A209F"/>
    <w:rsid w:val="27302841"/>
    <w:rsid w:val="2731611B"/>
    <w:rsid w:val="27383550"/>
    <w:rsid w:val="2748258F"/>
    <w:rsid w:val="275C3C0F"/>
    <w:rsid w:val="2760264D"/>
    <w:rsid w:val="27663B9A"/>
    <w:rsid w:val="27691B23"/>
    <w:rsid w:val="277B343D"/>
    <w:rsid w:val="27AC35F6"/>
    <w:rsid w:val="27B6238E"/>
    <w:rsid w:val="27C546B8"/>
    <w:rsid w:val="27CA48BF"/>
    <w:rsid w:val="27CC37AB"/>
    <w:rsid w:val="27D843EB"/>
    <w:rsid w:val="27DE5F19"/>
    <w:rsid w:val="27E014F2"/>
    <w:rsid w:val="28034B28"/>
    <w:rsid w:val="28270315"/>
    <w:rsid w:val="283D44F8"/>
    <w:rsid w:val="284E28FF"/>
    <w:rsid w:val="28537F15"/>
    <w:rsid w:val="286B3C2D"/>
    <w:rsid w:val="286E5719"/>
    <w:rsid w:val="28721701"/>
    <w:rsid w:val="28724110"/>
    <w:rsid w:val="287D0614"/>
    <w:rsid w:val="289A24DB"/>
    <w:rsid w:val="28A307A5"/>
    <w:rsid w:val="28A90F4A"/>
    <w:rsid w:val="28BD53D7"/>
    <w:rsid w:val="28C35243"/>
    <w:rsid w:val="28CD0E0B"/>
    <w:rsid w:val="28D3664A"/>
    <w:rsid w:val="28DE269A"/>
    <w:rsid w:val="28E80F5B"/>
    <w:rsid w:val="28EC1FEC"/>
    <w:rsid w:val="28F64534"/>
    <w:rsid w:val="290751ED"/>
    <w:rsid w:val="29145BCD"/>
    <w:rsid w:val="295439CA"/>
    <w:rsid w:val="295D7993"/>
    <w:rsid w:val="29625B64"/>
    <w:rsid w:val="29725929"/>
    <w:rsid w:val="2989303D"/>
    <w:rsid w:val="29B36BD8"/>
    <w:rsid w:val="29BA46DD"/>
    <w:rsid w:val="29BB0E7F"/>
    <w:rsid w:val="29D6003E"/>
    <w:rsid w:val="29DB7E1A"/>
    <w:rsid w:val="29DE526C"/>
    <w:rsid w:val="29DF5605"/>
    <w:rsid w:val="2A4B5348"/>
    <w:rsid w:val="2A576E80"/>
    <w:rsid w:val="2A5A11A0"/>
    <w:rsid w:val="2A605B43"/>
    <w:rsid w:val="2A6B0AA7"/>
    <w:rsid w:val="2A6E186E"/>
    <w:rsid w:val="2A70127B"/>
    <w:rsid w:val="2A9A7385"/>
    <w:rsid w:val="2AAF1B76"/>
    <w:rsid w:val="2ACB46DB"/>
    <w:rsid w:val="2ADF5BF1"/>
    <w:rsid w:val="2AEC34A6"/>
    <w:rsid w:val="2AF00E33"/>
    <w:rsid w:val="2AF5571E"/>
    <w:rsid w:val="2B021A55"/>
    <w:rsid w:val="2B032C58"/>
    <w:rsid w:val="2B113346"/>
    <w:rsid w:val="2B241EA3"/>
    <w:rsid w:val="2B2C33CC"/>
    <w:rsid w:val="2B2D3256"/>
    <w:rsid w:val="2B3054B4"/>
    <w:rsid w:val="2B4B6E6B"/>
    <w:rsid w:val="2B50138A"/>
    <w:rsid w:val="2B722FCA"/>
    <w:rsid w:val="2B830022"/>
    <w:rsid w:val="2B9B6B8C"/>
    <w:rsid w:val="2BA21B15"/>
    <w:rsid w:val="2BA31D21"/>
    <w:rsid w:val="2BF52876"/>
    <w:rsid w:val="2BFC063C"/>
    <w:rsid w:val="2C0242F8"/>
    <w:rsid w:val="2C045CDA"/>
    <w:rsid w:val="2C1216D6"/>
    <w:rsid w:val="2C1A2459"/>
    <w:rsid w:val="2C1F6C5A"/>
    <w:rsid w:val="2C267066"/>
    <w:rsid w:val="2C59731E"/>
    <w:rsid w:val="2C5F4E35"/>
    <w:rsid w:val="2C7E6401"/>
    <w:rsid w:val="2C950257"/>
    <w:rsid w:val="2CA07253"/>
    <w:rsid w:val="2CB26EA2"/>
    <w:rsid w:val="2CB52F4D"/>
    <w:rsid w:val="2CBD7C60"/>
    <w:rsid w:val="2CCF5CD0"/>
    <w:rsid w:val="2CF55A3F"/>
    <w:rsid w:val="2CF77A09"/>
    <w:rsid w:val="2CFD055D"/>
    <w:rsid w:val="2D0D07AF"/>
    <w:rsid w:val="2D0E5AFB"/>
    <w:rsid w:val="2D10399B"/>
    <w:rsid w:val="2D1A5290"/>
    <w:rsid w:val="2D1D5DBD"/>
    <w:rsid w:val="2D23797D"/>
    <w:rsid w:val="2D2500D2"/>
    <w:rsid w:val="2D3C5EAF"/>
    <w:rsid w:val="2D4F0073"/>
    <w:rsid w:val="2D542998"/>
    <w:rsid w:val="2D5B4C32"/>
    <w:rsid w:val="2D5D4107"/>
    <w:rsid w:val="2D723157"/>
    <w:rsid w:val="2D79041E"/>
    <w:rsid w:val="2DA3549B"/>
    <w:rsid w:val="2DAB6129"/>
    <w:rsid w:val="2DC31FF6"/>
    <w:rsid w:val="2DC5563C"/>
    <w:rsid w:val="2DC67988"/>
    <w:rsid w:val="2DD27975"/>
    <w:rsid w:val="2DDD5F26"/>
    <w:rsid w:val="2DE90DA1"/>
    <w:rsid w:val="2E141D22"/>
    <w:rsid w:val="2E193869"/>
    <w:rsid w:val="2E37663A"/>
    <w:rsid w:val="2E446CE3"/>
    <w:rsid w:val="2E481911"/>
    <w:rsid w:val="2E712D88"/>
    <w:rsid w:val="2E774C02"/>
    <w:rsid w:val="2E82647A"/>
    <w:rsid w:val="2E840A65"/>
    <w:rsid w:val="2EAB10FE"/>
    <w:rsid w:val="2EB4445A"/>
    <w:rsid w:val="2EC3154C"/>
    <w:rsid w:val="2ECF6E3E"/>
    <w:rsid w:val="2ED040B3"/>
    <w:rsid w:val="2ED15BAD"/>
    <w:rsid w:val="2ED709C6"/>
    <w:rsid w:val="2EEF4F39"/>
    <w:rsid w:val="2EEF5DED"/>
    <w:rsid w:val="2EF14A04"/>
    <w:rsid w:val="2EF51BD6"/>
    <w:rsid w:val="2EF741CE"/>
    <w:rsid w:val="2EFB76B3"/>
    <w:rsid w:val="2F0B74B6"/>
    <w:rsid w:val="2F1601E3"/>
    <w:rsid w:val="2F200A3B"/>
    <w:rsid w:val="2F2137FE"/>
    <w:rsid w:val="2F263BA4"/>
    <w:rsid w:val="2F3A72E3"/>
    <w:rsid w:val="2F653168"/>
    <w:rsid w:val="2F6B39F5"/>
    <w:rsid w:val="2F706E19"/>
    <w:rsid w:val="2F904957"/>
    <w:rsid w:val="302208F9"/>
    <w:rsid w:val="302B4A87"/>
    <w:rsid w:val="302D729E"/>
    <w:rsid w:val="302E7A15"/>
    <w:rsid w:val="303F12D7"/>
    <w:rsid w:val="304747A7"/>
    <w:rsid w:val="305F4EA1"/>
    <w:rsid w:val="308F520A"/>
    <w:rsid w:val="30937ED9"/>
    <w:rsid w:val="30A368ED"/>
    <w:rsid w:val="30BD0622"/>
    <w:rsid w:val="30C145B6"/>
    <w:rsid w:val="30CC4D09"/>
    <w:rsid w:val="30D33429"/>
    <w:rsid w:val="30F57DBC"/>
    <w:rsid w:val="31366F97"/>
    <w:rsid w:val="313E4F30"/>
    <w:rsid w:val="314532C5"/>
    <w:rsid w:val="315B5DF3"/>
    <w:rsid w:val="315D0960"/>
    <w:rsid w:val="31667C04"/>
    <w:rsid w:val="317F5A93"/>
    <w:rsid w:val="31A44A74"/>
    <w:rsid w:val="31AB4304"/>
    <w:rsid w:val="31BC6DCF"/>
    <w:rsid w:val="31C549F4"/>
    <w:rsid w:val="31D0557F"/>
    <w:rsid w:val="31DD2B0F"/>
    <w:rsid w:val="31E06C07"/>
    <w:rsid w:val="31E84814"/>
    <w:rsid w:val="31F956D7"/>
    <w:rsid w:val="3210554B"/>
    <w:rsid w:val="32196588"/>
    <w:rsid w:val="32467BBD"/>
    <w:rsid w:val="324B78A1"/>
    <w:rsid w:val="32583EB4"/>
    <w:rsid w:val="32686FC0"/>
    <w:rsid w:val="328630F3"/>
    <w:rsid w:val="32987BEE"/>
    <w:rsid w:val="329D070B"/>
    <w:rsid w:val="32A4059D"/>
    <w:rsid w:val="32B81C90"/>
    <w:rsid w:val="32BA3EF2"/>
    <w:rsid w:val="32C44DB9"/>
    <w:rsid w:val="32D61BDC"/>
    <w:rsid w:val="32DF2AD1"/>
    <w:rsid w:val="32F3136D"/>
    <w:rsid w:val="33265F77"/>
    <w:rsid w:val="332D11B8"/>
    <w:rsid w:val="332D25EE"/>
    <w:rsid w:val="33390F62"/>
    <w:rsid w:val="33615351"/>
    <w:rsid w:val="33661B56"/>
    <w:rsid w:val="338462EC"/>
    <w:rsid w:val="33911E06"/>
    <w:rsid w:val="33A52295"/>
    <w:rsid w:val="33A93AA6"/>
    <w:rsid w:val="33C545E6"/>
    <w:rsid w:val="33D75E9F"/>
    <w:rsid w:val="33DF1880"/>
    <w:rsid w:val="33E4118E"/>
    <w:rsid w:val="33E8669B"/>
    <w:rsid w:val="33FE4D2C"/>
    <w:rsid w:val="34282E38"/>
    <w:rsid w:val="342A3204"/>
    <w:rsid w:val="342E12F5"/>
    <w:rsid w:val="344468B8"/>
    <w:rsid w:val="344F3C87"/>
    <w:rsid w:val="34534356"/>
    <w:rsid w:val="3457735C"/>
    <w:rsid w:val="345A507C"/>
    <w:rsid w:val="346D7F6A"/>
    <w:rsid w:val="3479664E"/>
    <w:rsid w:val="349C54E9"/>
    <w:rsid w:val="34A3542A"/>
    <w:rsid w:val="34A854DD"/>
    <w:rsid w:val="34B674D0"/>
    <w:rsid w:val="34C342EC"/>
    <w:rsid w:val="34DB6ABA"/>
    <w:rsid w:val="34E930D7"/>
    <w:rsid w:val="35025507"/>
    <w:rsid w:val="35325E66"/>
    <w:rsid w:val="353651D3"/>
    <w:rsid w:val="354C606D"/>
    <w:rsid w:val="356C4FC6"/>
    <w:rsid w:val="356E51A4"/>
    <w:rsid w:val="357429DE"/>
    <w:rsid w:val="359F00D4"/>
    <w:rsid w:val="35A822E4"/>
    <w:rsid w:val="35B069A7"/>
    <w:rsid w:val="35BC4BD1"/>
    <w:rsid w:val="35BF3693"/>
    <w:rsid w:val="35C3284D"/>
    <w:rsid w:val="35D13B5B"/>
    <w:rsid w:val="35DF5F92"/>
    <w:rsid w:val="361030D7"/>
    <w:rsid w:val="36132FB5"/>
    <w:rsid w:val="36216BB4"/>
    <w:rsid w:val="36363350"/>
    <w:rsid w:val="366F6DF0"/>
    <w:rsid w:val="36A0112E"/>
    <w:rsid w:val="36AA0DA9"/>
    <w:rsid w:val="36C13D71"/>
    <w:rsid w:val="36CC11C0"/>
    <w:rsid w:val="36CF634B"/>
    <w:rsid w:val="36D65743"/>
    <w:rsid w:val="36F17843"/>
    <w:rsid w:val="37290699"/>
    <w:rsid w:val="37310BCE"/>
    <w:rsid w:val="373F521D"/>
    <w:rsid w:val="374C0170"/>
    <w:rsid w:val="37605FB0"/>
    <w:rsid w:val="37773C20"/>
    <w:rsid w:val="377E6681"/>
    <w:rsid w:val="379A6684"/>
    <w:rsid w:val="379F7254"/>
    <w:rsid w:val="37C60482"/>
    <w:rsid w:val="37F56B43"/>
    <w:rsid w:val="38231F67"/>
    <w:rsid w:val="38343CB0"/>
    <w:rsid w:val="383508B3"/>
    <w:rsid w:val="38641F79"/>
    <w:rsid w:val="38681C18"/>
    <w:rsid w:val="38694E49"/>
    <w:rsid w:val="38695286"/>
    <w:rsid w:val="38725314"/>
    <w:rsid w:val="38904830"/>
    <w:rsid w:val="38A14AE0"/>
    <w:rsid w:val="38AD4493"/>
    <w:rsid w:val="38C12A1B"/>
    <w:rsid w:val="38C90A09"/>
    <w:rsid w:val="38D17643"/>
    <w:rsid w:val="38DE476C"/>
    <w:rsid w:val="38E14037"/>
    <w:rsid w:val="3902576C"/>
    <w:rsid w:val="392163E9"/>
    <w:rsid w:val="39327A39"/>
    <w:rsid w:val="39396CB4"/>
    <w:rsid w:val="393C3924"/>
    <w:rsid w:val="39730417"/>
    <w:rsid w:val="398C14D9"/>
    <w:rsid w:val="39910DA3"/>
    <w:rsid w:val="39A74741"/>
    <w:rsid w:val="39E41315"/>
    <w:rsid w:val="39E53DD9"/>
    <w:rsid w:val="39EB4452"/>
    <w:rsid w:val="39EC20D0"/>
    <w:rsid w:val="39ED0491"/>
    <w:rsid w:val="3A030BE1"/>
    <w:rsid w:val="3A0472C2"/>
    <w:rsid w:val="3A2C7310"/>
    <w:rsid w:val="3A383CB2"/>
    <w:rsid w:val="3A445910"/>
    <w:rsid w:val="3A574617"/>
    <w:rsid w:val="3A8A441C"/>
    <w:rsid w:val="3A8D3293"/>
    <w:rsid w:val="3A960861"/>
    <w:rsid w:val="3A9D6C8E"/>
    <w:rsid w:val="3AAA7D14"/>
    <w:rsid w:val="3ADE7B13"/>
    <w:rsid w:val="3AE53F6B"/>
    <w:rsid w:val="3B2B7AD2"/>
    <w:rsid w:val="3B2C4D22"/>
    <w:rsid w:val="3B2C713D"/>
    <w:rsid w:val="3B462C7B"/>
    <w:rsid w:val="3B463151"/>
    <w:rsid w:val="3B4958D4"/>
    <w:rsid w:val="3B670585"/>
    <w:rsid w:val="3B8C591A"/>
    <w:rsid w:val="3B8D059F"/>
    <w:rsid w:val="3B9021C0"/>
    <w:rsid w:val="3B933ABE"/>
    <w:rsid w:val="3B962B11"/>
    <w:rsid w:val="3BA77740"/>
    <w:rsid w:val="3BAC1EAB"/>
    <w:rsid w:val="3BF15191"/>
    <w:rsid w:val="3BFA50AE"/>
    <w:rsid w:val="3C3418D0"/>
    <w:rsid w:val="3C355E58"/>
    <w:rsid w:val="3C3F223E"/>
    <w:rsid w:val="3C5E5D4D"/>
    <w:rsid w:val="3C6F4072"/>
    <w:rsid w:val="3C7006C7"/>
    <w:rsid w:val="3C8D3AD5"/>
    <w:rsid w:val="3C923E23"/>
    <w:rsid w:val="3CB07889"/>
    <w:rsid w:val="3CD910CA"/>
    <w:rsid w:val="3CEE251A"/>
    <w:rsid w:val="3CF863CC"/>
    <w:rsid w:val="3CFB76AB"/>
    <w:rsid w:val="3D052C2E"/>
    <w:rsid w:val="3D06170D"/>
    <w:rsid w:val="3D0B74C0"/>
    <w:rsid w:val="3D100746"/>
    <w:rsid w:val="3D275C42"/>
    <w:rsid w:val="3D324146"/>
    <w:rsid w:val="3D4F2619"/>
    <w:rsid w:val="3D55637A"/>
    <w:rsid w:val="3D66086A"/>
    <w:rsid w:val="3D661DAC"/>
    <w:rsid w:val="3D6F3ED9"/>
    <w:rsid w:val="3D8C03A1"/>
    <w:rsid w:val="3D9E3AA8"/>
    <w:rsid w:val="3DA950D6"/>
    <w:rsid w:val="3DBE02E4"/>
    <w:rsid w:val="3DBE2B76"/>
    <w:rsid w:val="3DC073D5"/>
    <w:rsid w:val="3DC45CFD"/>
    <w:rsid w:val="3DE26836"/>
    <w:rsid w:val="3DFC697F"/>
    <w:rsid w:val="3DFF200F"/>
    <w:rsid w:val="3E004812"/>
    <w:rsid w:val="3E01213C"/>
    <w:rsid w:val="3E4F4131"/>
    <w:rsid w:val="3E6D5D5A"/>
    <w:rsid w:val="3E9951FF"/>
    <w:rsid w:val="3EA544B0"/>
    <w:rsid w:val="3EAA1D5D"/>
    <w:rsid w:val="3EAE5A4E"/>
    <w:rsid w:val="3ECB55B2"/>
    <w:rsid w:val="3EF912D6"/>
    <w:rsid w:val="3F0833B0"/>
    <w:rsid w:val="3F1B4549"/>
    <w:rsid w:val="3F2D452B"/>
    <w:rsid w:val="3F453B96"/>
    <w:rsid w:val="3F4A5BF9"/>
    <w:rsid w:val="3F9478A2"/>
    <w:rsid w:val="3FA65787"/>
    <w:rsid w:val="3FC419CD"/>
    <w:rsid w:val="3FD652BE"/>
    <w:rsid w:val="3FF52017"/>
    <w:rsid w:val="3FFB594A"/>
    <w:rsid w:val="40023B72"/>
    <w:rsid w:val="402B1A4C"/>
    <w:rsid w:val="40350616"/>
    <w:rsid w:val="403509FF"/>
    <w:rsid w:val="403F065B"/>
    <w:rsid w:val="4042033B"/>
    <w:rsid w:val="404B0D3D"/>
    <w:rsid w:val="40793774"/>
    <w:rsid w:val="408B0EAA"/>
    <w:rsid w:val="40915C04"/>
    <w:rsid w:val="40920193"/>
    <w:rsid w:val="40A62E81"/>
    <w:rsid w:val="40B1012B"/>
    <w:rsid w:val="40B25CC9"/>
    <w:rsid w:val="40B33795"/>
    <w:rsid w:val="40ED2F94"/>
    <w:rsid w:val="40EE27D7"/>
    <w:rsid w:val="410C1159"/>
    <w:rsid w:val="412D1899"/>
    <w:rsid w:val="4132718C"/>
    <w:rsid w:val="4132783E"/>
    <w:rsid w:val="4147227C"/>
    <w:rsid w:val="415349DB"/>
    <w:rsid w:val="416517CD"/>
    <w:rsid w:val="41A35612"/>
    <w:rsid w:val="41CC7C0D"/>
    <w:rsid w:val="41D40C2D"/>
    <w:rsid w:val="41D47424"/>
    <w:rsid w:val="41EC2C76"/>
    <w:rsid w:val="420824E6"/>
    <w:rsid w:val="4215701E"/>
    <w:rsid w:val="422B7504"/>
    <w:rsid w:val="422E1201"/>
    <w:rsid w:val="423A2505"/>
    <w:rsid w:val="42476EA5"/>
    <w:rsid w:val="424D450A"/>
    <w:rsid w:val="42517F39"/>
    <w:rsid w:val="425763AA"/>
    <w:rsid w:val="4263645E"/>
    <w:rsid w:val="427F2824"/>
    <w:rsid w:val="428C2CC2"/>
    <w:rsid w:val="42B81DAD"/>
    <w:rsid w:val="42D662E6"/>
    <w:rsid w:val="42D7177A"/>
    <w:rsid w:val="42F81DEE"/>
    <w:rsid w:val="43097E84"/>
    <w:rsid w:val="431A1904"/>
    <w:rsid w:val="432033EC"/>
    <w:rsid w:val="432D60EC"/>
    <w:rsid w:val="43355E13"/>
    <w:rsid w:val="433E6585"/>
    <w:rsid w:val="435C3CCA"/>
    <w:rsid w:val="43921836"/>
    <w:rsid w:val="43930B6D"/>
    <w:rsid w:val="439416B6"/>
    <w:rsid w:val="43AC11CE"/>
    <w:rsid w:val="43C37C20"/>
    <w:rsid w:val="43CD619D"/>
    <w:rsid w:val="43D116E2"/>
    <w:rsid w:val="43D1696B"/>
    <w:rsid w:val="43E87959"/>
    <w:rsid w:val="43E95D97"/>
    <w:rsid w:val="44294910"/>
    <w:rsid w:val="442D7D9E"/>
    <w:rsid w:val="4436762C"/>
    <w:rsid w:val="444F3467"/>
    <w:rsid w:val="444F55DD"/>
    <w:rsid w:val="444F7F7C"/>
    <w:rsid w:val="44733383"/>
    <w:rsid w:val="449F3619"/>
    <w:rsid w:val="44A771C7"/>
    <w:rsid w:val="44B801D3"/>
    <w:rsid w:val="44D64A20"/>
    <w:rsid w:val="44DE2740"/>
    <w:rsid w:val="44E7409E"/>
    <w:rsid w:val="44E93A5D"/>
    <w:rsid w:val="44F00F98"/>
    <w:rsid w:val="44F4117B"/>
    <w:rsid w:val="44FD0540"/>
    <w:rsid w:val="45266F9C"/>
    <w:rsid w:val="452E1CEA"/>
    <w:rsid w:val="45491143"/>
    <w:rsid w:val="45571E1F"/>
    <w:rsid w:val="458C51C1"/>
    <w:rsid w:val="4591247E"/>
    <w:rsid w:val="45983E90"/>
    <w:rsid w:val="45B63752"/>
    <w:rsid w:val="45C43326"/>
    <w:rsid w:val="45CB50BD"/>
    <w:rsid w:val="45E12812"/>
    <w:rsid w:val="45F434FE"/>
    <w:rsid w:val="46012F06"/>
    <w:rsid w:val="460A532F"/>
    <w:rsid w:val="460C21BF"/>
    <w:rsid w:val="460E4EEF"/>
    <w:rsid w:val="46275941"/>
    <w:rsid w:val="463843BF"/>
    <w:rsid w:val="4658115A"/>
    <w:rsid w:val="46727F29"/>
    <w:rsid w:val="469C1E2A"/>
    <w:rsid w:val="46C210EA"/>
    <w:rsid w:val="46E44703"/>
    <w:rsid w:val="471E2EF5"/>
    <w:rsid w:val="4720068A"/>
    <w:rsid w:val="472B44EB"/>
    <w:rsid w:val="472C5B74"/>
    <w:rsid w:val="473B569A"/>
    <w:rsid w:val="474C4639"/>
    <w:rsid w:val="47965B23"/>
    <w:rsid w:val="47997CE8"/>
    <w:rsid w:val="479A6D9B"/>
    <w:rsid w:val="47A31BF7"/>
    <w:rsid w:val="47AD46B5"/>
    <w:rsid w:val="47B4584B"/>
    <w:rsid w:val="47BD1989"/>
    <w:rsid w:val="47C26B38"/>
    <w:rsid w:val="47E34B6B"/>
    <w:rsid w:val="47E745AD"/>
    <w:rsid w:val="47EA598F"/>
    <w:rsid w:val="47F174A3"/>
    <w:rsid w:val="47F23536"/>
    <w:rsid w:val="47F77C7F"/>
    <w:rsid w:val="485338EE"/>
    <w:rsid w:val="4879231E"/>
    <w:rsid w:val="487A4EBD"/>
    <w:rsid w:val="487B59B4"/>
    <w:rsid w:val="48806ED1"/>
    <w:rsid w:val="488E0D2C"/>
    <w:rsid w:val="48931F3C"/>
    <w:rsid w:val="48934632"/>
    <w:rsid w:val="48BC1AB5"/>
    <w:rsid w:val="48C20A0E"/>
    <w:rsid w:val="48CD5897"/>
    <w:rsid w:val="48E61B03"/>
    <w:rsid w:val="48E66EA9"/>
    <w:rsid w:val="48E82F28"/>
    <w:rsid w:val="48E927DD"/>
    <w:rsid w:val="48EF27E2"/>
    <w:rsid w:val="491B0EAE"/>
    <w:rsid w:val="49456AD7"/>
    <w:rsid w:val="49476E0B"/>
    <w:rsid w:val="495D254A"/>
    <w:rsid w:val="4977360C"/>
    <w:rsid w:val="497736A1"/>
    <w:rsid w:val="49860355"/>
    <w:rsid w:val="49862A39"/>
    <w:rsid w:val="49962E28"/>
    <w:rsid w:val="49A7010E"/>
    <w:rsid w:val="49C90702"/>
    <w:rsid w:val="49D86FD4"/>
    <w:rsid w:val="49E15307"/>
    <w:rsid w:val="4A034DB5"/>
    <w:rsid w:val="4A103E5C"/>
    <w:rsid w:val="4A1D7F31"/>
    <w:rsid w:val="4A3D2A20"/>
    <w:rsid w:val="4A4A6F73"/>
    <w:rsid w:val="4A4C1B2C"/>
    <w:rsid w:val="4A5E31D8"/>
    <w:rsid w:val="4A5F0776"/>
    <w:rsid w:val="4A652F39"/>
    <w:rsid w:val="4A680CBF"/>
    <w:rsid w:val="4A6F1FB3"/>
    <w:rsid w:val="4A702BCE"/>
    <w:rsid w:val="4AB250E2"/>
    <w:rsid w:val="4ACF7724"/>
    <w:rsid w:val="4ADC6563"/>
    <w:rsid w:val="4AEA0F46"/>
    <w:rsid w:val="4AEC1DD8"/>
    <w:rsid w:val="4AED52AE"/>
    <w:rsid w:val="4AF25728"/>
    <w:rsid w:val="4B3F61E3"/>
    <w:rsid w:val="4B44603E"/>
    <w:rsid w:val="4B466F5E"/>
    <w:rsid w:val="4B6202EA"/>
    <w:rsid w:val="4B7400C3"/>
    <w:rsid w:val="4B8449D3"/>
    <w:rsid w:val="4B922ABF"/>
    <w:rsid w:val="4B924671"/>
    <w:rsid w:val="4B9B3EE9"/>
    <w:rsid w:val="4BAE4139"/>
    <w:rsid w:val="4BB66175"/>
    <w:rsid w:val="4BBE2D6D"/>
    <w:rsid w:val="4BC3375F"/>
    <w:rsid w:val="4BF8578E"/>
    <w:rsid w:val="4C0379FF"/>
    <w:rsid w:val="4C371778"/>
    <w:rsid w:val="4C3833CF"/>
    <w:rsid w:val="4C554FD9"/>
    <w:rsid w:val="4C5E0AB3"/>
    <w:rsid w:val="4C614CE6"/>
    <w:rsid w:val="4C660555"/>
    <w:rsid w:val="4C707694"/>
    <w:rsid w:val="4C883F4D"/>
    <w:rsid w:val="4C9D4382"/>
    <w:rsid w:val="4CAD45B8"/>
    <w:rsid w:val="4CAF6AC5"/>
    <w:rsid w:val="4CCE07B0"/>
    <w:rsid w:val="4CD65E36"/>
    <w:rsid w:val="4CE74ABA"/>
    <w:rsid w:val="4CEF25D7"/>
    <w:rsid w:val="4CEF30EC"/>
    <w:rsid w:val="4CF70A47"/>
    <w:rsid w:val="4D00600E"/>
    <w:rsid w:val="4D195B29"/>
    <w:rsid w:val="4D1969AA"/>
    <w:rsid w:val="4D2F0AFA"/>
    <w:rsid w:val="4D32236F"/>
    <w:rsid w:val="4D615C2A"/>
    <w:rsid w:val="4D8245AB"/>
    <w:rsid w:val="4DAE7818"/>
    <w:rsid w:val="4DB33A89"/>
    <w:rsid w:val="4DB34B39"/>
    <w:rsid w:val="4DB919D1"/>
    <w:rsid w:val="4DBF1198"/>
    <w:rsid w:val="4DCE117D"/>
    <w:rsid w:val="4DCE2A71"/>
    <w:rsid w:val="4DD23DCF"/>
    <w:rsid w:val="4DF407EA"/>
    <w:rsid w:val="4E093A0C"/>
    <w:rsid w:val="4E1630AB"/>
    <w:rsid w:val="4E1A34EA"/>
    <w:rsid w:val="4E35690A"/>
    <w:rsid w:val="4E370498"/>
    <w:rsid w:val="4E3C3BD6"/>
    <w:rsid w:val="4E3F401D"/>
    <w:rsid w:val="4E522FF6"/>
    <w:rsid w:val="4E616F60"/>
    <w:rsid w:val="4E662707"/>
    <w:rsid w:val="4E674EAC"/>
    <w:rsid w:val="4E8C64A0"/>
    <w:rsid w:val="4E9133C2"/>
    <w:rsid w:val="4EA604F0"/>
    <w:rsid w:val="4EA7764F"/>
    <w:rsid w:val="4EBE213C"/>
    <w:rsid w:val="4EC91F70"/>
    <w:rsid w:val="4ED2260F"/>
    <w:rsid w:val="4EDA65C3"/>
    <w:rsid w:val="4EE40363"/>
    <w:rsid w:val="4F073A38"/>
    <w:rsid w:val="4F0F7EA8"/>
    <w:rsid w:val="4F12064C"/>
    <w:rsid w:val="4F3F5E88"/>
    <w:rsid w:val="4F580F17"/>
    <w:rsid w:val="4F5F526E"/>
    <w:rsid w:val="4F6D1220"/>
    <w:rsid w:val="4F762DAE"/>
    <w:rsid w:val="4F7D73E1"/>
    <w:rsid w:val="4F834CCA"/>
    <w:rsid w:val="4F8E3CC0"/>
    <w:rsid w:val="4F9D7B44"/>
    <w:rsid w:val="4FA24D1F"/>
    <w:rsid w:val="4FD81297"/>
    <w:rsid w:val="4FE70D16"/>
    <w:rsid w:val="50241658"/>
    <w:rsid w:val="50275EA4"/>
    <w:rsid w:val="50315467"/>
    <w:rsid w:val="50425A9C"/>
    <w:rsid w:val="50450ACE"/>
    <w:rsid w:val="504A1A7A"/>
    <w:rsid w:val="507A1C34"/>
    <w:rsid w:val="50853BC0"/>
    <w:rsid w:val="508D6958"/>
    <w:rsid w:val="509C0195"/>
    <w:rsid w:val="509C7B80"/>
    <w:rsid w:val="509E0420"/>
    <w:rsid w:val="509E3E6C"/>
    <w:rsid w:val="50B574C2"/>
    <w:rsid w:val="50BD1E30"/>
    <w:rsid w:val="50C40AE1"/>
    <w:rsid w:val="50CA577A"/>
    <w:rsid w:val="50CC06E1"/>
    <w:rsid w:val="50DF7FEA"/>
    <w:rsid w:val="50EC0822"/>
    <w:rsid w:val="511B7DBA"/>
    <w:rsid w:val="51355F76"/>
    <w:rsid w:val="51455820"/>
    <w:rsid w:val="514F30C0"/>
    <w:rsid w:val="51552BCE"/>
    <w:rsid w:val="51596929"/>
    <w:rsid w:val="5161689D"/>
    <w:rsid w:val="51654692"/>
    <w:rsid w:val="51701D94"/>
    <w:rsid w:val="517E588A"/>
    <w:rsid w:val="518862FE"/>
    <w:rsid w:val="518A160F"/>
    <w:rsid w:val="518D741E"/>
    <w:rsid w:val="519915B9"/>
    <w:rsid w:val="51AA2365"/>
    <w:rsid w:val="51AC2F54"/>
    <w:rsid w:val="51D365F6"/>
    <w:rsid w:val="52080969"/>
    <w:rsid w:val="520A017F"/>
    <w:rsid w:val="522E0F28"/>
    <w:rsid w:val="524C4020"/>
    <w:rsid w:val="525C15DD"/>
    <w:rsid w:val="5274232A"/>
    <w:rsid w:val="52963AF0"/>
    <w:rsid w:val="52A743DC"/>
    <w:rsid w:val="52B31BD0"/>
    <w:rsid w:val="52E06999"/>
    <w:rsid w:val="52E256D7"/>
    <w:rsid w:val="53024E4B"/>
    <w:rsid w:val="5324237E"/>
    <w:rsid w:val="532F2187"/>
    <w:rsid w:val="53392BF4"/>
    <w:rsid w:val="53554DDC"/>
    <w:rsid w:val="53557F13"/>
    <w:rsid w:val="536015B5"/>
    <w:rsid w:val="5362004C"/>
    <w:rsid w:val="53636141"/>
    <w:rsid w:val="5374531A"/>
    <w:rsid w:val="53922499"/>
    <w:rsid w:val="539D30C9"/>
    <w:rsid w:val="53AA3A7D"/>
    <w:rsid w:val="53AE4380"/>
    <w:rsid w:val="53B03121"/>
    <w:rsid w:val="53BB10C7"/>
    <w:rsid w:val="53CC7217"/>
    <w:rsid w:val="53D626C5"/>
    <w:rsid w:val="54242E4C"/>
    <w:rsid w:val="54412B36"/>
    <w:rsid w:val="54C072D9"/>
    <w:rsid w:val="54C71925"/>
    <w:rsid w:val="54CE4645"/>
    <w:rsid w:val="54D02CF7"/>
    <w:rsid w:val="54D6027E"/>
    <w:rsid w:val="54D85429"/>
    <w:rsid w:val="54E03E26"/>
    <w:rsid w:val="54EC0ECB"/>
    <w:rsid w:val="54EC7476"/>
    <w:rsid w:val="54FA756C"/>
    <w:rsid w:val="551E5311"/>
    <w:rsid w:val="552677E5"/>
    <w:rsid w:val="5527468C"/>
    <w:rsid w:val="55370C70"/>
    <w:rsid w:val="554C1057"/>
    <w:rsid w:val="55592760"/>
    <w:rsid w:val="55712419"/>
    <w:rsid w:val="55911EF9"/>
    <w:rsid w:val="559955C0"/>
    <w:rsid w:val="55B2671B"/>
    <w:rsid w:val="55B300C2"/>
    <w:rsid w:val="55C93441"/>
    <w:rsid w:val="55D843B5"/>
    <w:rsid w:val="55E2722D"/>
    <w:rsid w:val="55FA3E5A"/>
    <w:rsid w:val="55FA55A0"/>
    <w:rsid w:val="56072E57"/>
    <w:rsid w:val="5607517C"/>
    <w:rsid w:val="560806A1"/>
    <w:rsid w:val="561A3557"/>
    <w:rsid w:val="56336B0D"/>
    <w:rsid w:val="56377B71"/>
    <w:rsid w:val="5643282E"/>
    <w:rsid w:val="56663489"/>
    <w:rsid w:val="566E36A3"/>
    <w:rsid w:val="569136F0"/>
    <w:rsid w:val="56972CD2"/>
    <w:rsid w:val="56977F23"/>
    <w:rsid w:val="56AC41A1"/>
    <w:rsid w:val="56B54777"/>
    <w:rsid w:val="56BC11C7"/>
    <w:rsid w:val="56BD7928"/>
    <w:rsid w:val="56C865C5"/>
    <w:rsid w:val="56F139D4"/>
    <w:rsid w:val="57077C7E"/>
    <w:rsid w:val="570B75B9"/>
    <w:rsid w:val="5712014B"/>
    <w:rsid w:val="571C6413"/>
    <w:rsid w:val="574E62A5"/>
    <w:rsid w:val="575325F1"/>
    <w:rsid w:val="57574A7D"/>
    <w:rsid w:val="576B18B4"/>
    <w:rsid w:val="57710DCC"/>
    <w:rsid w:val="5778488D"/>
    <w:rsid w:val="578B1A54"/>
    <w:rsid w:val="57BA796B"/>
    <w:rsid w:val="57C90407"/>
    <w:rsid w:val="57F02253"/>
    <w:rsid w:val="58086375"/>
    <w:rsid w:val="58276B45"/>
    <w:rsid w:val="58380DE8"/>
    <w:rsid w:val="583E4016"/>
    <w:rsid w:val="583F6B6B"/>
    <w:rsid w:val="58460109"/>
    <w:rsid w:val="585E49ED"/>
    <w:rsid w:val="58627B7D"/>
    <w:rsid w:val="586654A5"/>
    <w:rsid w:val="58823F70"/>
    <w:rsid w:val="589A7EB4"/>
    <w:rsid w:val="589B264B"/>
    <w:rsid w:val="589D5702"/>
    <w:rsid w:val="58BF28DA"/>
    <w:rsid w:val="58DB2CCD"/>
    <w:rsid w:val="58FC1D80"/>
    <w:rsid w:val="59084D7B"/>
    <w:rsid w:val="59140C43"/>
    <w:rsid w:val="59215992"/>
    <w:rsid w:val="59275F39"/>
    <w:rsid w:val="59276577"/>
    <w:rsid w:val="5934151A"/>
    <w:rsid w:val="5934441F"/>
    <w:rsid w:val="59502435"/>
    <w:rsid w:val="595C62A8"/>
    <w:rsid w:val="596278A9"/>
    <w:rsid w:val="59774199"/>
    <w:rsid w:val="597933D0"/>
    <w:rsid w:val="597F3BE9"/>
    <w:rsid w:val="598453B0"/>
    <w:rsid w:val="59943DEF"/>
    <w:rsid w:val="59A32BCE"/>
    <w:rsid w:val="59F62804"/>
    <w:rsid w:val="5A003654"/>
    <w:rsid w:val="5A073C2D"/>
    <w:rsid w:val="5A0E2A35"/>
    <w:rsid w:val="5A327EDE"/>
    <w:rsid w:val="5A3B170E"/>
    <w:rsid w:val="5A3B6E4F"/>
    <w:rsid w:val="5A40309E"/>
    <w:rsid w:val="5A43058D"/>
    <w:rsid w:val="5A503A0A"/>
    <w:rsid w:val="5A5326CA"/>
    <w:rsid w:val="5A633DBE"/>
    <w:rsid w:val="5A79263F"/>
    <w:rsid w:val="5A7D4090"/>
    <w:rsid w:val="5A812CB4"/>
    <w:rsid w:val="5A89290E"/>
    <w:rsid w:val="5A9B29A5"/>
    <w:rsid w:val="5AA87A30"/>
    <w:rsid w:val="5ABE3F58"/>
    <w:rsid w:val="5AC10B8B"/>
    <w:rsid w:val="5AE7179C"/>
    <w:rsid w:val="5AEC4C82"/>
    <w:rsid w:val="5B1F2109"/>
    <w:rsid w:val="5B202A8B"/>
    <w:rsid w:val="5B304C44"/>
    <w:rsid w:val="5B386A15"/>
    <w:rsid w:val="5B4822BF"/>
    <w:rsid w:val="5B5639C9"/>
    <w:rsid w:val="5B5B4112"/>
    <w:rsid w:val="5B5E0465"/>
    <w:rsid w:val="5B807BCC"/>
    <w:rsid w:val="5B8F54FF"/>
    <w:rsid w:val="5BBF67A3"/>
    <w:rsid w:val="5BC17FE6"/>
    <w:rsid w:val="5BCE20ED"/>
    <w:rsid w:val="5BD15B30"/>
    <w:rsid w:val="5BD40551"/>
    <w:rsid w:val="5BDD673D"/>
    <w:rsid w:val="5C1677DC"/>
    <w:rsid w:val="5C2B2110"/>
    <w:rsid w:val="5C2E5777"/>
    <w:rsid w:val="5C337866"/>
    <w:rsid w:val="5C3F08AF"/>
    <w:rsid w:val="5C4012AE"/>
    <w:rsid w:val="5C4F3C12"/>
    <w:rsid w:val="5C606182"/>
    <w:rsid w:val="5C7C5057"/>
    <w:rsid w:val="5C902173"/>
    <w:rsid w:val="5C986B36"/>
    <w:rsid w:val="5CA72209"/>
    <w:rsid w:val="5CA74618"/>
    <w:rsid w:val="5CAB6E01"/>
    <w:rsid w:val="5CD26161"/>
    <w:rsid w:val="5CDB1863"/>
    <w:rsid w:val="5CE324C6"/>
    <w:rsid w:val="5CF003E8"/>
    <w:rsid w:val="5CFC3588"/>
    <w:rsid w:val="5D0D54ED"/>
    <w:rsid w:val="5D153410"/>
    <w:rsid w:val="5D2F708B"/>
    <w:rsid w:val="5D5F0EED"/>
    <w:rsid w:val="5D664EEC"/>
    <w:rsid w:val="5D6D760A"/>
    <w:rsid w:val="5D72060F"/>
    <w:rsid w:val="5D7B1BEE"/>
    <w:rsid w:val="5D8052CB"/>
    <w:rsid w:val="5D9968BA"/>
    <w:rsid w:val="5D9978C0"/>
    <w:rsid w:val="5D9B1982"/>
    <w:rsid w:val="5DAD3C32"/>
    <w:rsid w:val="5DCB15BC"/>
    <w:rsid w:val="5DCF6A12"/>
    <w:rsid w:val="5DE66B5A"/>
    <w:rsid w:val="5DFA616A"/>
    <w:rsid w:val="5E135BA1"/>
    <w:rsid w:val="5E1C0CED"/>
    <w:rsid w:val="5E281B6A"/>
    <w:rsid w:val="5E2B3B0A"/>
    <w:rsid w:val="5E3112F0"/>
    <w:rsid w:val="5E3562A3"/>
    <w:rsid w:val="5E47154D"/>
    <w:rsid w:val="5E4E70CF"/>
    <w:rsid w:val="5E67277D"/>
    <w:rsid w:val="5E6B2608"/>
    <w:rsid w:val="5E7D354A"/>
    <w:rsid w:val="5EA26F25"/>
    <w:rsid w:val="5EA35ED1"/>
    <w:rsid w:val="5EBB4C1B"/>
    <w:rsid w:val="5ED23DAF"/>
    <w:rsid w:val="5EE27972"/>
    <w:rsid w:val="5F1A7DC5"/>
    <w:rsid w:val="5F2C4F60"/>
    <w:rsid w:val="5F322C4B"/>
    <w:rsid w:val="5F372F42"/>
    <w:rsid w:val="5F3E6C8F"/>
    <w:rsid w:val="5F5D16DC"/>
    <w:rsid w:val="5F7D3BFB"/>
    <w:rsid w:val="5F892F8C"/>
    <w:rsid w:val="5F8B025D"/>
    <w:rsid w:val="5F967E82"/>
    <w:rsid w:val="5FAE3DAD"/>
    <w:rsid w:val="5FBA3DFB"/>
    <w:rsid w:val="5FBC5DC5"/>
    <w:rsid w:val="5FCD1D80"/>
    <w:rsid w:val="5FCF332A"/>
    <w:rsid w:val="5FD674EE"/>
    <w:rsid w:val="5FDB6EB4"/>
    <w:rsid w:val="5FF612D7"/>
    <w:rsid w:val="60056215"/>
    <w:rsid w:val="60076054"/>
    <w:rsid w:val="602F2DDE"/>
    <w:rsid w:val="60326B38"/>
    <w:rsid w:val="60343266"/>
    <w:rsid w:val="603E07AE"/>
    <w:rsid w:val="60411C3C"/>
    <w:rsid w:val="604A517F"/>
    <w:rsid w:val="607B2EC6"/>
    <w:rsid w:val="60846DD9"/>
    <w:rsid w:val="609664CC"/>
    <w:rsid w:val="60A04DE3"/>
    <w:rsid w:val="60A0542A"/>
    <w:rsid w:val="60AA0EEE"/>
    <w:rsid w:val="60AE2754"/>
    <w:rsid w:val="61115782"/>
    <w:rsid w:val="612B5C05"/>
    <w:rsid w:val="612C4C30"/>
    <w:rsid w:val="61405913"/>
    <w:rsid w:val="61447564"/>
    <w:rsid w:val="614E3A55"/>
    <w:rsid w:val="615846F3"/>
    <w:rsid w:val="61630CBA"/>
    <w:rsid w:val="61651168"/>
    <w:rsid w:val="616D549F"/>
    <w:rsid w:val="61861FE1"/>
    <w:rsid w:val="61B21FFF"/>
    <w:rsid w:val="61CB1384"/>
    <w:rsid w:val="61CF79AD"/>
    <w:rsid w:val="61D26363"/>
    <w:rsid w:val="61DF3FED"/>
    <w:rsid w:val="61EF60BC"/>
    <w:rsid w:val="61FF6A92"/>
    <w:rsid w:val="62066FF7"/>
    <w:rsid w:val="620B0139"/>
    <w:rsid w:val="621409EA"/>
    <w:rsid w:val="62161CE9"/>
    <w:rsid w:val="622759C3"/>
    <w:rsid w:val="622F0293"/>
    <w:rsid w:val="62330973"/>
    <w:rsid w:val="62361E5F"/>
    <w:rsid w:val="624D364A"/>
    <w:rsid w:val="624E2844"/>
    <w:rsid w:val="62742987"/>
    <w:rsid w:val="62A41AD0"/>
    <w:rsid w:val="62B8194C"/>
    <w:rsid w:val="62BB06BF"/>
    <w:rsid w:val="62CA1957"/>
    <w:rsid w:val="62CF1156"/>
    <w:rsid w:val="62D92AA1"/>
    <w:rsid w:val="62F43847"/>
    <w:rsid w:val="62FC72F7"/>
    <w:rsid w:val="631211E0"/>
    <w:rsid w:val="6349504B"/>
    <w:rsid w:val="6365014C"/>
    <w:rsid w:val="63AF6F71"/>
    <w:rsid w:val="63B36077"/>
    <w:rsid w:val="63BB29D3"/>
    <w:rsid w:val="63BD5816"/>
    <w:rsid w:val="63D571B4"/>
    <w:rsid w:val="63E05ED1"/>
    <w:rsid w:val="63E95D63"/>
    <w:rsid w:val="63F343CC"/>
    <w:rsid w:val="63FD5676"/>
    <w:rsid w:val="641B3888"/>
    <w:rsid w:val="641C30AA"/>
    <w:rsid w:val="642D0B48"/>
    <w:rsid w:val="644D1164"/>
    <w:rsid w:val="6458699C"/>
    <w:rsid w:val="64767596"/>
    <w:rsid w:val="648B021E"/>
    <w:rsid w:val="6497397F"/>
    <w:rsid w:val="649F5113"/>
    <w:rsid w:val="64B90B25"/>
    <w:rsid w:val="64C20460"/>
    <w:rsid w:val="64C60830"/>
    <w:rsid w:val="64EE33C8"/>
    <w:rsid w:val="65160E35"/>
    <w:rsid w:val="653430D2"/>
    <w:rsid w:val="655B5A46"/>
    <w:rsid w:val="657879EC"/>
    <w:rsid w:val="657E582E"/>
    <w:rsid w:val="658B28E5"/>
    <w:rsid w:val="65BB6A14"/>
    <w:rsid w:val="65CA0986"/>
    <w:rsid w:val="65CA6C66"/>
    <w:rsid w:val="65CB53F5"/>
    <w:rsid w:val="65D07989"/>
    <w:rsid w:val="65E4187B"/>
    <w:rsid w:val="65F04260"/>
    <w:rsid w:val="65F44604"/>
    <w:rsid w:val="660D7A12"/>
    <w:rsid w:val="66174D07"/>
    <w:rsid w:val="661F2C0A"/>
    <w:rsid w:val="662C56CD"/>
    <w:rsid w:val="662C665F"/>
    <w:rsid w:val="6635067F"/>
    <w:rsid w:val="665C5C0C"/>
    <w:rsid w:val="66630029"/>
    <w:rsid w:val="666A3A29"/>
    <w:rsid w:val="666F26A8"/>
    <w:rsid w:val="66761E92"/>
    <w:rsid w:val="667C4D3E"/>
    <w:rsid w:val="66844662"/>
    <w:rsid w:val="66990C0E"/>
    <w:rsid w:val="669C06FE"/>
    <w:rsid w:val="66A442DE"/>
    <w:rsid w:val="66AD2BEB"/>
    <w:rsid w:val="66B4274E"/>
    <w:rsid w:val="66C420D0"/>
    <w:rsid w:val="66D7087D"/>
    <w:rsid w:val="66D734E4"/>
    <w:rsid w:val="6712396C"/>
    <w:rsid w:val="671309C0"/>
    <w:rsid w:val="67296117"/>
    <w:rsid w:val="672C3830"/>
    <w:rsid w:val="672C6D40"/>
    <w:rsid w:val="67363F04"/>
    <w:rsid w:val="673E13FC"/>
    <w:rsid w:val="67414BB2"/>
    <w:rsid w:val="674A13A9"/>
    <w:rsid w:val="6764234E"/>
    <w:rsid w:val="67650EC1"/>
    <w:rsid w:val="67671B97"/>
    <w:rsid w:val="6787315C"/>
    <w:rsid w:val="679512FB"/>
    <w:rsid w:val="6795643B"/>
    <w:rsid w:val="67AC65BB"/>
    <w:rsid w:val="67C34016"/>
    <w:rsid w:val="67D076BA"/>
    <w:rsid w:val="67E52B2B"/>
    <w:rsid w:val="67EA3FC6"/>
    <w:rsid w:val="67EE0060"/>
    <w:rsid w:val="680C4F78"/>
    <w:rsid w:val="680C7752"/>
    <w:rsid w:val="68227A6A"/>
    <w:rsid w:val="68362D49"/>
    <w:rsid w:val="683F48C2"/>
    <w:rsid w:val="684211A2"/>
    <w:rsid w:val="68650227"/>
    <w:rsid w:val="6870387E"/>
    <w:rsid w:val="68731264"/>
    <w:rsid w:val="68766EB0"/>
    <w:rsid w:val="6877144C"/>
    <w:rsid w:val="687C2595"/>
    <w:rsid w:val="68827B95"/>
    <w:rsid w:val="68940BD2"/>
    <w:rsid w:val="68946BE1"/>
    <w:rsid w:val="68981750"/>
    <w:rsid w:val="68A7558A"/>
    <w:rsid w:val="68B42494"/>
    <w:rsid w:val="68BB4B97"/>
    <w:rsid w:val="68BE2BAE"/>
    <w:rsid w:val="68D66B8B"/>
    <w:rsid w:val="68DE19B2"/>
    <w:rsid w:val="68E454D6"/>
    <w:rsid w:val="68EC7332"/>
    <w:rsid w:val="690709D4"/>
    <w:rsid w:val="69122F9E"/>
    <w:rsid w:val="691F258E"/>
    <w:rsid w:val="694C17B1"/>
    <w:rsid w:val="695B41A2"/>
    <w:rsid w:val="69636F54"/>
    <w:rsid w:val="696A199E"/>
    <w:rsid w:val="696C43B8"/>
    <w:rsid w:val="69833DCE"/>
    <w:rsid w:val="69842A0C"/>
    <w:rsid w:val="698C6256"/>
    <w:rsid w:val="698E5D83"/>
    <w:rsid w:val="6997553F"/>
    <w:rsid w:val="69A2090D"/>
    <w:rsid w:val="69C453A3"/>
    <w:rsid w:val="69CD55CA"/>
    <w:rsid w:val="69E46644"/>
    <w:rsid w:val="69E52C5D"/>
    <w:rsid w:val="69E81031"/>
    <w:rsid w:val="69E934A7"/>
    <w:rsid w:val="69EB2EF7"/>
    <w:rsid w:val="69F64C19"/>
    <w:rsid w:val="6A100FD1"/>
    <w:rsid w:val="6A1052CA"/>
    <w:rsid w:val="6A340C62"/>
    <w:rsid w:val="6A4E5C09"/>
    <w:rsid w:val="6A500795"/>
    <w:rsid w:val="6A572BFE"/>
    <w:rsid w:val="6A617562"/>
    <w:rsid w:val="6A646982"/>
    <w:rsid w:val="6ADB1961"/>
    <w:rsid w:val="6ADE4DE2"/>
    <w:rsid w:val="6AE10DD5"/>
    <w:rsid w:val="6AED23DA"/>
    <w:rsid w:val="6B0A7262"/>
    <w:rsid w:val="6B1E16E2"/>
    <w:rsid w:val="6B2337A9"/>
    <w:rsid w:val="6B26156E"/>
    <w:rsid w:val="6B2A3400"/>
    <w:rsid w:val="6B43739A"/>
    <w:rsid w:val="6B4412FF"/>
    <w:rsid w:val="6B465392"/>
    <w:rsid w:val="6B582CC7"/>
    <w:rsid w:val="6B5A0B7F"/>
    <w:rsid w:val="6B6B1987"/>
    <w:rsid w:val="6B886807"/>
    <w:rsid w:val="6B95409A"/>
    <w:rsid w:val="6BC02799"/>
    <w:rsid w:val="6BC56AB0"/>
    <w:rsid w:val="6BC6536D"/>
    <w:rsid w:val="6BCF00CF"/>
    <w:rsid w:val="6BD24A28"/>
    <w:rsid w:val="6BF71A34"/>
    <w:rsid w:val="6C045417"/>
    <w:rsid w:val="6C0C72D6"/>
    <w:rsid w:val="6C164AAF"/>
    <w:rsid w:val="6C311338"/>
    <w:rsid w:val="6C3C4AEA"/>
    <w:rsid w:val="6C44037E"/>
    <w:rsid w:val="6C5A2435"/>
    <w:rsid w:val="6C6B3052"/>
    <w:rsid w:val="6C747A57"/>
    <w:rsid w:val="6C8B53CC"/>
    <w:rsid w:val="6CBA1035"/>
    <w:rsid w:val="6CE22475"/>
    <w:rsid w:val="6CFA7F2C"/>
    <w:rsid w:val="6D270429"/>
    <w:rsid w:val="6D393FF4"/>
    <w:rsid w:val="6D3D7C50"/>
    <w:rsid w:val="6D663D60"/>
    <w:rsid w:val="6D887088"/>
    <w:rsid w:val="6D9B6949"/>
    <w:rsid w:val="6DAA7B2D"/>
    <w:rsid w:val="6DCD1175"/>
    <w:rsid w:val="6E001D9C"/>
    <w:rsid w:val="6E1436C4"/>
    <w:rsid w:val="6E3429FD"/>
    <w:rsid w:val="6E3711A1"/>
    <w:rsid w:val="6E5378F4"/>
    <w:rsid w:val="6E7504B7"/>
    <w:rsid w:val="6E9A6FBC"/>
    <w:rsid w:val="6EA159CA"/>
    <w:rsid w:val="6EA62907"/>
    <w:rsid w:val="6ED200A7"/>
    <w:rsid w:val="6EE000D2"/>
    <w:rsid w:val="6F4A7B5B"/>
    <w:rsid w:val="6F554224"/>
    <w:rsid w:val="6F566B1F"/>
    <w:rsid w:val="6F993A2D"/>
    <w:rsid w:val="6F9B2E08"/>
    <w:rsid w:val="6FAF3D8A"/>
    <w:rsid w:val="6FD75554"/>
    <w:rsid w:val="6FE144B1"/>
    <w:rsid w:val="6FEF2F3B"/>
    <w:rsid w:val="700B2B81"/>
    <w:rsid w:val="701E3074"/>
    <w:rsid w:val="7027728A"/>
    <w:rsid w:val="702D43DF"/>
    <w:rsid w:val="70323E09"/>
    <w:rsid w:val="703B4AE4"/>
    <w:rsid w:val="703C2866"/>
    <w:rsid w:val="70473489"/>
    <w:rsid w:val="7047792D"/>
    <w:rsid w:val="704B06DE"/>
    <w:rsid w:val="70531535"/>
    <w:rsid w:val="709B0D4C"/>
    <w:rsid w:val="70AE52B6"/>
    <w:rsid w:val="70B2459B"/>
    <w:rsid w:val="70BA3C5B"/>
    <w:rsid w:val="70BC1250"/>
    <w:rsid w:val="70EB37F0"/>
    <w:rsid w:val="70F57389"/>
    <w:rsid w:val="71080E6A"/>
    <w:rsid w:val="71271AAB"/>
    <w:rsid w:val="71352566"/>
    <w:rsid w:val="714360ED"/>
    <w:rsid w:val="71701AF7"/>
    <w:rsid w:val="71A10526"/>
    <w:rsid w:val="71A1258C"/>
    <w:rsid w:val="71C85B51"/>
    <w:rsid w:val="71D25943"/>
    <w:rsid w:val="71E01713"/>
    <w:rsid w:val="71F23705"/>
    <w:rsid w:val="71FC59B1"/>
    <w:rsid w:val="722A09BE"/>
    <w:rsid w:val="72522B3A"/>
    <w:rsid w:val="72575011"/>
    <w:rsid w:val="72595F97"/>
    <w:rsid w:val="725B146D"/>
    <w:rsid w:val="726A3F38"/>
    <w:rsid w:val="727B566C"/>
    <w:rsid w:val="727C04C4"/>
    <w:rsid w:val="728A0F61"/>
    <w:rsid w:val="72912D87"/>
    <w:rsid w:val="72A51683"/>
    <w:rsid w:val="72A9423B"/>
    <w:rsid w:val="72B91D27"/>
    <w:rsid w:val="72C94629"/>
    <w:rsid w:val="72CE3A8B"/>
    <w:rsid w:val="72D16261"/>
    <w:rsid w:val="72EE0533"/>
    <w:rsid w:val="732022CC"/>
    <w:rsid w:val="732301DD"/>
    <w:rsid w:val="73423FA1"/>
    <w:rsid w:val="734C03D2"/>
    <w:rsid w:val="734D7008"/>
    <w:rsid w:val="73557974"/>
    <w:rsid w:val="736239A8"/>
    <w:rsid w:val="736349F1"/>
    <w:rsid w:val="736A7107"/>
    <w:rsid w:val="737970D6"/>
    <w:rsid w:val="73852865"/>
    <w:rsid w:val="7385575A"/>
    <w:rsid w:val="73BD54E1"/>
    <w:rsid w:val="73C179F6"/>
    <w:rsid w:val="73C44DF0"/>
    <w:rsid w:val="73CC268A"/>
    <w:rsid w:val="73DC4AD6"/>
    <w:rsid w:val="741E2752"/>
    <w:rsid w:val="741E4234"/>
    <w:rsid w:val="74692887"/>
    <w:rsid w:val="747B1BB4"/>
    <w:rsid w:val="747F7399"/>
    <w:rsid w:val="74806A05"/>
    <w:rsid w:val="74A94C32"/>
    <w:rsid w:val="74BE527A"/>
    <w:rsid w:val="74BF089A"/>
    <w:rsid w:val="74CC0299"/>
    <w:rsid w:val="74D042AC"/>
    <w:rsid w:val="74D1741D"/>
    <w:rsid w:val="74D527EC"/>
    <w:rsid w:val="74EC7ACB"/>
    <w:rsid w:val="74FD0561"/>
    <w:rsid w:val="750F0BA9"/>
    <w:rsid w:val="751F31CA"/>
    <w:rsid w:val="753149EF"/>
    <w:rsid w:val="753366D1"/>
    <w:rsid w:val="75662297"/>
    <w:rsid w:val="75680129"/>
    <w:rsid w:val="75762A8D"/>
    <w:rsid w:val="75D0302D"/>
    <w:rsid w:val="75E746FE"/>
    <w:rsid w:val="75F41147"/>
    <w:rsid w:val="75F419BD"/>
    <w:rsid w:val="75FE3377"/>
    <w:rsid w:val="760638D8"/>
    <w:rsid w:val="76083C55"/>
    <w:rsid w:val="763F1F43"/>
    <w:rsid w:val="764010A6"/>
    <w:rsid w:val="766405E9"/>
    <w:rsid w:val="766B0549"/>
    <w:rsid w:val="7675236E"/>
    <w:rsid w:val="767C444B"/>
    <w:rsid w:val="76A271F5"/>
    <w:rsid w:val="76C60412"/>
    <w:rsid w:val="76CD3BE5"/>
    <w:rsid w:val="76D53774"/>
    <w:rsid w:val="76D56D66"/>
    <w:rsid w:val="76E95CE4"/>
    <w:rsid w:val="76FA28B7"/>
    <w:rsid w:val="7705592D"/>
    <w:rsid w:val="772B19D9"/>
    <w:rsid w:val="7739340A"/>
    <w:rsid w:val="77867784"/>
    <w:rsid w:val="778B7A86"/>
    <w:rsid w:val="77986D0D"/>
    <w:rsid w:val="779E6EDF"/>
    <w:rsid w:val="77A6291C"/>
    <w:rsid w:val="77B81D39"/>
    <w:rsid w:val="77BD75CC"/>
    <w:rsid w:val="77C05AEF"/>
    <w:rsid w:val="77C33D3D"/>
    <w:rsid w:val="77CE799B"/>
    <w:rsid w:val="77DC6C9D"/>
    <w:rsid w:val="77E3476E"/>
    <w:rsid w:val="77EF251A"/>
    <w:rsid w:val="78037615"/>
    <w:rsid w:val="7824084C"/>
    <w:rsid w:val="78296582"/>
    <w:rsid w:val="78297787"/>
    <w:rsid w:val="785C1527"/>
    <w:rsid w:val="785C1A9B"/>
    <w:rsid w:val="78A62210"/>
    <w:rsid w:val="78B64001"/>
    <w:rsid w:val="78D30F07"/>
    <w:rsid w:val="78D83B42"/>
    <w:rsid w:val="78E0410C"/>
    <w:rsid w:val="78EC1071"/>
    <w:rsid w:val="78F11C92"/>
    <w:rsid w:val="78F14BEC"/>
    <w:rsid w:val="78F739AF"/>
    <w:rsid w:val="79155EF1"/>
    <w:rsid w:val="792F4AF7"/>
    <w:rsid w:val="794E7A87"/>
    <w:rsid w:val="796664F0"/>
    <w:rsid w:val="796D1411"/>
    <w:rsid w:val="79706B76"/>
    <w:rsid w:val="7972222E"/>
    <w:rsid w:val="799738F1"/>
    <w:rsid w:val="79B14F3F"/>
    <w:rsid w:val="79BB54BC"/>
    <w:rsid w:val="79C54573"/>
    <w:rsid w:val="79C8563A"/>
    <w:rsid w:val="79E56FDA"/>
    <w:rsid w:val="79F00295"/>
    <w:rsid w:val="79F860C9"/>
    <w:rsid w:val="79FB17A6"/>
    <w:rsid w:val="7A0423EA"/>
    <w:rsid w:val="7A1917D1"/>
    <w:rsid w:val="7A1D4B6C"/>
    <w:rsid w:val="7A2E0B19"/>
    <w:rsid w:val="7A346FD7"/>
    <w:rsid w:val="7A3E5FE6"/>
    <w:rsid w:val="7A527CB8"/>
    <w:rsid w:val="7A5A3FC3"/>
    <w:rsid w:val="7A653600"/>
    <w:rsid w:val="7A661D44"/>
    <w:rsid w:val="7A785A42"/>
    <w:rsid w:val="7A832B4B"/>
    <w:rsid w:val="7A9B4AFD"/>
    <w:rsid w:val="7AAD3920"/>
    <w:rsid w:val="7AAD65DE"/>
    <w:rsid w:val="7AAE0D04"/>
    <w:rsid w:val="7AB20482"/>
    <w:rsid w:val="7AB71921"/>
    <w:rsid w:val="7ABB3B05"/>
    <w:rsid w:val="7ADE5152"/>
    <w:rsid w:val="7AE97737"/>
    <w:rsid w:val="7AF07DB1"/>
    <w:rsid w:val="7B084812"/>
    <w:rsid w:val="7B0C439B"/>
    <w:rsid w:val="7B1A09FD"/>
    <w:rsid w:val="7B3947EA"/>
    <w:rsid w:val="7B405A7F"/>
    <w:rsid w:val="7B556236"/>
    <w:rsid w:val="7B753375"/>
    <w:rsid w:val="7B7549A5"/>
    <w:rsid w:val="7B8363A0"/>
    <w:rsid w:val="7B886713"/>
    <w:rsid w:val="7B931AE3"/>
    <w:rsid w:val="7BA5013E"/>
    <w:rsid w:val="7BB07EC8"/>
    <w:rsid w:val="7BB340C8"/>
    <w:rsid w:val="7BC05952"/>
    <w:rsid w:val="7BE92F0E"/>
    <w:rsid w:val="7BF0104D"/>
    <w:rsid w:val="7BF0326C"/>
    <w:rsid w:val="7BF07599"/>
    <w:rsid w:val="7C0A6FFE"/>
    <w:rsid w:val="7C1D7E29"/>
    <w:rsid w:val="7C1E0DB5"/>
    <w:rsid w:val="7C407EFA"/>
    <w:rsid w:val="7C45486F"/>
    <w:rsid w:val="7C4B4D87"/>
    <w:rsid w:val="7C5B4942"/>
    <w:rsid w:val="7C627441"/>
    <w:rsid w:val="7C6B6665"/>
    <w:rsid w:val="7C7554E9"/>
    <w:rsid w:val="7C855A65"/>
    <w:rsid w:val="7C86021E"/>
    <w:rsid w:val="7C93703D"/>
    <w:rsid w:val="7CA82D8D"/>
    <w:rsid w:val="7CC320E9"/>
    <w:rsid w:val="7CD267D0"/>
    <w:rsid w:val="7D0B11BC"/>
    <w:rsid w:val="7D102D60"/>
    <w:rsid w:val="7D1B3B82"/>
    <w:rsid w:val="7D2863F0"/>
    <w:rsid w:val="7D2B7B74"/>
    <w:rsid w:val="7D2F0831"/>
    <w:rsid w:val="7D2F6569"/>
    <w:rsid w:val="7D310332"/>
    <w:rsid w:val="7D48270C"/>
    <w:rsid w:val="7D497890"/>
    <w:rsid w:val="7D4F1FCE"/>
    <w:rsid w:val="7D5A2B09"/>
    <w:rsid w:val="7D77708A"/>
    <w:rsid w:val="7D920127"/>
    <w:rsid w:val="7D9A72EE"/>
    <w:rsid w:val="7D9D4F0C"/>
    <w:rsid w:val="7D9F1E31"/>
    <w:rsid w:val="7DAA5057"/>
    <w:rsid w:val="7DB30EED"/>
    <w:rsid w:val="7DC75C09"/>
    <w:rsid w:val="7DCE6F97"/>
    <w:rsid w:val="7DD835C5"/>
    <w:rsid w:val="7DE06CCB"/>
    <w:rsid w:val="7DE1094F"/>
    <w:rsid w:val="7DEE1724"/>
    <w:rsid w:val="7E00037C"/>
    <w:rsid w:val="7E010CDF"/>
    <w:rsid w:val="7E0F05A0"/>
    <w:rsid w:val="7E1546EC"/>
    <w:rsid w:val="7E1A64E9"/>
    <w:rsid w:val="7E391001"/>
    <w:rsid w:val="7E451B70"/>
    <w:rsid w:val="7E6741BD"/>
    <w:rsid w:val="7EB35EF5"/>
    <w:rsid w:val="7EB86141"/>
    <w:rsid w:val="7EC75C99"/>
    <w:rsid w:val="7ECB7E75"/>
    <w:rsid w:val="7EE93C3D"/>
    <w:rsid w:val="7EF27FB9"/>
    <w:rsid w:val="7EF453F2"/>
    <w:rsid w:val="7F0C33E0"/>
    <w:rsid w:val="7F4A5F04"/>
    <w:rsid w:val="7F532CE0"/>
    <w:rsid w:val="7F56065C"/>
    <w:rsid w:val="7F5F4A1B"/>
    <w:rsid w:val="7F634BD8"/>
    <w:rsid w:val="7F6654D8"/>
    <w:rsid w:val="7F6E743A"/>
    <w:rsid w:val="7F7A4D1A"/>
    <w:rsid w:val="7F857393"/>
    <w:rsid w:val="7F907323"/>
    <w:rsid w:val="7F9B5DAC"/>
    <w:rsid w:val="7FA54E83"/>
    <w:rsid w:val="7FAF6455"/>
    <w:rsid w:val="7FB16B71"/>
    <w:rsid w:val="7FC23E1B"/>
    <w:rsid w:val="7FCE57EF"/>
    <w:rsid w:val="7FEE4470"/>
    <w:rsid w:val="7FF21A2A"/>
    <w:rsid w:val="7FFD52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unhideWhenUsed="0" w:uiPriority="0" w:semiHidden="0" w:name="index 3"/>
    <w:lsdException w:qFormat="1" w:uiPriority="99"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709"/>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4"/>
    <w:next w:val="1"/>
    <w:link w:val="211"/>
    <w:autoRedefine/>
    <w:qFormat/>
    <w:uiPriority w:val="0"/>
    <w:pPr>
      <w:keepNext/>
      <w:keepLines/>
      <w:spacing w:before="340" w:after="330" w:line="578" w:lineRule="auto"/>
      <w:outlineLvl w:val="0"/>
    </w:pPr>
    <w:rPr>
      <w:kern w:val="44"/>
      <w:sz w:val="44"/>
      <w:szCs w:val="44"/>
    </w:rPr>
  </w:style>
  <w:style w:type="paragraph" w:styleId="5">
    <w:name w:val="heading 2"/>
    <w:basedOn w:val="1"/>
    <w:next w:val="1"/>
    <w:link w:val="237"/>
    <w:autoRedefine/>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198"/>
    <w:autoRedefine/>
    <w:qFormat/>
    <w:uiPriority w:val="0"/>
    <w:pPr>
      <w:keepNext/>
      <w:keepLines/>
      <w:spacing w:before="260" w:after="260" w:line="416" w:lineRule="auto"/>
      <w:outlineLvl w:val="2"/>
    </w:pPr>
    <w:rPr>
      <w:b/>
      <w:bCs/>
      <w:sz w:val="32"/>
      <w:szCs w:val="32"/>
    </w:rPr>
  </w:style>
  <w:style w:type="paragraph" w:styleId="7">
    <w:name w:val="heading 4"/>
    <w:basedOn w:val="6"/>
    <w:next w:val="1"/>
    <w:link w:val="210"/>
    <w:autoRedefine/>
    <w:qFormat/>
    <w:uiPriority w:val="0"/>
    <w:pPr>
      <w:snapToGrid w:val="0"/>
      <w:spacing w:before="156" w:after="156" w:line="360" w:lineRule="auto"/>
      <w:ind w:left="907"/>
      <w:jc w:val="left"/>
      <w:outlineLvl w:val="3"/>
    </w:pPr>
    <w:rPr>
      <w:rFonts w:ascii="Verdana" w:hAnsi="Verdana"/>
      <w:b w:val="0"/>
      <w:bCs w:val="0"/>
      <w:color w:val="000000"/>
      <w:kern w:val="0"/>
      <w:sz w:val="24"/>
      <w:szCs w:val="24"/>
    </w:rPr>
  </w:style>
  <w:style w:type="paragraph" w:styleId="8">
    <w:name w:val="heading 5"/>
    <w:basedOn w:val="1"/>
    <w:next w:val="1"/>
    <w:autoRedefine/>
    <w:qFormat/>
    <w:uiPriority w:val="0"/>
    <w:pPr>
      <w:keepNext/>
      <w:keepLines/>
      <w:spacing w:before="280" w:after="290" w:line="376" w:lineRule="auto"/>
      <w:outlineLvl w:val="4"/>
    </w:pPr>
    <w:rPr>
      <w:b/>
      <w:bCs/>
      <w:sz w:val="28"/>
      <w:szCs w:val="28"/>
    </w:rPr>
  </w:style>
  <w:style w:type="paragraph" w:styleId="9">
    <w:name w:val="heading 6"/>
    <w:basedOn w:val="1"/>
    <w:next w:val="1"/>
    <w:autoRedefine/>
    <w:qFormat/>
    <w:uiPriority w:val="0"/>
    <w:pPr>
      <w:keepNext/>
      <w:keepLines/>
      <w:spacing w:before="240" w:after="64" w:line="320" w:lineRule="auto"/>
      <w:outlineLvl w:val="5"/>
    </w:pPr>
    <w:rPr>
      <w:rFonts w:ascii="Arial" w:hAnsi="Arial" w:eastAsia="黑体"/>
      <w:b/>
      <w:bCs/>
      <w:sz w:val="24"/>
      <w:szCs w:val="24"/>
    </w:rPr>
  </w:style>
  <w:style w:type="paragraph" w:styleId="10">
    <w:name w:val="heading 7"/>
    <w:basedOn w:val="1"/>
    <w:next w:val="11"/>
    <w:autoRedefine/>
    <w:qFormat/>
    <w:uiPriority w:val="0"/>
    <w:pPr>
      <w:keepNext/>
      <w:keepLines/>
      <w:tabs>
        <w:tab w:val="left" w:pos="1296"/>
      </w:tabs>
      <w:spacing w:before="240" w:after="64" w:line="320" w:lineRule="auto"/>
      <w:ind w:left="1296" w:hanging="1296"/>
      <w:outlineLvl w:val="6"/>
    </w:pPr>
    <w:rPr>
      <w:b/>
      <w:sz w:val="24"/>
    </w:rPr>
  </w:style>
  <w:style w:type="paragraph" w:styleId="12">
    <w:name w:val="heading 8"/>
    <w:basedOn w:val="1"/>
    <w:next w:val="11"/>
    <w:autoRedefine/>
    <w:qFormat/>
    <w:uiPriority w:val="0"/>
    <w:pPr>
      <w:keepNext/>
      <w:keepLines/>
      <w:tabs>
        <w:tab w:val="left" w:pos="1440"/>
      </w:tabs>
      <w:spacing w:before="240" w:after="64" w:line="320" w:lineRule="auto"/>
      <w:ind w:left="1440" w:hanging="1440"/>
      <w:outlineLvl w:val="7"/>
    </w:pPr>
    <w:rPr>
      <w:rFonts w:ascii="Arial" w:hAnsi="Arial" w:eastAsia="黑体"/>
      <w:sz w:val="24"/>
    </w:rPr>
  </w:style>
  <w:style w:type="paragraph" w:styleId="13">
    <w:name w:val="heading 9"/>
    <w:basedOn w:val="1"/>
    <w:next w:val="11"/>
    <w:link w:val="146"/>
    <w:autoRedefine/>
    <w:qFormat/>
    <w:uiPriority w:val="0"/>
    <w:pPr>
      <w:keepNext/>
      <w:keepLines/>
      <w:tabs>
        <w:tab w:val="left" w:pos="1584"/>
      </w:tabs>
      <w:spacing w:before="240" w:after="64" w:line="320" w:lineRule="auto"/>
      <w:ind w:left="1584" w:hanging="1584"/>
      <w:outlineLvl w:val="8"/>
    </w:pPr>
    <w:rPr>
      <w:rFonts w:ascii="Arial" w:hAnsi="Arial" w:eastAsia="黑体"/>
    </w:rPr>
  </w:style>
  <w:style w:type="character" w:default="1" w:styleId="76">
    <w:name w:val="Default Paragraph Font"/>
    <w:autoRedefine/>
    <w:semiHidden/>
    <w:unhideWhenUsed/>
    <w:qFormat/>
    <w:uiPriority w:val="1"/>
  </w:style>
  <w:style w:type="table" w:default="1" w:styleId="74">
    <w:name w:val="Normal Table"/>
    <w:autoRedefine/>
    <w:semiHidden/>
    <w:unhideWhenUsed/>
    <w:qFormat/>
    <w:uiPriority w:val="99"/>
    <w:tblPr>
      <w:tblCellMar>
        <w:top w:w="0" w:type="dxa"/>
        <w:left w:w="108" w:type="dxa"/>
        <w:bottom w:w="0" w:type="dxa"/>
        <w:right w:w="108" w:type="dxa"/>
      </w:tblCellMar>
    </w:tblPr>
  </w:style>
  <w:style w:type="paragraph" w:styleId="2">
    <w:name w:val="macro"/>
    <w:link w:val="100"/>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Times New Roman"/>
      <w:kern w:val="2"/>
      <w:sz w:val="24"/>
      <w:lang w:val="en-US" w:eastAsia="zh-CN" w:bidi="ar-SA"/>
    </w:rPr>
  </w:style>
  <w:style w:type="paragraph" w:styleId="4">
    <w:name w:val="Title"/>
    <w:basedOn w:val="1"/>
    <w:next w:val="1"/>
    <w:autoRedefine/>
    <w:qFormat/>
    <w:uiPriority w:val="0"/>
    <w:pPr>
      <w:spacing w:before="240" w:after="60"/>
      <w:jc w:val="center"/>
      <w:outlineLvl w:val="0"/>
    </w:pPr>
    <w:rPr>
      <w:rFonts w:ascii="Arial" w:hAnsi="Arial" w:cs="Arial"/>
      <w:b/>
      <w:bCs/>
      <w:sz w:val="32"/>
      <w:szCs w:val="32"/>
    </w:rPr>
  </w:style>
  <w:style w:type="paragraph" w:styleId="11">
    <w:name w:val="Normal Indent"/>
    <w:basedOn w:val="1"/>
    <w:link w:val="178"/>
    <w:autoRedefine/>
    <w:qFormat/>
    <w:uiPriority w:val="0"/>
    <w:pPr>
      <w:spacing w:line="360" w:lineRule="auto"/>
      <w:ind w:firstLine="200" w:firstLineChars="200"/>
    </w:pPr>
    <w:rPr>
      <w:sz w:val="24"/>
    </w:rPr>
  </w:style>
  <w:style w:type="paragraph" w:styleId="14">
    <w:name w:val="List 3"/>
    <w:basedOn w:val="1"/>
    <w:autoRedefine/>
    <w:qFormat/>
    <w:uiPriority w:val="0"/>
    <w:pPr>
      <w:ind w:left="100" w:leftChars="400" w:hanging="200" w:hangingChars="200"/>
    </w:pPr>
  </w:style>
  <w:style w:type="paragraph" w:styleId="15">
    <w:name w:val="toc 7"/>
    <w:basedOn w:val="1"/>
    <w:next w:val="1"/>
    <w:autoRedefine/>
    <w:qFormat/>
    <w:uiPriority w:val="0"/>
    <w:pPr>
      <w:ind w:left="1260"/>
      <w:jc w:val="left"/>
    </w:pPr>
    <w:rPr>
      <w:sz w:val="18"/>
      <w:szCs w:val="18"/>
    </w:rPr>
  </w:style>
  <w:style w:type="paragraph" w:styleId="16">
    <w:name w:val="List Number 2"/>
    <w:basedOn w:val="1"/>
    <w:autoRedefine/>
    <w:qFormat/>
    <w:uiPriority w:val="0"/>
    <w:pPr>
      <w:tabs>
        <w:tab w:val="left" w:pos="420"/>
      </w:tabs>
      <w:ind w:left="420" w:hanging="420"/>
    </w:pPr>
  </w:style>
  <w:style w:type="paragraph" w:styleId="17">
    <w:name w:val="table of authorities"/>
    <w:basedOn w:val="1"/>
    <w:next w:val="1"/>
    <w:autoRedefine/>
    <w:qFormat/>
    <w:uiPriority w:val="0"/>
    <w:pPr>
      <w:spacing w:line="360" w:lineRule="auto"/>
      <w:ind w:left="420" w:leftChars="200"/>
    </w:pPr>
    <w:rPr>
      <w:rFonts w:ascii="Plotter" w:hAnsi="Plotter"/>
    </w:rPr>
  </w:style>
  <w:style w:type="paragraph" w:styleId="18">
    <w:name w:val="Note Heading"/>
    <w:basedOn w:val="1"/>
    <w:next w:val="1"/>
    <w:link w:val="112"/>
    <w:autoRedefine/>
    <w:qFormat/>
    <w:uiPriority w:val="0"/>
    <w:pPr>
      <w:spacing w:line="360" w:lineRule="auto"/>
      <w:jc w:val="center"/>
    </w:pPr>
    <w:rPr>
      <w:sz w:val="24"/>
    </w:rPr>
  </w:style>
  <w:style w:type="paragraph" w:styleId="19">
    <w:name w:val="List Bullet 4"/>
    <w:basedOn w:val="1"/>
    <w:autoRedefine/>
    <w:qFormat/>
    <w:uiPriority w:val="0"/>
    <w:pPr>
      <w:tabs>
        <w:tab w:val="left" w:pos="360"/>
      </w:tabs>
      <w:ind w:left="360" w:hanging="420"/>
    </w:pPr>
  </w:style>
  <w:style w:type="paragraph" w:styleId="20">
    <w:name w:val="List Number"/>
    <w:basedOn w:val="1"/>
    <w:autoRedefine/>
    <w:qFormat/>
    <w:uiPriority w:val="0"/>
    <w:pPr>
      <w:tabs>
        <w:tab w:val="left" w:pos="420"/>
      </w:tabs>
      <w:ind w:left="420" w:hanging="420"/>
    </w:pPr>
    <w:rPr>
      <w:szCs w:val="24"/>
    </w:rPr>
  </w:style>
  <w:style w:type="paragraph" w:styleId="21">
    <w:name w:val="caption"/>
    <w:basedOn w:val="1"/>
    <w:next w:val="1"/>
    <w:link w:val="147"/>
    <w:autoRedefine/>
    <w:qFormat/>
    <w:uiPriority w:val="0"/>
    <w:pPr>
      <w:spacing w:before="152" w:after="160"/>
    </w:pPr>
    <w:rPr>
      <w:rFonts w:ascii="Arial" w:hAnsi="Arial" w:eastAsia="黑体"/>
      <w:sz w:val="20"/>
    </w:rPr>
  </w:style>
  <w:style w:type="paragraph" w:styleId="22">
    <w:name w:val="index 5"/>
    <w:basedOn w:val="1"/>
    <w:next w:val="1"/>
    <w:autoRedefine/>
    <w:qFormat/>
    <w:uiPriority w:val="0"/>
    <w:pPr>
      <w:ind w:left="800" w:leftChars="800"/>
    </w:pPr>
  </w:style>
  <w:style w:type="paragraph" w:styleId="23">
    <w:name w:val="List Bullet"/>
    <w:basedOn w:val="1"/>
    <w:autoRedefine/>
    <w:qFormat/>
    <w:uiPriority w:val="0"/>
    <w:pPr>
      <w:tabs>
        <w:tab w:val="left" w:pos="420"/>
      </w:tabs>
      <w:ind w:left="420" w:hanging="420"/>
    </w:pPr>
  </w:style>
  <w:style w:type="paragraph" w:styleId="24">
    <w:name w:val="Document Map"/>
    <w:basedOn w:val="1"/>
    <w:link w:val="126"/>
    <w:autoRedefine/>
    <w:qFormat/>
    <w:uiPriority w:val="0"/>
    <w:pPr>
      <w:shd w:val="clear" w:color="auto" w:fill="000080"/>
    </w:pPr>
    <w:rPr>
      <w:shd w:val="clear" w:color="auto" w:fill="000080"/>
    </w:rPr>
  </w:style>
  <w:style w:type="paragraph" w:styleId="25">
    <w:name w:val="toa heading"/>
    <w:basedOn w:val="1"/>
    <w:next w:val="1"/>
    <w:autoRedefine/>
    <w:qFormat/>
    <w:uiPriority w:val="0"/>
    <w:pPr>
      <w:spacing w:before="120"/>
    </w:pPr>
    <w:rPr>
      <w:rFonts w:ascii="Arial" w:hAnsi="Arial" w:cs="Arial"/>
      <w:sz w:val="24"/>
      <w:szCs w:val="24"/>
    </w:rPr>
  </w:style>
  <w:style w:type="paragraph" w:styleId="26">
    <w:name w:val="annotation text"/>
    <w:basedOn w:val="1"/>
    <w:link w:val="241"/>
    <w:autoRedefine/>
    <w:qFormat/>
    <w:uiPriority w:val="0"/>
    <w:pPr>
      <w:jc w:val="left"/>
    </w:pPr>
    <w:rPr>
      <w:szCs w:val="24"/>
    </w:rPr>
  </w:style>
  <w:style w:type="paragraph" w:styleId="27">
    <w:name w:val="Salutation"/>
    <w:basedOn w:val="1"/>
    <w:next w:val="1"/>
    <w:link w:val="150"/>
    <w:autoRedefine/>
    <w:qFormat/>
    <w:uiPriority w:val="0"/>
    <w:rPr>
      <w:rFonts w:ascii="Arial" w:hAnsi="Arial"/>
      <w:sz w:val="24"/>
      <w:szCs w:val="24"/>
    </w:rPr>
  </w:style>
  <w:style w:type="paragraph" w:styleId="28">
    <w:name w:val="Body Text 3"/>
    <w:basedOn w:val="1"/>
    <w:link w:val="175"/>
    <w:autoRedefine/>
    <w:qFormat/>
    <w:uiPriority w:val="0"/>
    <w:pPr>
      <w:spacing w:after="120"/>
    </w:pPr>
    <w:rPr>
      <w:sz w:val="16"/>
      <w:szCs w:val="16"/>
    </w:rPr>
  </w:style>
  <w:style w:type="paragraph" w:styleId="29">
    <w:name w:val="Closing"/>
    <w:basedOn w:val="1"/>
    <w:link w:val="122"/>
    <w:autoRedefine/>
    <w:qFormat/>
    <w:uiPriority w:val="0"/>
    <w:pPr>
      <w:ind w:left="100" w:leftChars="2100"/>
    </w:pPr>
    <w:rPr>
      <w:rFonts w:ascii="宋体" w:hAnsi="宋体"/>
      <w:spacing w:val="20"/>
      <w:sz w:val="24"/>
    </w:rPr>
  </w:style>
  <w:style w:type="paragraph" w:styleId="30">
    <w:name w:val="List Bullet 3"/>
    <w:basedOn w:val="1"/>
    <w:autoRedefine/>
    <w:qFormat/>
    <w:uiPriority w:val="0"/>
    <w:pPr>
      <w:tabs>
        <w:tab w:val="left" w:pos="690"/>
      </w:tabs>
      <w:spacing w:before="60" w:after="60" w:line="300" w:lineRule="auto"/>
      <w:ind w:left="690" w:hanging="360"/>
    </w:pPr>
    <w:rPr>
      <w:sz w:val="24"/>
    </w:rPr>
  </w:style>
  <w:style w:type="paragraph" w:styleId="31">
    <w:name w:val="Body Text"/>
    <w:basedOn w:val="1"/>
    <w:link w:val="232"/>
    <w:autoRedefine/>
    <w:qFormat/>
    <w:uiPriority w:val="0"/>
    <w:pPr>
      <w:spacing w:after="120"/>
    </w:pPr>
  </w:style>
  <w:style w:type="paragraph" w:styleId="32">
    <w:name w:val="Body Text Indent"/>
    <w:basedOn w:val="1"/>
    <w:next w:val="1"/>
    <w:autoRedefine/>
    <w:qFormat/>
    <w:uiPriority w:val="0"/>
    <w:pPr>
      <w:spacing w:after="120"/>
      <w:ind w:left="420" w:leftChars="200"/>
    </w:pPr>
  </w:style>
  <w:style w:type="paragraph" w:styleId="33">
    <w:name w:val="List Number 3"/>
    <w:basedOn w:val="1"/>
    <w:autoRedefine/>
    <w:qFormat/>
    <w:uiPriority w:val="0"/>
    <w:pPr>
      <w:tabs>
        <w:tab w:val="left" w:pos="420"/>
      </w:tabs>
      <w:ind w:left="420" w:hanging="420"/>
    </w:pPr>
  </w:style>
  <w:style w:type="paragraph" w:styleId="34">
    <w:name w:val="List 2"/>
    <w:basedOn w:val="1"/>
    <w:autoRedefine/>
    <w:qFormat/>
    <w:uiPriority w:val="0"/>
    <w:pPr>
      <w:ind w:left="100" w:leftChars="200" w:hanging="200" w:hangingChars="200"/>
    </w:pPr>
    <w:rPr>
      <w:szCs w:val="24"/>
    </w:rPr>
  </w:style>
  <w:style w:type="paragraph" w:styleId="35">
    <w:name w:val="Block Text"/>
    <w:basedOn w:val="1"/>
    <w:autoRedefine/>
    <w:qFormat/>
    <w:uiPriority w:val="0"/>
    <w:pPr>
      <w:autoSpaceDE w:val="0"/>
      <w:autoSpaceDN w:val="0"/>
      <w:adjustRightInd w:val="0"/>
      <w:snapToGrid w:val="0"/>
      <w:spacing w:line="480" w:lineRule="auto"/>
      <w:ind w:left="-189" w:leftChars="-90" w:right="-567" w:firstLine="420" w:firstLineChars="200"/>
      <w:jc w:val="left"/>
    </w:pPr>
    <w:rPr>
      <w:rFonts w:ascii="宋体" w:hAnsi="宋体"/>
      <w:bCs/>
      <w:szCs w:val="24"/>
    </w:rPr>
  </w:style>
  <w:style w:type="paragraph" w:styleId="36">
    <w:name w:val="List Bullet 2"/>
    <w:basedOn w:val="1"/>
    <w:autoRedefine/>
    <w:qFormat/>
    <w:uiPriority w:val="0"/>
    <w:pPr>
      <w:tabs>
        <w:tab w:val="left" w:pos="1370"/>
      </w:tabs>
      <w:spacing w:before="60" w:after="60" w:line="300" w:lineRule="auto"/>
      <w:ind w:left="1370" w:hanging="425"/>
    </w:pPr>
    <w:rPr>
      <w:sz w:val="24"/>
    </w:rPr>
  </w:style>
  <w:style w:type="paragraph" w:styleId="37">
    <w:name w:val="index 4"/>
    <w:basedOn w:val="1"/>
    <w:next w:val="1"/>
    <w:autoRedefine/>
    <w:unhideWhenUsed/>
    <w:qFormat/>
    <w:uiPriority w:val="99"/>
    <w:pPr>
      <w:ind w:left="600" w:leftChars="600"/>
    </w:pPr>
    <w:rPr>
      <w:rFonts w:hint="eastAsia"/>
      <w:sz w:val="24"/>
    </w:rPr>
  </w:style>
  <w:style w:type="paragraph" w:styleId="38">
    <w:name w:val="toc 5"/>
    <w:basedOn w:val="1"/>
    <w:next w:val="1"/>
    <w:autoRedefine/>
    <w:qFormat/>
    <w:uiPriority w:val="0"/>
    <w:pPr>
      <w:ind w:left="840"/>
      <w:jc w:val="left"/>
    </w:pPr>
    <w:rPr>
      <w:sz w:val="18"/>
      <w:szCs w:val="18"/>
    </w:rPr>
  </w:style>
  <w:style w:type="paragraph" w:styleId="39">
    <w:name w:val="toc 3"/>
    <w:basedOn w:val="1"/>
    <w:next w:val="1"/>
    <w:autoRedefine/>
    <w:qFormat/>
    <w:uiPriority w:val="0"/>
    <w:pPr>
      <w:ind w:left="420"/>
      <w:jc w:val="left"/>
    </w:pPr>
    <w:rPr>
      <w:i/>
      <w:iCs/>
      <w:sz w:val="20"/>
    </w:rPr>
  </w:style>
  <w:style w:type="paragraph" w:styleId="40">
    <w:name w:val="Plain Text"/>
    <w:basedOn w:val="1"/>
    <w:link w:val="227"/>
    <w:autoRedefine/>
    <w:qFormat/>
    <w:uiPriority w:val="0"/>
    <w:rPr>
      <w:rFonts w:ascii="宋体" w:hAnsi="Courier New"/>
      <w:sz w:val="24"/>
    </w:rPr>
  </w:style>
  <w:style w:type="paragraph" w:styleId="41">
    <w:name w:val="List Bullet 5"/>
    <w:basedOn w:val="1"/>
    <w:autoRedefine/>
    <w:qFormat/>
    <w:uiPriority w:val="0"/>
    <w:pPr>
      <w:tabs>
        <w:tab w:val="left" w:pos="420"/>
      </w:tabs>
      <w:ind w:left="420" w:hanging="420"/>
    </w:pPr>
  </w:style>
  <w:style w:type="paragraph" w:styleId="42">
    <w:name w:val="List Number 4"/>
    <w:basedOn w:val="1"/>
    <w:autoRedefine/>
    <w:qFormat/>
    <w:uiPriority w:val="0"/>
    <w:pPr>
      <w:tabs>
        <w:tab w:val="left" w:pos="420"/>
      </w:tabs>
      <w:ind w:left="420" w:hanging="420"/>
    </w:pPr>
  </w:style>
  <w:style w:type="paragraph" w:styleId="43">
    <w:name w:val="toc 8"/>
    <w:basedOn w:val="1"/>
    <w:next w:val="1"/>
    <w:autoRedefine/>
    <w:qFormat/>
    <w:uiPriority w:val="0"/>
    <w:pPr>
      <w:ind w:left="1470"/>
      <w:jc w:val="left"/>
    </w:pPr>
    <w:rPr>
      <w:sz w:val="18"/>
      <w:szCs w:val="18"/>
    </w:rPr>
  </w:style>
  <w:style w:type="paragraph" w:styleId="44">
    <w:name w:val="Date"/>
    <w:basedOn w:val="1"/>
    <w:next w:val="1"/>
    <w:link w:val="222"/>
    <w:autoRedefine/>
    <w:qFormat/>
    <w:uiPriority w:val="0"/>
    <w:pPr>
      <w:ind w:left="100" w:leftChars="2500"/>
    </w:pPr>
  </w:style>
  <w:style w:type="paragraph" w:styleId="45">
    <w:name w:val="Body Text Indent 2"/>
    <w:basedOn w:val="1"/>
    <w:link w:val="176"/>
    <w:autoRedefine/>
    <w:qFormat/>
    <w:uiPriority w:val="0"/>
    <w:pPr>
      <w:spacing w:line="360" w:lineRule="auto"/>
      <w:ind w:left="-61" w:leftChars="-29" w:firstLine="458" w:firstLineChars="218"/>
    </w:pPr>
    <w:rPr>
      <w:rFonts w:ascii="宋体" w:hAnsi="宋体"/>
      <w:szCs w:val="32"/>
    </w:rPr>
  </w:style>
  <w:style w:type="paragraph" w:styleId="46">
    <w:name w:val="List Continue 5"/>
    <w:basedOn w:val="1"/>
    <w:autoRedefine/>
    <w:qFormat/>
    <w:uiPriority w:val="0"/>
    <w:pPr>
      <w:spacing w:after="120"/>
      <w:ind w:left="2100" w:leftChars="1000"/>
    </w:pPr>
  </w:style>
  <w:style w:type="paragraph" w:styleId="47">
    <w:name w:val="Balloon Text"/>
    <w:basedOn w:val="1"/>
    <w:link w:val="157"/>
    <w:autoRedefine/>
    <w:qFormat/>
    <w:uiPriority w:val="0"/>
    <w:rPr>
      <w:sz w:val="18"/>
      <w:szCs w:val="18"/>
    </w:rPr>
  </w:style>
  <w:style w:type="paragraph" w:styleId="48">
    <w:name w:val="footer"/>
    <w:basedOn w:val="1"/>
    <w:link w:val="152"/>
    <w:autoRedefine/>
    <w:qFormat/>
    <w:uiPriority w:val="0"/>
    <w:pPr>
      <w:tabs>
        <w:tab w:val="center" w:pos="4153"/>
        <w:tab w:val="right" w:pos="8306"/>
      </w:tabs>
      <w:snapToGrid w:val="0"/>
      <w:jc w:val="left"/>
    </w:pPr>
    <w:rPr>
      <w:sz w:val="18"/>
      <w:szCs w:val="18"/>
    </w:rPr>
  </w:style>
  <w:style w:type="paragraph" w:styleId="49">
    <w:name w:val="envelope return"/>
    <w:basedOn w:val="1"/>
    <w:autoRedefine/>
    <w:qFormat/>
    <w:uiPriority w:val="0"/>
    <w:pPr>
      <w:snapToGrid w:val="0"/>
      <w:spacing w:line="360" w:lineRule="auto"/>
    </w:pPr>
    <w:rPr>
      <w:rFonts w:ascii="Arial" w:hAnsi="Arial"/>
      <w:sz w:val="24"/>
    </w:rPr>
  </w:style>
  <w:style w:type="paragraph" w:styleId="50">
    <w:name w:val="header"/>
    <w:basedOn w:val="1"/>
    <w:link w:val="132"/>
    <w:autoRedefine/>
    <w:qFormat/>
    <w:uiPriority w:val="0"/>
    <w:pPr>
      <w:pBdr>
        <w:bottom w:val="single" w:color="auto" w:sz="6" w:space="1"/>
      </w:pBdr>
      <w:tabs>
        <w:tab w:val="center" w:pos="4153"/>
        <w:tab w:val="right" w:pos="8306"/>
      </w:tabs>
      <w:snapToGrid w:val="0"/>
      <w:jc w:val="center"/>
    </w:pPr>
    <w:rPr>
      <w:sz w:val="18"/>
      <w:szCs w:val="18"/>
    </w:rPr>
  </w:style>
  <w:style w:type="paragraph" w:styleId="51">
    <w:name w:val="toc 1"/>
    <w:basedOn w:val="1"/>
    <w:next w:val="1"/>
    <w:autoRedefine/>
    <w:qFormat/>
    <w:uiPriority w:val="39"/>
    <w:pPr>
      <w:tabs>
        <w:tab w:val="right" w:leader="dot" w:pos="9060"/>
      </w:tabs>
      <w:spacing w:after="120" w:line="360" w:lineRule="exact"/>
      <w:ind w:firstLine="198"/>
      <w:jc w:val="center"/>
    </w:pPr>
    <w:rPr>
      <w:rFonts w:ascii="宋体" w:hAnsi="宋体"/>
      <w:b/>
      <w:bCs/>
      <w:caps/>
    </w:rPr>
  </w:style>
  <w:style w:type="paragraph" w:styleId="52">
    <w:name w:val="toc 4"/>
    <w:basedOn w:val="1"/>
    <w:next w:val="1"/>
    <w:autoRedefine/>
    <w:qFormat/>
    <w:uiPriority w:val="0"/>
    <w:pPr>
      <w:ind w:left="630"/>
      <w:jc w:val="left"/>
    </w:pPr>
    <w:rPr>
      <w:sz w:val="18"/>
      <w:szCs w:val="18"/>
    </w:rPr>
  </w:style>
  <w:style w:type="paragraph" w:styleId="53">
    <w:name w:val="index heading"/>
    <w:basedOn w:val="54"/>
    <w:next w:val="55"/>
    <w:autoRedefine/>
    <w:qFormat/>
    <w:uiPriority w:val="0"/>
    <w:pPr>
      <w:keepLines w:val="0"/>
      <w:spacing w:before="0" w:line="480" w:lineRule="atLeast"/>
      <w:ind w:left="0"/>
    </w:pPr>
    <w:rPr>
      <w:rFonts w:ascii="Arial Black" w:hAnsi="Arial Black"/>
      <w:spacing w:val="-5"/>
      <w:kern w:val="0"/>
      <w:sz w:val="24"/>
    </w:rPr>
  </w:style>
  <w:style w:type="paragraph" w:customStyle="1" w:styleId="54">
    <w:name w:val="Heading Base"/>
    <w:basedOn w:val="1"/>
    <w:next w:val="31"/>
    <w:link w:val="249"/>
    <w:autoRedefine/>
    <w:qFormat/>
    <w:uiPriority w:val="0"/>
    <w:pPr>
      <w:keepNext/>
      <w:keepLines/>
      <w:widowControl/>
      <w:spacing w:before="140" w:line="220" w:lineRule="atLeast"/>
      <w:ind w:left="1080"/>
      <w:jc w:val="left"/>
    </w:pPr>
    <w:rPr>
      <w:rFonts w:ascii="Arial" w:hAnsi="Arial" w:eastAsia="仿宋体"/>
      <w:spacing w:val="-4"/>
      <w:kern w:val="28"/>
      <w:sz w:val="22"/>
      <w:lang w:eastAsia="en-US"/>
    </w:rPr>
  </w:style>
  <w:style w:type="paragraph" w:styleId="55">
    <w:name w:val="index 1"/>
    <w:basedOn w:val="1"/>
    <w:next w:val="1"/>
    <w:autoRedefine/>
    <w:qFormat/>
    <w:uiPriority w:val="0"/>
  </w:style>
  <w:style w:type="paragraph" w:styleId="56">
    <w:name w:val="Subtitle"/>
    <w:basedOn w:val="1"/>
    <w:link w:val="105"/>
    <w:autoRedefine/>
    <w:qFormat/>
    <w:uiPriority w:val="0"/>
    <w:pPr>
      <w:widowControl/>
      <w:jc w:val="center"/>
    </w:pPr>
    <w:rPr>
      <w:rFonts w:ascii="Arial" w:hAnsi="Arial" w:eastAsia="Times New Roman"/>
      <w:b/>
      <w:kern w:val="0"/>
      <w:sz w:val="28"/>
      <w:szCs w:val="24"/>
      <w:lang w:val="fr-FR"/>
    </w:rPr>
  </w:style>
  <w:style w:type="paragraph" w:styleId="57">
    <w:name w:val="List Number 5"/>
    <w:basedOn w:val="1"/>
    <w:autoRedefine/>
    <w:qFormat/>
    <w:uiPriority w:val="0"/>
    <w:pPr>
      <w:tabs>
        <w:tab w:val="left" w:pos="1260"/>
      </w:tabs>
      <w:ind w:left="1260" w:hanging="420"/>
    </w:pPr>
  </w:style>
  <w:style w:type="paragraph" w:styleId="58">
    <w:name w:val="List"/>
    <w:basedOn w:val="1"/>
    <w:autoRedefine/>
    <w:qFormat/>
    <w:uiPriority w:val="0"/>
    <w:pPr>
      <w:ind w:left="200" w:hanging="200" w:hangingChars="200"/>
    </w:pPr>
    <w:rPr>
      <w:rFonts w:ascii="Arial" w:hAnsi="Arial"/>
      <w:sz w:val="24"/>
      <w:szCs w:val="24"/>
    </w:rPr>
  </w:style>
  <w:style w:type="paragraph" w:styleId="59">
    <w:name w:val="footnote text"/>
    <w:basedOn w:val="1"/>
    <w:link w:val="205"/>
    <w:autoRedefine/>
    <w:qFormat/>
    <w:uiPriority w:val="0"/>
    <w:pPr>
      <w:snapToGrid w:val="0"/>
      <w:spacing w:line="360" w:lineRule="auto"/>
      <w:jc w:val="left"/>
    </w:pPr>
    <w:rPr>
      <w:sz w:val="18"/>
    </w:rPr>
  </w:style>
  <w:style w:type="paragraph" w:styleId="60">
    <w:name w:val="toc 6"/>
    <w:basedOn w:val="1"/>
    <w:next w:val="1"/>
    <w:autoRedefine/>
    <w:qFormat/>
    <w:uiPriority w:val="0"/>
    <w:pPr>
      <w:ind w:left="1050"/>
      <w:jc w:val="left"/>
    </w:pPr>
    <w:rPr>
      <w:sz w:val="18"/>
      <w:szCs w:val="18"/>
    </w:rPr>
  </w:style>
  <w:style w:type="paragraph" w:styleId="61">
    <w:name w:val="Body Text Indent 3"/>
    <w:basedOn w:val="1"/>
    <w:link w:val="107"/>
    <w:autoRedefine/>
    <w:qFormat/>
    <w:uiPriority w:val="0"/>
    <w:pPr>
      <w:snapToGrid w:val="0"/>
      <w:spacing w:line="657" w:lineRule="atLeast"/>
      <w:ind w:firstLine="720"/>
      <w:jc w:val="left"/>
    </w:pPr>
    <w:rPr>
      <w:rFonts w:ascii="仿宋_GB2312" w:eastAsia="仿宋_GB2312"/>
      <w:b/>
      <w:bCs/>
      <w:sz w:val="36"/>
    </w:rPr>
  </w:style>
  <w:style w:type="paragraph" w:styleId="62">
    <w:name w:val="table of figures"/>
    <w:basedOn w:val="1"/>
    <w:next w:val="1"/>
    <w:autoRedefine/>
    <w:qFormat/>
    <w:uiPriority w:val="0"/>
    <w:pPr>
      <w:ind w:left="840" w:leftChars="200" w:hanging="420" w:hangingChars="200"/>
    </w:pPr>
    <w:rPr>
      <w:szCs w:val="24"/>
    </w:rPr>
  </w:style>
  <w:style w:type="paragraph" w:styleId="63">
    <w:name w:val="toc 2"/>
    <w:basedOn w:val="1"/>
    <w:next w:val="1"/>
    <w:autoRedefine/>
    <w:qFormat/>
    <w:uiPriority w:val="0"/>
    <w:pPr>
      <w:ind w:left="210"/>
      <w:jc w:val="left"/>
    </w:pPr>
    <w:rPr>
      <w:smallCaps/>
      <w:sz w:val="20"/>
    </w:rPr>
  </w:style>
  <w:style w:type="paragraph" w:styleId="64">
    <w:name w:val="toc 9"/>
    <w:basedOn w:val="1"/>
    <w:next w:val="1"/>
    <w:autoRedefine/>
    <w:qFormat/>
    <w:uiPriority w:val="0"/>
    <w:pPr>
      <w:ind w:left="1680"/>
      <w:jc w:val="left"/>
    </w:pPr>
    <w:rPr>
      <w:sz w:val="18"/>
      <w:szCs w:val="18"/>
    </w:rPr>
  </w:style>
  <w:style w:type="paragraph" w:styleId="65">
    <w:name w:val="Body Text 2"/>
    <w:basedOn w:val="1"/>
    <w:autoRedefine/>
    <w:qFormat/>
    <w:uiPriority w:val="0"/>
    <w:pPr>
      <w:spacing w:after="120" w:line="480" w:lineRule="auto"/>
    </w:pPr>
  </w:style>
  <w:style w:type="paragraph" w:styleId="66">
    <w:name w:val="Message Header"/>
    <w:basedOn w:val="31"/>
    <w:autoRedefine/>
    <w:qFormat/>
    <w:uiPriority w:val="0"/>
    <w:pPr>
      <w:keepLines/>
      <w:widowControl/>
      <w:tabs>
        <w:tab w:val="left" w:pos="0"/>
        <w:tab w:val="left" w:pos="3600"/>
        <w:tab w:val="left" w:pos="4680"/>
      </w:tabs>
      <w:spacing w:line="280" w:lineRule="exact"/>
      <w:ind w:left="907" w:right="2160" w:hanging="1080"/>
      <w:jc w:val="left"/>
    </w:pPr>
    <w:rPr>
      <w:rFonts w:ascii="仿宋体" w:hAnsi="Arial" w:eastAsia="仿宋体"/>
      <w:kern w:val="0"/>
      <w:sz w:val="22"/>
    </w:rPr>
  </w:style>
  <w:style w:type="paragraph" w:styleId="67">
    <w:name w:val="HTML Preformatted"/>
    <w:basedOn w:val="1"/>
    <w:link w:val="20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rPr>
  </w:style>
  <w:style w:type="paragraph" w:styleId="68">
    <w:name w:val="Normal (Web)"/>
    <w:basedOn w:val="1"/>
    <w:link w:val="116"/>
    <w:autoRedefine/>
    <w:qFormat/>
    <w:uiPriority w:val="0"/>
    <w:pPr>
      <w:widowControl/>
      <w:spacing w:before="100" w:beforeAutospacing="1" w:after="100" w:afterAutospacing="1"/>
      <w:jc w:val="left"/>
    </w:pPr>
    <w:rPr>
      <w:rFonts w:ascii="宋体" w:hAnsi="宋体"/>
      <w:kern w:val="0"/>
      <w:sz w:val="24"/>
      <w:szCs w:val="24"/>
    </w:rPr>
  </w:style>
  <w:style w:type="paragraph" w:styleId="69">
    <w:name w:val="index 2"/>
    <w:basedOn w:val="70"/>
    <w:next w:val="1"/>
    <w:autoRedefine/>
    <w:qFormat/>
    <w:uiPriority w:val="0"/>
    <w:pPr>
      <w:spacing w:line="360" w:lineRule="auto"/>
      <w:ind w:left="720" w:firstLine="432"/>
    </w:pPr>
    <w:rPr>
      <w:rFonts w:ascii="Times New Roman" w:hAnsi="Times New Roman"/>
      <w:sz w:val="28"/>
      <w:lang w:eastAsia="zh-CN"/>
    </w:rPr>
  </w:style>
  <w:style w:type="paragraph" w:customStyle="1" w:styleId="70">
    <w:name w:val="Index Base"/>
    <w:basedOn w:val="1"/>
    <w:autoRedefine/>
    <w:qFormat/>
    <w:uiPriority w:val="0"/>
    <w:pPr>
      <w:widowControl/>
      <w:spacing w:line="240" w:lineRule="atLeast"/>
      <w:ind w:left="360" w:hanging="360"/>
      <w:jc w:val="left"/>
    </w:pPr>
    <w:rPr>
      <w:rFonts w:ascii="Arial" w:hAnsi="Arial" w:eastAsia="仿宋体"/>
      <w:spacing w:val="-5"/>
      <w:kern w:val="0"/>
      <w:sz w:val="18"/>
      <w:lang w:eastAsia="en-US"/>
    </w:rPr>
  </w:style>
  <w:style w:type="paragraph" w:styleId="71">
    <w:name w:val="annotation subject"/>
    <w:basedOn w:val="26"/>
    <w:next w:val="26"/>
    <w:link w:val="118"/>
    <w:autoRedefine/>
    <w:qFormat/>
    <w:uiPriority w:val="0"/>
    <w:rPr>
      <w:b/>
      <w:bCs/>
    </w:rPr>
  </w:style>
  <w:style w:type="paragraph" w:styleId="72">
    <w:name w:val="Body Text First Indent"/>
    <w:basedOn w:val="31"/>
    <w:next w:val="1"/>
    <w:link w:val="141"/>
    <w:autoRedefine/>
    <w:qFormat/>
    <w:uiPriority w:val="0"/>
    <w:pPr>
      <w:ind w:firstLine="420" w:firstLineChars="100"/>
    </w:pPr>
    <w:rPr>
      <w:szCs w:val="24"/>
    </w:rPr>
  </w:style>
  <w:style w:type="paragraph" w:styleId="73">
    <w:name w:val="Body Text First Indent 2"/>
    <w:basedOn w:val="32"/>
    <w:next w:val="1"/>
    <w:autoRedefine/>
    <w:qFormat/>
    <w:uiPriority w:val="0"/>
    <w:pPr>
      <w:ind w:firstLine="420" w:firstLineChars="200"/>
    </w:pPr>
    <w:rPr>
      <w:szCs w:val="24"/>
    </w:rPr>
  </w:style>
  <w:style w:type="table" w:styleId="75">
    <w:name w:val="Table Grid"/>
    <w:basedOn w:val="74"/>
    <w:autoRedefine/>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7">
    <w:name w:val="Strong"/>
    <w:autoRedefine/>
    <w:qFormat/>
    <w:uiPriority w:val="0"/>
    <w:rPr>
      <w:b/>
      <w:bCs/>
    </w:rPr>
  </w:style>
  <w:style w:type="character" w:styleId="78">
    <w:name w:val="page number"/>
    <w:basedOn w:val="76"/>
    <w:autoRedefine/>
    <w:qFormat/>
    <w:uiPriority w:val="0"/>
  </w:style>
  <w:style w:type="character" w:styleId="79">
    <w:name w:val="FollowedHyperlink"/>
    <w:autoRedefine/>
    <w:qFormat/>
    <w:uiPriority w:val="0"/>
    <w:rPr>
      <w:color w:val="333333"/>
      <w:u w:val="none"/>
      <w:shd w:val="clear" w:color="auto" w:fill="BA8EA7"/>
    </w:rPr>
  </w:style>
  <w:style w:type="character" w:styleId="80">
    <w:name w:val="Emphasis"/>
    <w:autoRedefine/>
    <w:qFormat/>
    <w:uiPriority w:val="0"/>
    <w:rPr>
      <w:color w:val="CC0000"/>
    </w:rPr>
  </w:style>
  <w:style w:type="character" w:styleId="81">
    <w:name w:val="HTML Definition"/>
    <w:basedOn w:val="76"/>
    <w:autoRedefine/>
    <w:qFormat/>
    <w:uiPriority w:val="0"/>
  </w:style>
  <w:style w:type="character" w:styleId="82">
    <w:name w:val="HTML Typewriter"/>
    <w:basedOn w:val="76"/>
    <w:autoRedefine/>
    <w:qFormat/>
    <w:uiPriority w:val="0"/>
    <w:rPr>
      <w:rFonts w:ascii="monospace" w:hAnsi="monospace" w:eastAsia="monospace" w:cs="monospace"/>
      <w:sz w:val="20"/>
    </w:rPr>
  </w:style>
  <w:style w:type="character" w:styleId="83">
    <w:name w:val="HTML Acronym"/>
    <w:basedOn w:val="76"/>
    <w:autoRedefine/>
    <w:qFormat/>
    <w:uiPriority w:val="0"/>
  </w:style>
  <w:style w:type="character" w:styleId="84">
    <w:name w:val="HTML Variable"/>
    <w:basedOn w:val="76"/>
    <w:autoRedefine/>
    <w:qFormat/>
    <w:uiPriority w:val="0"/>
  </w:style>
  <w:style w:type="character" w:styleId="85">
    <w:name w:val="Hyperlink"/>
    <w:autoRedefine/>
    <w:qFormat/>
    <w:uiPriority w:val="99"/>
    <w:rPr>
      <w:color w:val="333333"/>
      <w:u w:val="none"/>
    </w:rPr>
  </w:style>
  <w:style w:type="character" w:styleId="86">
    <w:name w:val="HTML Code"/>
    <w:basedOn w:val="76"/>
    <w:autoRedefine/>
    <w:qFormat/>
    <w:uiPriority w:val="0"/>
    <w:rPr>
      <w:rFonts w:hint="default" w:ascii="monospace" w:hAnsi="monospace" w:eastAsia="monospace" w:cs="monospace"/>
      <w:sz w:val="20"/>
    </w:rPr>
  </w:style>
  <w:style w:type="character" w:styleId="87">
    <w:name w:val="annotation reference"/>
    <w:autoRedefine/>
    <w:qFormat/>
    <w:uiPriority w:val="0"/>
    <w:rPr>
      <w:sz w:val="21"/>
      <w:szCs w:val="21"/>
    </w:rPr>
  </w:style>
  <w:style w:type="character" w:styleId="88">
    <w:name w:val="HTML Cite"/>
    <w:basedOn w:val="76"/>
    <w:autoRedefine/>
    <w:qFormat/>
    <w:uiPriority w:val="0"/>
  </w:style>
  <w:style w:type="character" w:styleId="89">
    <w:name w:val="HTML Keyboard"/>
    <w:basedOn w:val="76"/>
    <w:autoRedefine/>
    <w:qFormat/>
    <w:uiPriority w:val="0"/>
    <w:rPr>
      <w:rFonts w:hint="default" w:ascii="monospace" w:hAnsi="monospace" w:eastAsia="monospace" w:cs="monospace"/>
      <w:sz w:val="20"/>
    </w:rPr>
  </w:style>
  <w:style w:type="character" w:styleId="90">
    <w:name w:val="HTML Sample"/>
    <w:basedOn w:val="76"/>
    <w:autoRedefine/>
    <w:qFormat/>
    <w:uiPriority w:val="0"/>
    <w:rPr>
      <w:rFonts w:hint="default" w:ascii="monospace" w:hAnsi="monospace" w:eastAsia="monospace" w:cs="monospace"/>
    </w:rPr>
  </w:style>
  <w:style w:type="paragraph" w:customStyle="1" w:styleId="91">
    <w:name w:val="样式 样式 左侧:  2 字符 + 左侧:  0.85 厘米 首行缩进:  2 字符1"/>
    <w:basedOn w:val="1"/>
    <w:autoRedefine/>
    <w:qFormat/>
    <w:uiPriority w:val="99"/>
    <w:pPr>
      <w:ind w:left="482" w:firstLine="200" w:firstLineChars="200"/>
    </w:pPr>
  </w:style>
  <w:style w:type="paragraph" w:customStyle="1" w:styleId="92">
    <w:name w:val="引用1"/>
    <w:next w:val="1"/>
    <w:autoRedefine/>
    <w:qFormat/>
    <w:uiPriority w:val="0"/>
    <w:pPr>
      <w:wordWrap w:val="0"/>
      <w:spacing w:before="200" w:after="160"/>
      <w:ind w:left="864" w:right="864"/>
      <w:jc w:val="center"/>
    </w:pPr>
    <w:rPr>
      <w:rFonts w:ascii="Calibri" w:hAnsi="Calibri" w:eastAsia="宋体" w:cs="Times New Roman"/>
      <w:i/>
      <w:sz w:val="21"/>
      <w:lang w:val="en-US" w:eastAsia="zh-CN" w:bidi="ar-SA"/>
    </w:rPr>
  </w:style>
  <w:style w:type="paragraph" w:customStyle="1" w:styleId="93">
    <w:name w:val="首行缩进"/>
    <w:basedOn w:val="94"/>
    <w:next w:val="1"/>
    <w:autoRedefine/>
    <w:qFormat/>
    <w:uiPriority w:val="0"/>
    <w:pPr>
      <w:spacing w:line="360" w:lineRule="auto"/>
      <w:ind w:left="210" w:leftChars="100" w:firstLine="420" w:firstLineChars="200"/>
    </w:pPr>
    <w:rPr>
      <w:rFonts w:ascii="宋体" w:hAnsi="宋体"/>
      <w:szCs w:val="24"/>
    </w:rPr>
  </w:style>
  <w:style w:type="paragraph" w:customStyle="1" w:styleId="94">
    <w:name w:val="正文 New New New New New New"/>
    <w:next w:val="93"/>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5">
    <w:name w:val="正文新表格fffffffffffff"/>
    <w:basedOn w:val="31"/>
    <w:autoRedefine/>
    <w:qFormat/>
    <w:uiPriority w:val="0"/>
    <w:pPr>
      <w:tabs>
        <w:tab w:val="center" w:pos="733"/>
      </w:tabs>
      <w:adjustRightInd w:val="0"/>
      <w:snapToGrid w:val="0"/>
    </w:pPr>
    <w:rPr>
      <w:rFonts w:hAnsi="黑体"/>
    </w:rPr>
  </w:style>
  <w:style w:type="paragraph" w:customStyle="1" w:styleId="96">
    <w:name w:val="样式 首行缩进:  2 字符"/>
    <w:basedOn w:val="1"/>
    <w:autoRedefine/>
    <w:qFormat/>
    <w:uiPriority w:val="0"/>
    <w:pPr>
      <w:spacing w:line="360" w:lineRule="auto"/>
      <w:ind w:firstLine="480" w:firstLineChars="200"/>
      <w:jc w:val="left"/>
    </w:pPr>
    <w:rPr>
      <w:rFonts w:ascii="宋体" w:hAnsi="宋体" w:cs="宋体"/>
      <w:color w:val="000000"/>
      <w:sz w:val="24"/>
    </w:rPr>
  </w:style>
  <w:style w:type="paragraph" w:customStyle="1" w:styleId="97">
    <w:name w:val="正文-公1"/>
    <w:basedOn w:val="1"/>
    <w:autoRedefine/>
    <w:qFormat/>
    <w:uiPriority w:val="0"/>
    <w:pPr>
      <w:ind w:firstLine="200" w:firstLineChars="200"/>
    </w:pPr>
    <w:rPr>
      <w:color w:val="000000"/>
    </w:rPr>
  </w:style>
  <w:style w:type="paragraph" w:customStyle="1" w:styleId="98">
    <w:name w:val="Heading2"/>
    <w:basedOn w:val="1"/>
    <w:next w:val="1"/>
    <w:autoRedefine/>
    <w:qFormat/>
    <w:uiPriority w:val="0"/>
    <w:pPr>
      <w:keepNext/>
      <w:keepLines/>
      <w:spacing w:before="260" w:after="260" w:line="416" w:lineRule="auto"/>
      <w:jc w:val="both"/>
      <w:textAlignment w:val="baseline"/>
    </w:pPr>
    <w:rPr>
      <w:rFonts w:ascii="Arial" w:hAnsi="Arial" w:eastAsia="黑体" w:cs="Times New Roman"/>
      <w:b/>
      <w:bCs/>
      <w:kern w:val="2"/>
      <w:sz w:val="32"/>
      <w:szCs w:val="32"/>
      <w:lang w:val="en-US" w:eastAsia="zh-CN" w:bidi="ar-SA"/>
    </w:rPr>
  </w:style>
  <w:style w:type="paragraph" w:customStyle="1" w:styleId="99">
    <w:name w:val="目录 61"/>
    <w:next w:val="1"/>
    <w:autoRedefine/>
    <w:qFormat/>
    <w:uiPriority w:val="0"/>
    <w:pPr>
      <w:wordWrap w:val="0"/>
      <w:ind w:left="2125"/>
      <w:jc w:val="both"/>
    </w:pPr>
    <w:rPr>
      <w:rFonts w:ascii="Times New Roman" w:hAnsi="Times New Roman" w:eastAsia="宋体" w:cs="Times New Roman"/>
      <w:sz w:val="21"/>
      <w:lang w:val="en-US" w:eastAsia="zh-CN" w:bidi="ar-SA"/>
    </w:rPr>
  </w:style>
  <w:style w:type="character" w:customStyle="1" w:styleId="100">
    <w:name w:val="宏文本 Char"/>
    <w:link w:val="2"/>
    <w:autoRedefine/>
    <w:qFormat/>
    <w:uiPriority w:val="0"/>
    <w:rPr>
      <w:rFonts w:ascii="Courier New" w:hAnsi="Courier New"/>
      <w:kern w:val="2"/>
      <w:sz w:val="24"/>
      <w:lang w:val="en-US" w:eastAsia="zh-CN" w:bidi="ar-SA"/>
    </w:rPr>
  </w:style>
  <w:style w:type="character" w:customStyle="1" w:styleId="101">
    <w:name w:val="contentlabel1"/>
    <w:autoRedefine/>
    <w:qFormat/>
    <w:uiPriority w:val="0"/>
    <w:rPr>
      <w:color w:val="336666"/>
      <w:sz w:val="18"/>
      <w:u w:val="none"/>
    </w:rPr>
  </w:style>
  <w:style w:type="character" w:customStyle="1" w:styleId="102">
    <w:name w:val="font101"/>
    <w:autoRedefine/>
    <w:qFormat/>
    <w:uiPriority w:val="0"/>
    <w:rPr>
      <w:sz w:val="21"/>
    </w:rPr>
  </w:style>
  <w:style w:type="character" w:customStyle="1" w:styleId="103">
    <w:name w:val="文档正文 Char1"/>
    <w:autoRedefine/>
    <w:qFormat/>
    <w:uiPriority w:val="0"/>
    <w:rPr>
      <w:rFonts w:ascii="长城仿宋" w:eastAsia="宋体"/>
      <w:sz w:val="28"/>
      <w:lang w:val="en-US" w:eastAsia="zh-CN"/>
    </w:rPr>
  </w:style>
  <w:style w:type="character" w:customStyle="1" w:styleId="104">
    <w:name w:val="style821"/>
    <w:autoRedefine/>
    <w:qFormat/>
    <w:uiPriority w:val="0"/>
  </w:style>
  <w:style w:type="character" w:customStyle="1" w:styleId="105">
    <w:name w:val="副标题 Char"/>
    <w:link w:val="56"/>
    <w:autoRedefine/>
    <w:qFormat/>
    <w:uiPriority w:val="0"/>
    <w:rPr>
      <w:rFonts w:ascii="Arial" w:hAnsi="Arial" w:eastAsia="Times New Roman"/>
      <w:b/>
      <w:sz w:val="28"/>
      <w:szCs w:val="24"/>
      <w:lang w:val="fr-FR"/>
    </w:rPr>
  </w:style>
  <w:style w:type="character" w:customStyle="1" w:styleId="106">
    <w:name w:val="普通文字1 Char4"/>
    <w:autoRedefine/>
    <w:qFormat/>
    <w:uiPriority w:val="0"/>
    <w:rPr>
      <w:rFonts w:ascii="宋体" w:hAnsi="Courier New" w:eastAsia="宋体"/>
      <w:kern w:val="2"/>
      <w:sz w:val="24"/>
      <w:lang w:val="en-US" w:eastAsia="zh-CN" w:bidi="ar-SA"/>
    </w:rPr>
  </w:style>
  <w:style w:type="character" w:customStyle="1" w:styleId="107">
    <w:name w:val="正文文本缩进 3 Char"/>
    <w:link w:val="61"/>
    <w:autoRedefine/>
    <w:qFormat/>
    <w:uiPriority w:val="0"/>
    <w:rPr>
      <w:rFonts w:ascii="仿宋_GB2312" w:eastAsia="仿宋_GB2312"/>
      <w:b/>
      <w:bCs/>
      <w:kern w:val="2"/>
      <w:sz w:val="36"/>
    </w:rPr>
  </w:style>
  <w:style w:type="character" w:customStyle="1" w:styleId="108">
    <w:name w:val="style11"/>
    <w:autoRedefine/>
    <w:qFormat/>
    <w:uiPriority w:val="0"/>
    <w:rPr>
      <w:rFonts w:hint="default" w:ascii="Arial" w:hAnsi="Arial"/>
    </w:rPr>
  </w:style>
  <w:style w:type="character" w:customStyle="1" w:styleId="109">
    <w:name w:val="ft91"/>
    <w:autoRedefine/>
    <w:qFormat/>
    <w:uiPriority w:val="0"/>
    <w:rPr>
      <w:sz w:val="18"/>
    </w:rPr>
  </w:style>
  <w:style w:type="character" w:customStyle="1" w:styleId="110">
    <w:name w:val="highlight1"/>
    <w:autoRedefine/>
    <w:qFormat/>
    <w:uiPriority w:val="0"/>
    <w:rPr>
      <w:sz w:val="21"/>
    </w:rPr>
  </w:style>
  <w:style w:type="character" w:customStyle="1" w:styleId="111">
    <w:name w:val="li"/>
    <w:basedOn w:val="76"/>
    <w:autoRedefine/>
    <w:qFormat/>
    <w:uiPriority w:val="0"/>
  </w:style>
  <w:style w:type="character" w:customStyle="1" w:styleId="112">
    <w:name w:val="注释标题 Char"/>
    <w:link w:val="18"/>
    <w:autoRedefine/>
    <w:qFormat/>
    <w:uiPriority w:val="0"/>
    <w:rPr>
      <w:kern w:val="2"/>
      <w:sz w:val="24"/>
    </w:rPr>
  </w:style>
  <w:style w:type="character" w:customStyle="1" w:styleId="113">
    <w:name w:val="BIT正文 Char Char"/>
    <w:link w:val="114"/>
    <w:autoRedefine/>
    <w:qFormat/>
    <w:uiPriority w:val="0"/>
    <w:rPr>
      <w:rFonts w:ascii="楷体_GB2312" w:hAnsi="宋体"/>
      <w:kern w:val="2"/>
      <w:sz w:val="24"/>
    </w:rPr>
  </w:style>
  <w:style w:type="paragraph" w:customStyle="1" w:styleId="114">
    <w:name w:val="BIT正文"/>
    <w:basedOn w:val="1"/>
    <w:link w:val="113"/>
    <w:autoRedefine/>
    <w:qFormat/>
    <w:uiPriority w:val="0"/>
    <w:pPr>
      <w:spacing w:before="120" w:after="120" w:line="400" w:lineRule="exact"/>
      <w:ind w:firstLine="200" w:firstLineChars="200"/>
      <w:jc w:val="left"/>
    </w:pPr>
    <w:rPr>
      <w:rFonts w:ascii="楷体_GB2312" w:hAnsi="宋体"/>
      <w:sz w:val="24"/>
    </w:rPr>
  </w:style>
  <w:style w:type="character" w:customStyle="1" w:styleId="115">
    <w:name w:val="gray2"/>
    <w:autoRedefine/>
    <w:qFormat/>
    <w:uiPriority w:val="0"/>
  </w:style>
  <w:style w:type="character" w:customStyle="1" w:styleId="116">
    <w:name w:val="普通(网站) Char"/>
    <w:link w:val="68"/>
    <w:autoRedefine/>
    <w:qFormat/>
    <w:uiPriority w:val="0"/>
    <w:rPr>
      <w:rFonts w:ascii="宋体" w:hAnsi="宋体"/>
      <w:sz w:val="24"/>
      <w:szCs w:val="24"/>
    </w:rPr>
  </w:style>
  <w:style w:type="character" w:customStyle="1" w:styleId="117">
    <w:name w:val="font-12"/>
    <w:basedOn w:val="76"/>
    <w:autoRedefine/>
    <w:qFormat/>
    <w:uiPriority w:val="0"/>
  </w:style>
  <w:style w:type="character" w:customStyle="1" w:styleId="118">
    <w:name w:val="批注主题 Char"/>
    <w:link w:val="71"/>
    <w:autoRedefine/>
    <w:qFormat/>
    <w:uiPriority w:val="0"/>
    <w:rPr>
      <w:b/>
      <w:bCs/>
      <w:kern w:val="2"/>
      <w:sz w:val="21"/>
      <w:szCs w:val="24"/>
    </w:rPr>
  </w:style>
  <w:style w:type="character" w:customStyle="1" w:styleId="119">
    <w:name w:val="投标文件 正文首行缩进 Char Char"/>
    <w:link w:val="120"/>
    <w:autoRedefine/>
    <w:qFormat/>
    <w:uiPriority w:val="0"/>
    <w:rPr>
      <w:rFonts w:ascii="Arial" w:hAnsi="Arial" w:eastAsia="宋体"/>
      <w:kern w:val="2"/>
      <w:sz w:val="21"/>
      <w:szCs w:val="24"/>
      <w:lang w:val="en-US" w:eastAsia="zh-CN" w:bidi="ar-SA"/>
    </w:rPr>
  </w:style>
  <w:style w:type="paragraph" w:customStyle="1" w:styleId="120">
    <w:name w:val="投标文件 正文首行缩进"/>
    <w:basedOn w:val="73"/>
    <w:link w:val="119"/>
    <w:autoRedefine/>
    <w:qFormat/>
    <w:uiPriority w:val="0"/>
    <w:pPr>
      <w:spacing w:after="220" w:line="360" w:lineRule="auto"/>
      <w:ind w:left="0" w:leftChars="0" w:firstLine="200"/>
    </w:pPr>
    <w:rPr>
      <w:rFonts w:ascii="Arial" w:hAnsi="Arial"/>
    </w:rPr>
  </w:style>
  <w:style w:type="character" w:customStyle="1" w:styleId="121">
    <w:name w:val="font31"/>
    <w:basedOn w:val="76"/>
    <w:autoRedefine/>
    <w:qFormat/>
    <w:uiPriority w:val="0"/>
    <w:rPr>
      <w:rFonts w:hint="eastAsia" w:ascii="宋体" w:hAnsi="宋体" w:eastAsia="宋体" w:cs="宋体"/>
      <w:b/>
      <w:color w:val="000000"/>
      <w:sz w:val="20"/>
      <w:szCs w:val="20"/>
      <w:u w:val="none"/>
    </w:rPr>
  </w:style>
  <w:style w:type="character" w:customStyle="1" w:styleId="122">
    <w:name w:val="结束语 Char"/>
    <w:link w:val="29"/>
    <w:autoRedefine/>
    <w:qFormat/>
    <w:uiPriority w:val="0"/>
    <w:rPr>
      <w:rFonts w:ascii="宋体" w:hAnsi="宋体"/>
      <w:spacing w:val="20"/>
      <w:kern w:val="2"/>
      <w:sz w:val="24"/>
    </w:rPr>
  </w:style>
  <w:style w:type="character" w:customStyle="1" w:styleId="123">
    <w:name w:val="标题 4 Char Char Char"/>
    <w:autoRedefine/>
    <w:qFormat/>
    <w:uiPriority w:val="0"/>
    <w:rPr>
      <w:rFonts w:ascii="Arial" w:hAnsi="Arial" w:eastAsia="黑体"/>
      <w:b/>
      <w:kern w:val="2"/>
      <w:sz w:val="28"/>
      <w:lang w:val="en-US" w:eastAsia="zh-CN"/>
    </w:rPr>
  </w:style>
  <w:style w:type="character" w:customStyle="1" w:styleId="124">
    <w:name w:val="正文1 Char Char"/>
    <w:autoRedefine/>
    <w:qFormat/>
    <w:uiPriority w:val="0"/>
    <w:rPr>
      <w:rFonts w:ascii="宋体" w:hAnsi="宋体" w:eastAsia="宋体"/>
      <w:kern w:val="2"/>
      <w:sz w:val="24"/>
      <w:lang w:val="en-US" w:eastAsia="zh-CN" w:bidi="ar-SA"/>
    </w:rPr>
  </w:style>
  <w:style w:type="character" w:customStyle="1" w:styleId="125">
    <w:name w:val="body1"/>
    <w:autoRedefine/>
    <w:qFormat/>
    <w:uiPriority w:val="0"/>
  </w:style>
  <w:style w:type="character" w:customStyle="1" w:styleId="126">
    <w:name w:val="文档结构图 Char"/>
    <w:link w:val="24"/>
    <w:autoRedefine/>
    <w:qFormat/>
    <w:uiPriority w:val="0"/>
    <w:rPr>
      <w:kern w:val="2"/>
      <w:sz w:val="21"/>
      <w:shd w:val="clear" w:color="auto" w:fill="000080"/>
    </w:rPr>
  </w:style>
  <w:style w:type="character" w:customStyle="1" w:styleId="127">
    <w:name w:val="列出段落 Char"/>
    <w:link w:val="128"/>
    <w:autoRedefine/>
    <w:qFormat/>
    <w:uiPriority w:val="0"/>
    <w:rPr>
      <w:kern w:val="2"/>
      <w:sz w:val="21"/>
      <w:szCs w:val="24"/>
    </w:rPr>
  </w:style>
  <w:style w:type="paragraph" w:styleId="128">
    <w:name w:val="List Paragraph"/>
    <w:basedOn w:val="1"/>
    <w:link w:val="127"/>
    <w:autoRedefine/>
    <w:qFormat/>
    <w:uiPriority w:val="0"/>
    <w:pPr>
      <w:ind w:firstLine="420" w:firstLineChars="200"/>
    </w:pPr>
    <w:rPr>
      <w:szCs w:val="24"/>
    </w:rPr>
  </w:style>
  <w:style w:type="character" w:customStyle="1" w:styleId="129">
    <w:name w:val="red1"/>
    <w:autoRedefine/>
    <w:qFormat/>
    <w:uiPriority w:val="0"/>
    <w:rPr>
      <w:rFonts w:hint="default" w:ascii="ˎ̥" w:hAnsi="ˎ̥"/>
      <w:color w:val="CC3300"/>
      <w:sz w:val="18"/>
      <w:u w:val="none"/>
    </w:rPr>
  </w:style>
  <w:style w:type="character" w:customStyle="1" w:styleId="130">
    <w:name w:val="正文文本缩进 2 Char"/>
    <w:autoRedefine/>
    <w:qFormat/>
    <w:uiPriority w:val="0"/>
    <w:rPr>
      <w:rFonts w:ascii="宋体" w:hAnsi="宋体" w:eastAsia="宋体"/>
      <w:kern w:val="2"/>
      <w:sz w:val="21"/>
      <w:szCs w:val="32"/>
      <w:lang w:val="en-US" w:eastAsia="zh-CN" w:bidi="ar-SA"/>
    </w:rPr>
  </w:style>
  <w:style w:type="character" w:customStyle="1" w:styleId="131">
    <w:name w:val="样式 规范正文 + Arial Char"/>
    <w:autoRedefine/>
    <w:qFormat/>
    <w:uiPriority w:val="0"/>
    <w:rPr>
      <w:rFonts w:ascii="Arial" w:hAnsi="Arial" w:eastAsia="宋体"/>
      <w:sz w:val="24"/>
      <w:szCs w:val="24"/>
      <w:lang w:val="en-US" w:eastAsia="zh-CN" w:bidi="ar-SA"/>
    </w:rPr>
  </w:style>
  <w:style w:type="character" w:customStyle="1" w:styleId="132">
    <w:name w:val="页眉 Char"/>
    <w:link w:val="50"/>
    <w:autoRedefine/>
    <w:qFormat/>
    <w:uiPriority w:val="0"/>
    <w:rPr>
      <w:rFonts w:eastAsia="宋体"/>
      <w:kern w:val="2"/>
      <w:sz w:val="18"/>
      <w:szCs w:val="18"/>
      <w:lang w:val="en-US" w:eastAsia="zh-CN" w:bidi="ar-SA"/>
    </w:rPr>
  </w:style>
  <w:style w:type="character" w:customStyle="1" w:styleId="133">
    <w:name w:val="PIM 1 Char"/>
    <w:autoRedefine/>
    <w:qFormat/>
    <w:uiPriority w:val="0"/>
    <w:rPr>
      <w:rFonts w:eastAsia="宋体"/>
      <w:b/>
      <w:bCs/>
      <w:kern w:val="44"/>
      <w:sz w:val="44"/>
      <w:szCs w:val="44"/>
      <w:lang w:val="en-US" w:eastAsia="zh-CN" w:bidi="ar-SA"/>
    </w:rPr>
  </w:style>
  <w:style w:type="character" w:customStyle="1" w:styleId="134">
    <w:name w:val="样式 样式 黑体 二号 + 小三 加粗"/>
    <w:autoRedefine/>
    <w:qFormat/>
    <w:uiPriority w:val="0"/>
    <w:rPr>
      <w:rFonts w:ascii="Arial" w:hAnsi="Arial" w:eastAsia="黑体"/>
      <w:sz w:val="30"/>
    </w:rPr>
  </w:style>
  <w:style w:type="character" w:customStyle="1" w:styleId="135">
    <w:name w:val="font51"/>
    <w:basedOn w:val="76"/>
    <w:autoRedefine/>
    <w:qFormat/>
    <w:uiPriority w:val="0"/>
    <w:rPr>
      <w:rFonts w:hint="eastAsia" w:ascii="宋体" w:hAnsi="宋体" w:eastAsia="宋体" w:cs="宋体"/>
      <w:color w:val="000000"/>
      <w:sz w:val="20"/>
      <w:szCs w:val="20"/>
      <w:u w:val="none"/>
    </w:rPr>
  </w:style>
  <w:style w:type="character" w:customStyle="1" w:styleId="136">
    <w:name w:val="标书正文格式 Char1"/>
    <w:link w:val="137"/>
    <w:autoRedefine/>
    <w:qFormat/>
    <w:uiPriority w:val="0"/>
    <w:rPr>
      <w:kern w:val="2"/>
      <w:sz w:val="24"/>
      <w:szCs w:val="24"/>
      <w:lang w:val="en-US" w:eastAsia="zh-CN" w:bidi="ar-SA"/>
    </w:rPr>
  </w:style>
  <w:style w:type="paragraph" w:customStyle="1" w:styleId="137">
    <w:name w:val="标书正文格式"/>
    <w:link w:val="136"/>
    <w:autoRedefine/>
    <w:qFormat/>
    <w:uiPriority w:val="0"/>
    <w:pPr>
      <w:ind w:firstLine="200" w:firstLineChars="200"/>
    </w:pPr>
    <w:rPr>
      <w:rFonts w:ascii="Times New Roman" w:hAnsi="Times New Roman" w:eastAsia="宋体" w:cs="Times New Roman"/>
      <w:kern w:val="2"/>
      <w:sz w:val="24"/>
      <w:szCs w:val="24"/>
      <w:lang w:val="en-US" w:eastAsia="zh-CN" w:bidi="ar-SA"/>
    </w:rPr>
  </w:style>
  <w:style w:type="character" w:customStyle="1" w:styleId="138">
    <w:name w:val="large"/>
    <w:basedOn w:val="76"/>
    <w:autoRedefine/>
    <w:qFormat/>
    <w:uiPriority w:val="0"/>
  </w:style>
  <w:style w:type="character" w:customStyle="1" w:styleId="139">
    <w:name w:val="fontfzd1"/>
    <w:autoRedefine/>
    <w:qFormat/>
    <w:uiPriority w:val="0"/>
    <w:rPr>
      <w:color w:val="000000"/>
      <w:sz w:val="21"/>
      <w:szCs w:val="21"/>
      <w:u w:val="none"/>
    </w:rPr>
  </w:style>
  <w:style w:type="character" w:customStyle="1" w:styleId="140">
    <w:name w:val="缩进 Char Char Char Char Char Char"/>
    <w:autoRedefine/>
    <w:qFormat/>
    <w:uiPriority w:val="0"/>
    <w:rPr>
      <w:rFonts w:eastAsia="宋体"/>
      <w:kern w:val="2"/>
      <w:sz w:val="21"/>
      <w:lang w:val="en-US" w:eastAsia="zh-CN" w:bidi="ar-SA"/>
    </w:rPr>
  </w:style>
  <w:style w:type="character" w:customStyle="1" w:styleId="141">
    <w:name w:val="正文首行缩进 Char"/>
    <w:link w:val="72"/>
    <w:autoRedefine/>
    <w:qFormat/>
    <w:uiPriority w:val="0"/>
    <w:rPr>
      <w:rFonts w:eastAsia="宋体"/>
      <w:kern w:val="2"/>
      <w:sz w:val="21"/>
      <w:szCs w:val="24"/>
      <w:lang w:val="en-US" w:eastAsia="zh-CN" w:bidi="ar-SA"/>
    </w:rPr>
  </w:style>
  <w:style w:type="character" w:customStyle="1" w:styleId="142">
    <w:name w:val="Char Char33"/>
    <w:autoRedefine/>
    <w:qFormat/>
    <w:uiPriority w:val="0"/>
    <w:rPr>
      <w:rFonts w:eastAsia="宋体"/>
      <w:b/>
      <w:bCs/>
      <w:kern w:val="44"/>
      <w:sz w:val="44"/>
      <w:szCs w:val="44"/>
      <w:lang w:val="en-US" w:eastAsia="zh-CN" w:bidi="ar-SA"/>
    </w:rPr>
  </w:style>
  <w:style w:type="character" w:customStyle="1" w:styleId="143">
    <w:name w:val="style811"/>
    <w:autoRedefine/>
    <w:qFormat/>
    <w:uiPriority w:val="0"/>
    <w:rPr>
      <w:sz w:val="20"/>
      <w:szCs w:val="20"/>
    </w:rPr>
  </w:style>
  <w:style w:type="character" w:customStyle="1" w:styleId="144">
    <w:name w:val="中文正文 Char Char Char Char Char Char Char Char"/>
    <w:link w:val="145"/>
    <w:autoRedefine/>
    <w:qFormat/>
    <w:uiPriority w:val="0"/>
    <w:rPr>
      <w:rFonts w:ascii="仿宋_GB2312" w:eastAsia="仿宋_GB2312"/>
      <w:kern w:val="2"/>
      <w:sz w:val="26"/>
      <w:szCs w:val="24"/>
      <w:lang w:val="en-US" w:eastAsia="zh-CN" w:bidi="ar-SA"/>
    </w:rPr>
  </w:style>
  <w:style w:type="paragraph" w:customStyle="1" w:styleId="145">
    <w:name w:val="中文正文 Char Char Char Char Char Char"/>
    <w:link w:val="144"/>
    <w:autoRedefine/>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szCs w:val="24"/>
      <w:lang w:val="en-US" w:eastAsia="zh-CN" w:bidi="ar-SA"/>
    </w:rPr>
  </w:style>
  <w:style w:type="character" w:customStyle="1" w:styleId="146">
    <w:name w:val="标题 9 Char"/>
    <w:link w:val="13"/>
    <w:autoRedefine/>
    <w:qFormat/>
    <w:uiPriority w:val="0"/>
    <w:rPr>
      <w:rFonts w:ascii="Arial" w:hAnsi="Arial" w:eastAsia="黑体"/>
      <w:kern w:val="2"/>
      <w:sz w:val="21"/>
    </w:rPr>
  </w:style>
  <w:style w:type="character" w:customStyle="1" w:styleId="147">
    <w:name w:val="题注 Char"/>
    <w:link w:val="21"/>
    <w:autoRedefine/>
    <w:qFormat/>
    <w:uiPriority w:val="0"/>
    <w:rPr>
      <w:rFonts w:ascii="Arial" w:hAnsi="Arial" w:eastAsia="黑体" w:cs="Arial"/>
      <w:kern w:val="2"/>
    </w:rPr>
  </w:style>
  <w:style w:type="character" w:customStyle="1" w:styleId="148">
    <w:name w:val="表格文字 Char Char"/>
    <w:link w:val="149"/>
    <w:autoRedefine/>
    <w:qFormat/>
    <w:uiPriority w:val="0"/>
    <w:rPr>
      <w:rFonts w:eastAsia="宋体"/>
      <w:kern w:val="2"/>
      <w:sz w:val="18"/>
      <w:szCs w:val="24"/>
      <w:lang w:val="en-US" w:eastAsia="zh-CN" w:bidi="ar-SA"/>
    </w:rPr>
  </w:style>
  <w:style w:type="paragraph" w:customStyle="1" w:styleId="149">
    <w:name w:val="表格文字"/>
    <w:basedOn w:val="1"/>
    <w:link w:val="148"/>
    <w:autoRedefine/>
    <w:qFormat/>
    <w:uiPriority w:val="0"/>
    <w:pPr>
      <w:jc w:val="left"/>
    </w:pPr>
    <w:rPr>
      <w:sz w:val="18"/>
      <w:szCs w:val="24"/>
    </w:rPr>
  </w:style>
  <w:style w:type="character" w:customStyle="1" w:styleId="150">
    <w:name w:val="称呼 Char"/>
    <w:link w:val="27"/>
    <w:autoRedefine/>
    <w:qFormat/>
    <w:uiPriority w:val="0"/>
    <w:rPr>
      <w:rFonts w:ascii="Arial" w:hAnsi="Arial"/>
      <w:kern w:val="2"/>
      <w:sz w:val="24"/>
      <w:szCs w:val="24"/>
    </w:rPr>
  </w:style>
  <w:style w:type="character" w:customStyle="1" w:styleId="151">
    <w:name w:val="hfont1"/>
    <w:autoRedefine/>
    <w:qFormat/>
    <w:uiPriority w:val="0"/>
    <w:rPr>
      <w:spacing w:val="31680"/>
      <w:sz w:val="24"/>
    </w:rPr>
  </w:style>
  <w:style w:type="character" w:customStyle="1" w:styleId="152">
    <w:name w:val="页脚 Char"/>
    <w:link w:val="48"/>
    <w:autoRedefine/>
    <w:qFormat/>
    <w:uiPriority w:val="0"/>
    <w:rPr>
      <w:rFonts w:eastAsia="宋体"/>
      <w:kern w:val="2"/>
      <w:sz w:val="18"/>
      <w:szCs w:val="18"/>
      <w:lang w:val="en-US" w:eastAsia="zh-CN" w:bidi="ar-SA"/>
    </w:rPr>
  </w:style>
  <w:style w:type="character" w:customStyle="1" w:styleId="153">
    <w:name w:val="南通方案正文 Char Char"/>
    <w:link w:val="154"/>
    <w:autoRedefine/>
    <w:qFormat/>
    <w:uiPriority w:val="0"/>
    <w:rPr>
      <w:kern w:val="2"/>
      <w:sz w:val="24"/>
    </w:rPr>
  </w:style>
  <w:style w:type="paragraph" w:customStyle="1" w:styleId="154">
    <w:name w:val="南通方案正文"/>
    <w:basedOn w:val="1"/>
    <w:link w:val="153"/>
    <w:autoRedefine/>
    <w:qFormat/>
    <w:uiPriority w:val="0"/>
    <w:pPr>
      <w:spacing w:line="360" w:lineRule="auto"/>
      <w:ind w:firstLine="480" w:firstLineChars="200"/>
    </w:pPr>
    <w:rPr>
      <w:sz w:val="24"/>
    </w:rPr>
  </w:style>
  <w:style w:type="character" w:customStyle="1" w:styleId="155">
    <w:name w:val="11-正文 Char Char"/>
    <w:link w:val="156"/>
    <w:autoRedefine/>
    <w:qFormat/>
    <w:uiPriority w:val="0"/>
    <w:rPr>
      <w:rFonts w:eastAsia="宋体" w:cs="宋体"/>
      <w:kern w:val="2"/>
      <w:sz w:val="21"/>
      <w:lang w:val="en-US" w:eastAsia="zh-CN" w:bidi="ar-SA"/>
    </w:rPr>
  </w:style>
  <w:style w:type="paragraph" w:customStyle="1" w:styleId="156">
    <w:name w:val="11-正文"/>
    <w:basedOn w:val="1"/>
    <w:link w:val="155"/>
    <w:autoRedefine/>
    <w:qFormat/>
    <w:uiPriority w:val="0"/>
    <w:pPr>
      <w:spacing w:beforeLines="50" w:line="360" w:lineRule="auto"/>
      <w:ind w:firstLine="420" w:firstLineChars="200"/>
    </w:pPr>
    <w:rPr>
      <w:rFonts w:cs="宋体"/>
    </w:rPr>
  </w:style>
  <w:style w:type="character" w:customStyle="1" w:styleId="157">
    <w:name w:val="批注框文本 Char"/>
    <w:link w:val="47"/>
    <w:autoRedefine/>
    <w:qFormat/>
    <w:uiPriority w:val="0"/>
    <w:rPr>
      <w:kern w:val="2"/>
      <w:sz w:val="18"/>
      <w:szCs w:val="18"/>
    </w:rPr>
  </w:style>
  <w:style w:type="character" w:customStyle="1" w:styleId="158">
    <w:name w:val="font-121"/>
    <w:autoRedefine/>
    <w:qFormat/>
    <w:uiPriority w:val="0"/>
    <w:rPr>
      <w:color w:val="666666"/>
      <w:sz w:val="24"/>
      <w:u w:val="none"/>
    </w:rPr>
  </w:style>
  <w:style w:type="character" w:customStyle="1" w:styleId="159">
    <w:name w:val="point_normal1"/>
    <w:autoRedefine/>
    <w:qFormat/>
    <w:uiPriority w:val="0"/>
    <w:rPr>
      <w:rFonts w:hint="default" w:ascii="Arial" w:hAnsi="Arial"/>
      <w:sz w:val="18"/>
    </w:rPr>
  </w:style>
  <w:style w:type="character" w:customStyle="1" w:styleId="160">
    <w:name w:val="内容文本 Char Char"/>
    <w:link w:val="161"/>
    <w:autoRedefine/>
    <w:qFormat/>
    <w:uiPriority w:val="0"/>
    <w:rPr>
      <w:rFonts w:ascii="宋体" w:hAnsi="宋体"/>
      <w:sz w:val="24"/>
      <w:szCs w:val="24"/>
      <w:lang w:eastAsia="en-US" w:bidi="en-US"/>
    </w:rPr>
  </w:style>
  <w:style w:type="paragraph" w:customStyle="1" w:styleId="161">
    <w:name w:val="内容文本"/>
    <w:basedOn w:val="128"/>
    <w:link w:val="160"/>
    <w:autoRedefine/>
    <w:qFormat/>
    <w:uiPriority w:val="0"/>
    <w:pPr>
      <w:spacing w:line="360" w:lineRule="auto"/>
      <w:ind w:firstLine="200"/>
      <w:contextualSpacing/>
      <w:jc w:val="left"/>
    </w:pPr>
    <w:rPr>
      <w:rFonts w:ascii="宋体" w:hAnsi="宋体"/>
      <w:kern w:val="0"/>
      <w:sz w:val="24"/>
      <w:lang w:eastAsia="en-US" w:bidi="en-US"/>
    </w:rPr>
  </w:style>
  <w:style w:type="character" w:customStyle="1" w:styleId="162">
    <w:name w:val="●一级符号home Char Char"/>
    <w:link w:val="163"/>
    <w:autoRedefine/>
    <w:qFormat/>
    <w:uiPriority w:val="0"/>
    <w:rPr>
      <w:rFonts w:ascii="Verdana" w:hAnsi="Verdana"/>
      <w:sz w:val="24"/>
      <w:szCs w:val="21"/>
      <w:lang w:val="zh-CN"/>
    </w:rPr>
  </w:style>
  <w:style w:type="paragraph" w:customStyle="1" w:styleId="163">
    <w:name w:val="●一级符号home"/>
    <w:basedOn w:val="164"/>
    <w:link w:val="162"/>
    <w:autoRedefine/>
    <w:qFormat/>
    <w:uiPriority w:val="0"/>
    <w:pPr>
      <w:tabs>
        <w:tab w:val="left" w:pos="901"/>
        <w:tab w:val="left" w:pos="964"/>
      </w:tabs>
      <w:adjustRightInd w:val="0"/>
      <w:ind w:left="964" w:hanging="482" w:firstLineChars="0"/>
    </w:pPr>
    <w:rPr>
      <w:kern w:val="0"/>
      <w:szCs w:val="21"/>
      <w:lang w:val="zh-CN"/>
    </w:rPr>
  </w:style>
  <w:style w:type="paragraph" w:customStyle="1" w:styleId="164">
    <w:name w:val="正文首缩两字"/>
    <w:basedOn w:val="1"/>
    <w:link w:val="184"/>
    <w:autoRedefine/>
    <w:qFormat/>
    <w:uiPriority w:val="0"/>
    <w:pPr>
      <w:spacing w:line="360" w:lineRule="auto"/>
      <w:ind w:firstLine="200" w:firstLineChars="200"/>
    </w:pPr>
    <w:rPr>
      <w:rFonts w:ascii="Verdana" w:hAnsi="Verdana"/>
      <w:sz w:val="24"/>
      <w:szCs w:val="24"/>
    </w:rPr>
  </w:style>
  <w:style w:type="character" w:customStyle="1" w:styleId="165">
    <w:name w:val="文档正文 Char Char"/>
    <w:link w:val="166"/>
    <w:autoRedefine/>
    <w:qFormat/>
    <w:uiPriority w:val="0"/>
    <w:rPr>
      <w:rFonts w:eastAsia="楷体_GB2312"/>
      <w:sz w:val="28"/>
    </w:rPr>
  </w:style>
  <w:style w:type="paragraph" w:customStyle="1" w:styleId="166">
    <w:name w:val="文档正文"/>
    <w:basedOn w:val="1"/>
    <w:link w:val="165"/>
    <w:autoRedefine/>
    <w:qFormat/>
    <w:uiPriority w:val="0"/>
    <w:pPr>
      <w:adjustRightInd w:val="0"/>
      <w:spacing w:line="480" w:lineRule="atLeast"/>
      <w:ind w:firstLine="567"/>
      <w:textAlignment w:val="baseline"/>
    </w:pPr>
    <w:rPr>
      <w:rFonts w:eastAsia="楷体_GB2312"/>
      <w:kern w:val="0"/>
      <w:sz w:val="28"/>
    </w:rPr>
  </w:style>
  <w:style w:type="character" w:customStyle="1" w:styleId="167">
    <w:name w:val="文字 Char Char Char Char Char"/>
    <w:link w:val="168"/>
    <w:autoRedefine/>
    <w:qFormat/>
    <w:uiPriority w:val="0"/>
    <w:rPr>
      <w:rFonts w:ascii="宋体" w:eastAsia="宋体"/>
      <w:kern w:val="2"/>
      <w:sz w:val="28"/>
      <w:lang w:val="en-US" w:eastAsia="zh-CN" w:bidi="ar-SA"/>
    </w:rPr>
  </w:style>
  <w:style w:type="paragraph" w:customStyle="1" w:styleId="168">
    <w:name w:val="文字 Char Char Char"/>
    <w:basedOn w:val="1"/>
    <w:link w:val="167"/>
    <w:autoRedefine/>
    <w:qFormat/>
    <w:uiPriority w:val="0"/>
    <w:pPr>
      <w:tabs>
        <w:tab w:val="left" w:pos="8520"/>
      </w:tabs>
      <w:spacing w:line="312" w:lineRule="auto"/>
      <w:ind w:right="-210" w:firstLine="556"/>
    </w:pPr>
    <w:rPr>
      <w:rFonts w:ascii="宋体"/>
      <w:sz w:val="28"/>
    </w:rPr>
  </w:style>
  <w:style w:type="character" w:customStyle="1" w:styleId="169">
    <w:name w:val="font21"/>
    <w:basedOn w:val="76"/>
    <w:autoRedefine/>
    <w:qFormat/>
    <w:uiPriority w:val="0"/>
    <w:rPr>
      <w:rFonts w:hint="eastAsia" w:ascii="宋体" w:hAnsi="宋体" w:eastAsia="宋体" w:cs="宋体"/>
      <w:b/>
      <w:color w:val="000000"/>
      <w:sz w:val="20"/>
      <w:szCs w:val="20"/>
      <w:u w:val="none"/>
    </w:rPr>
  </w:style>
  <w:style w:type="character" w:customStyle="1" w:styleId="170">
    <w:name w:val="myp111"/>
    <w:basedOn w:val="76"/>
    <w:autoRedefine/>
    <w:qFormat/>
    <w:uiPriority w:val="0"/>
  </w:style>
  <w:style w:type="character" w:customStyle="1" w:styleId="171">
    <w:name w:val="Table Text Char1"/>
    <w:link w:val="172"/>
    <w:autoRedefine/>
    <w:qFormat/>
    <w:uiPriority w:val="0"/>
    <w:rPr>
      <w:rFonts w:ascii="Arial" w:hAnsi="Arial"/>
      <w:sz w:val="18"/>
      <w:lang w:val="en-US" w:eastAsia="zh-CN" w:bidi="ar-SA"/>
    </w:rPr>
  </w:style>
  <w:style w:type="paragraph" w:customStyle="1" w:styleId="172">
    <w:name w:val="Table Text"/>
    <w:link w:val="171"/>
    <w:autoRedefine/>
    <w:qFormat/>
    <w:uiPriority w:val="0"/>
    <w:pPr>
      <w:snapToGrid w:val="0"/>
      <w:spacing w:before="80" w:after="80"/>
    </w:pPr>
    <w:rPr>
      <w:rFonts w:ascii="Arial" w:hAnsi="Arial" w:eastAsia="宋体" w:cs="Times New Roman"/>
      <w:sz w:val="18"/>
      <w:lang w:val="en-US" w:eastAsia="zh-CN" w:bidi="ar-SA"/>
    </w:rPr>
  </w:style>
  <w:style w:type="character" w:customStyle="1" w:styleId="173">
    <w:name w:val="style5"/>
    <w:basedOn w:val="76"/>
    <w:autoRedefine/>
    <w:qFormat/>
    <w:uiPriority w:val="0"/>
  </w:style>
  <w:style w:type="character" w:customStyle="1" w:styleId="174">
    <w:name w:val="样式 宋体 小四"/>
    <w:autoRedefine/>
    <w:qFormat/>
    <w:uiPriority w:val="0"/>
    <w:rPr>
      <w:rFonts w:ascii="宋体" w:hAnsi="宋体"/>
      <w:sz w:val="24"/>
    </w:rPr>
  </w:style>
  <w:style w:type="character" w:customStyle="1" w:styleId="175">
    <w:name w:val="正文文本 3 Char"/>
    <w:link w:val="28"/>
    <w:autoRedefine/>
    <w:qFormat/>
    <w:uiPriority w:val="0"/>
    <w:rPr>
      <w:kern w:val="2"/>
      <w:sz w:val="16"/>
      <w:szCs w:val="16"/>
    </w:rPr>
  </w:style>
  <w:style w:type="character" w:customStyle="1" w:styleId="176">
    <w:name w:val="正文文本缩进 2 Char1"/>
    <w:link w:val="45"/>
    <w:autoRedefine/>
    <w:qFormat/>
    <w:uiPriority w:val="0"/>
    <w:rPr>
      <w:rFonts w:ascii="宋体" w:hAnsi="宋体"/>
      <w:kern w:val="2"/>
      <w:sz w:val="21"/>
      <w:szCs w:val="32"/>
    </w:rPr>
  </w:style>
  <w:style w:type="character" w:customStyle="1" w:styleId="177">
    <w:name w:val="dt"/>
    <w:autoRedefine/>
    <w:qFormat/>
    <w:uiPriority w:val="0"/>
  </w:style>
  <w:style w:type="character" w:customStyle="1" w:styleId="178">
    <w:name w:val="正文缩进 Char"/>
    <w:link w:val="11"/>
    <w:autoRedefine/>
    <w:qFormat/>
    <w:uiPriority w:val="0"/>
    <w:rPr>
      <w:rFonts w:eastAsia="宋体"/>
      <w:kern w:val="2"/>
      <w:sz w:val="24"/>
      <w:lang w:val="en-US" w:eastAsia="zh-CN" w:bidi="ar-SA"/>
    </w:rPr>
  </w:style>
  <w:style w:type="character" w:customStyle="1" w:styleId="179">
    <w:name w:val="content2"/>
    <w:autoRedefine/>
    <w:qFormat/>
    <w:uiPriority w:val="0"/>
    <w:rPr>
      <w:rFonts w:hint="eastAsia" w:ascii="宋体" w:hAnsi="宋体" w:eastAsia="宋体"/>
      <w:sz w:val="22"/>
    </w:rPr>
  </w:style>
  <w:style w:type="character" w:customStyle="1" w:styleId="180">
    <w:name w:val="blanktext"/>
    <w:autoRedefine/>
    <w:qFormat/>
    <w:uiPriority w:val="0"/>
  </w:style>
  <w:style w:type="character" w:customStyle="1" w:styleId="181">
    <w:name w:val="Char Char4"/>
    <w:autoRedefine/>
    <w:qFormat/>
    <w:uiPriority w:val="0"/>
    <w:rPr>
      <w:rFonts w:ascii="Arial" w:hAnsi="Arial" w:eastAsia="黑体"/>
      <w:b/>
      <w:kern w:val="2"/>
      <w:sz w:val="32"/>
      <w:lang w:val="en-US" w:eastAsia="zh-CN"/>
    </w:rPr>
  </w:style>
  <w:style w:type="character" w:customStyle="1" w:styleId="182">
    <w:name w:val="style31"/>
    <w:autoRedefine/>
    <w:qFormat/>
    <w:uiPriority w:val="0"/>
    <w:rPr>
      <w:rFonts w:hint="eastAsia" w:ascii="宋体" w:hAnsi="宋体" w:eastAsia="宋体"/>
      <w:sz w:val="18"/>
    </w:rPr>
  </w:style>
  <w:style w:type="character" w:customStyle="1" w:styleId="183">
    <w:name w:val="text9_hi1"/>
    <w:autoRedefine/>
    <w:qFormat/>
    <w:uiPriority w:val="0"/>
    <w:rPr>
      <w:sz w:val="18"/>
    </w:rPr>
  </w:style>
  <w:style w:type="character" w:customStyle="1" w:styleId="184">
    <w:name w:val="正文首缩两字 Char Char"/>
    <w:link w:val="164"/>
    <w:autoRedefine/>
    <w:qFormat/>
    <w:uiPriority w:val="0"/>
    <w:rPr>
      <w:rFonts w:ascii="Verdana" w:hAnsi="Verdana" w:eastAsia="宋体"/>
      <w:kern w:val="2"/>
      <w:sz w:val="24"/>
      <w:szCs w:val="24"/>
      <w:lang w:val="en-US" w:eastAsia="zh-CN" w:bidi="ar-SA"/>
    </w:rPr>
  </w:style>
  <w:style w:type="character" w:customStyle="1" w:styleId="185">
    <w:name w:val="◆ 二级符号end Char Char"/>
    <w:link w:val="186"/>
    <w:autoRedefine/>
    <w:qFormat/>
    <w:uiPriority w:val="0"/>
    <w:rPr>
      <w:rFonts w:ascii="Verdana" w:hAnsi="Verdana"/>
      <w:color w:val="FF0000"/>
      <w:kern w:val="2"/>
      <w:sz w:val="24"/>
      <w:szCs w:val="24"/>
    </w:rPr>
  </w:style>
  <w:style w:type="paragraph" w:customStyle="1" w:styleId="186">
    <w:name w:val="◆ 二级符号end"/>
    <w:basedOn w:val="1"/>
    <w:link w:val="185"/>
    <w:autoRedefine/>
    <w:qFormat/>
    <w:uiPriority w:val="0"/>
    <w:pPr>
      <w:spacing w:line="360" w:lineRule="auto"/>
    </w:pPr>
    <w:rPr>
      <w:rFonts w:ascii="Verdana" w:hAnsi="Verdana"/>
      <w:color w:val="FF0000"/>
      <w:sz w:val="24"/>
      <w:szCs w:val="24"/>
    </w:rPr>
  </w:style>
  <w:style w:type="character" w:customStyle="1" w:styleId="187">
    <w:name w:val="param_td12"/>
    <w:autoRedefine/>
    <w:qFormat/>
    <w:uiPriority w:val="0"/>
  </w:style>
  <w:style w:type="character" w:customStyle="1" w:styleId="188">
    <w:name w:val="常规 Char Char"/>
    <w:link w:val="189"/>
    <w:autoRedefine/>
    <w:qFormat/>
    <w:uiPriority w:val="0"/>
    <w:rPr>
      <w:kern w:val="2"/>
      <w:sz w:val="21"/>
      <w:szCs w:val="21"/>
    </w:rPr>
  </w:style>
  <w:style w:type="paragraph" w:customStyle="1" w:styleId="189">
    <w:name w:val="常规"/>
    <w:basedOn w:val="1"/>
    <w:link w:val="188"/>
    <w:autoRedefine/>
    <w:qFormat/>
    <w:uiPriority w:val="0"/>
    <w:pPr>
      <w:spacing w:beforeLines="100" w:afterLines="100"/>
      <w:ind w:left="1134"/>
    </w:pPr>
    <w:rPr>
      <w:szCs w:val="21"/>
    </w:rPr>
  </w:style>
  <w:style w:type="character" w:customStyle="1" w:styleId="190">
    <w:name w:val="1.1 Char Char"/>
    <w:link w:val="191"/>
    <w:autoRedefine/>
    <w:qFormat/>
    <w:uiPriority w:val="0"/>
    <w:rPr>
      <w:b/>
      <w:kern w:val="2"/>
      <w:sz w:val="28"/>
      <w:lang w:eastAsia="en-US"/>
    </w:rPr>
  </w:style>
  <w:style w:type="paragraph" w:customStyle="1" w:styleId="191">
    <w:name w:val="1.1"/>
    <w:basedOn w:val="5"/>
    <w:link w:val="190"/>
    <w:autoRedefine/>
    <w:qFormat/>
    <w:uiPriority w:val="0"/>
    <w:pPr>
      <w:widowControl/>
      <w:spacing w:line="240" w:lineRule="atLeast"/>
      <w:jc w:val="left"/>
    </w:pPr>
    <w:rPr>
      <w:rFonts w:ascii="Times New Roman" w:hAnsi="Times New Roman" w:eastAsia="宋体"/>
      <w:bCs w:val="0"/>
      <w:sz w:val="28"/>
      <w:szCs w:val="20"/>
      <w:lang w:eastAsia="en-US"/>
    </w:rPr>
  </w:style>
  <w:style w:type="character" w:customStyle="1" w:styleId="192">
    <w:name w:val="fo Char"/>
    <w:autoRedefine/>
    <w:qFormat/>
    <w:uiPriority w:val="0"/>
    <w:rPr>
      <w:rFonts w:eastAsia="宋体"/>
      <w:kern w:val="2"/>
      <w:sz w:val="18"/>
      <w:szCs w:val="18"/>
      <w:lang w:val="en-US" w:eastAsia="zh-CN" w:bidi="ar-SA"/>
    </w:rPr>
  </w:style>
  <w:style w:type="character" w:customStyle="1" w:styleId="193">
    <w:name w:val="HTML Markup"/>
    <w:autoRedefine/>
    <w:qFormat/>
    <w:uiPriority w:val="0"/>
    <w:rPr>
      <w:vanish/>
      <w:color w:val="FF0000"/>
    </w:rPr>
  </w:style>
  <w:style w:type="character" w:customStyle="1" w:styleId="194">
    <w:name w:val="sun icon texticon"/>
    <w:autoRedefine/>
    <w:qFormat/>
    <w:uiPriority w:val="0"/>
  </w:style>
  <w:style w:type="character" w:customStyle="1" w:styleId="195">
    <w:name w:val="中铁-正文 Char Char"/>
    <w:link w:val="196"/>
    <w:autoRedefine/>
    <w:qFormat/>
    <w:uiPriority w:val="0"/>
    <w:rPr>
      <w:rFonts w:ascii="Calibri" w:hAnsi="Calibri" w:eastAsia="华文中宋"/>
      <w:kern w:val="2"/>
      <w:sz w:val="24"/>
      <w:szCs w:val="21"/>
    </w:rPr>
  </w:style>
  <w:style w:type="paragraph" w:customStyle="1" w:styleId="196">
    <w:name w:val="中铁-正文"/>
    <w:basedOn w:val="1"/>
    <w:link w:val="195"/>
    <w:autoRedefine/>
    <w:qFormat/>
    <w:uiPriority w:val="0"/>
    <w:pPr>
      <w:ind w:firstLine="200" w:firstLineChars="200"/>
    </w:pPr>
    <w:rPr>
      <w:rFonts w:ascii="Calibri" w:hAnsi="Calibri" w:eastAsia="华文中宋"/>
      <w:sz w:val="24"/>
      <w:szCs w:val="21"/>
    </w:rPr>
  </w:style>
  <w:style w:type="character" w:customStyle="1" w:styleId="197">
    <w:name w:val="style51"/>
    <w:autoRedefine/>
    <w:qFormat/>
    <w:uiPriority w:val="0"/>
    <w:rPr>
      <w:sz w:val="12"/>
    </w:rPr>
  </w:style>
  <w:style w:type="character" w:customStyle="1" w:styleId="198">
    <w:name w:val="标题 3 Char"/>
    <w:link w:val="6"/>
    <w:autoRedefine/>
    <w:qFormat/>
    <w:uiPriority w:val="0"/>
    <w:rPr>
      <w:rFonts w:eastAsia="宋体"/>
      <w:b/>
      <w:bCs/>
      <w:kern w:val="2"/>
      <w:sz w:val="32"/>
      <w:szCs w:val="32"/>
      <w:lang w:val="en-US" w:eastAsia="zh-CN" w:bidi="ar-SA"/>
    </w:rPr>
  </w:style>
  <w:style w:type="character" w:customStyle="1" w:styleId="199">
    <w:name w:val="t41"/>
    <w:autoRedefine/>
    <w:qFormat/>
    <w:uiPriority w:val="0"/>
    <w:rPr>
      <w:sz w:val="21"/>
    </w:rPr>
  </w:style>
  <w:style w:type="character" w:customStyle="1" w:styleId="200">
    <w:name w:val="首行缩进2字符 Char Char"/>
    <w:link w:val="201"/>
    <w:autoRedefine/>
    <w:qFormat/>
    <w:uiPriority w:val="0"/>
    <w:rPr>
      <w:snapToGrid/>
      <w:sz w:val="21"/>
    </w:rPr>
  </w:style>
  <w:style w:type="paragraph" w:customStyle="1" w:styleId="201">
    <w:name w:val="首行缩进2字符"/>
    <w:basedOn w:val="1"/>
    <w:link w:val="200"/>
    <w:autoRedefine/>
    <w:qFormat/>
    <w:uiPriority w:val="0"/>
    <w:pPr>
      <w:autoSpaceDE w:val="0"/>
      <w:autoSpaceDN w:val="0"/>
      <w:adjustRightInd w:val="0"/>
      <w:spacing w:line="360" w:lineRule="auto"/>
      <w:ind w:firstLine="420" w:firstLineChars="200"/>
      <w:jc w:val="left"/>
    </w:pPr>
    <w:rPr>
      <w:kern w:val="0"/>
    </w:rPr>
  </w:style>
  <w:style w:type="character" w:customStyle="1" w:styleId="202">
    <w:name w:val="子系统 Char"/>
    <w:autoRedefine/>
    <w:qFormat/>
    <w:uiPriority w:val="0"/>
    <w:rPr>
      <w:rFonts w:eastAsia="宋体"/>
      <w:b/>
      <w:bCs/>
      <w:kern w:val="2"/>
      <w:sz w:val="32"/>
      <w:szCs w:val="32"/>
      <w:lang w:val="en-US" w:eastAsia="zh-CN" w:bidi="ar-SA"/>
    </w:rPr>
  </w:style>
  <w:style w:type="character" w:customStyle="1" w:styleId="203">
    <w:name w:val="方案正文 Char Char"/>
    <w:link w:val="204"/>
    <w:autoRedefine/>
    <w:qFormat/>
    <w:uiPriority w:val="0"/>
    <w:rPr>
      <w:rFonts w:eastAsia="宋体"/>
      <w:kern w:val="2"/>
      <w:sz w:val="24"/>
      <w:szCs w:val="24"/>
      <w:lang w:val="en-US" w:eastAsia="zh-CN" w:bidi="ar-SA"/>
    </w:rPr>
  </w:style>
  <w:style w:type="paragraph" w:customStyle="1" w:styleId="204">
    <w:name w:val="方案正文"/>
    <w:basedOn w:val="1"/>
    <w:link w:val="203"/>
    <w:autoRedefine/>
    <w:qFormat/>
    <w:uiPriority w:val="0"/>
    <w:pPr>
      <w:spacing w:line="360" w:lineRule="auto"/>
    </w:pPr>
    <w:rPr>
      <w:sz w:val="24"/>
      <w:szCs w:val="24"/>
    </w:rPr>
  </w:style>
  <w:style w:type="character" w:customStyle="1" w:styleId="205">
    <w:name w:val="脚注文本 Char"/>
    <w:link w:val="59"/>
    <w:autoRedefine/>
    <w:qFormat/>
    <w:uiPriority w:val="0"/>
    <w:rPr>
      <w:kern w:val="2"/>
      <w:sz w:val="18"/>
    </w:rPr>
  </w:style>
  <w:style w:type="character" w:customStyle="1" w:styleId="206">
    <w:name w:val="投标文件 表格正文 Char Char"/>
    <w:link w:val="207"/>
    <w:autoRedefine/>
    <w:qFormat/>
    <w:uiPriority w:val="0"/>
    <w:rPr>
      <w:rFonts w:ascii="Arial" w:hAnsi="Arial" w:eastAsia="宋体"/>
      <w:kern w:val="2"/>
      <w:sz w:val="21"/>
      <w:szCs w:val="24"/>
      <w:lang w:val="en-US" w:eastAsia="zh-CN" w:bidi="ar-SA"/>
    </w:rPr>
  </w:style>
  <w:style w:type="paragraph" w:customStyle="1" w:styleId="207">
    <w:name w:val="投标文件 表格正文"/>
    <w:basedOn w:val="1"/>
    <w:link w:val="206"/>
    <w:autoRedefine/>
    <w:qFormat/>
    <w:uiPriority w:val="0"/>
    <w:pPr>
      <w:spacing w:line="360" w:lineRule="auto"/>
      <w:jc w:val="left"/>
    </w:pPr>
    <w:rPr>
      <w:rFonts w:ascii="Arial" w:hAnsi="Arial"/>
      <w:szCs w:val="24"/>
    </w:rPr>
  </w:style>
  <w:style w:type="character" w:customStyle="1" w:styleId="208">
    <w:name w:val="HTML 预设格式 Char"/>
    <w:link w:val="67"/>
    <w:autoRedefine/>
    <w:qFormat/>
    <w:uiPriority w:val="0"/>
    <w:rPr>
      <w:rFonts w:ascii="黑体" w:hAnsi="Courier New" w:eastAsia="黑体"/>
    </w:rPr>
  </w:style>
  <w:style w:type="character" w:customStyle="1" w:styleId="209">
    <w:name w:val="textcontents"/>
    <w:autoRedefine/>
    <w:qFormat/>
    <w:uiPriority w:val="0"/>
    <w:rPr>
      <w:rFonts w:ascii="宋体" w:hAnsi="宋体" w:eastAsia="宋体"/>
      <w:b/>
      <w:kern w:val="2"/>
      <w:sz w:val="24"/>
      <w:lang w:val="en-US" w:eastAsia="zh-CN"/>
    </w:rPr>
  </w:style>
  <w:style w:type="character" w:customStyle="1" w:styleId="210">
    <w:name w:val="标题 4 Char"/>
    <w:link w:val="7"/>
    <w:autoRedefine/>
    <w:qFormat/>
    <w:uiPriority w:val="0"/>
    <w:rPr>
      <w:rFonts w:ascii="Verdana" w:hAnsi="Verdana" w:eastAsia="宋体"/>
      <w:color w:val="000000"/>
      <w:sz w:val="24"/>
      <w:szCs w:val="24"/>
      <w:lang w:val="en-US" w:eastAsia="zh-CN" w:bidi="ar-SA"/>
    </w:rPr>
  </w:style>
  <w:style w:type="character" w:customStyle="1" w:styleId="211">
    <w:name w:val="标题 1 Char"/>
    <w:link w:val="3"/>
    <w:autoRedefine/>
    <w:qFormat/>
    <w:uiPriority w:val="0"/>
    <w:rPr>
      <w:b/>
      <w:bCs/>
      <w:kern w:val="44"/>
      <w:sz w:val="44"/>
      <w:szCs w:val="44"/>
    </w:rPr>
  </w:style>
  <w:style w:type="character" w:customStyle="1" w:styleId="212">
    <w:name w:val="中文正文 Char Char Char Char Char Char Char Char Char"/>
    <w:link w:val="213"/>
    <w:autoRedefine/>
    <w:qFormat/>
    <w:uiPriority w:val="0"/>
    <w:rPr>
      <w:rFonts w:ascii="仿宋_GB2312" w:eastAsia="仿宋_GB2312"/>
      <w:kern w:val="2"/>
      <w:sz w:val="26"/>
      <w:szCs w:val="24"/>
      <w:lang w:val="en-US" w:eastAsia="zh-CN" w:bidi="ar-SA"/>
    </w:rPr>
  </w:style>
  <w:style w:type="paragraph" w:customStyle="1" w:styleId="213">
    <w:name w:val="中文正文 Char Char Char Char"/>
    <w:link w:val="212"/>
    <w:autoRedefine/>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szCs w:val="24"/>
      <w:lang w:val="en-US" w:eastAsia="zh-CN" w:bidi="ar-SA"/>
    </w:rPr>
  </w:style>
  <w:style w:type="character" w:customStyle="1" w:styleId="214">
    <w:name w:val="R定义正文 Char Char"/>
    <w:link w:val="215"/>
    <w:autoRedefine/>
    <w:qFormat/>
    <w:uiPriority w:val="0"/>
    <w:rPr>
      <w:rFonts w:eastAsia="宋体"/>
      <w:sz w:val="24"/>
      <w:lang w:val="en-US" w:eastAsia="zh-CN" w:bidi="ar-SA"/>
    </w:rPr>
  </w:style>
  <w:style w:type="paragraph" w:customStyle="1" w:styleId="215">
    <w:name w:val="R定义正文"/>
    <w:basedOn w:val="1"/>
    <w:link w:val="214"/>
    <w:autoRedefine/>
    <w:qFormat/>
    <w:uiPriority w:val="0"/>
    <w:pPr>
      <w:widowControl/>
      <w:spacing w:before="120" w:after="120"/>
      <w:ind w:left="893" w:hanging="691"/>
    </w:pPr>
    <w:rPr>
      <w:kern w:val="0"/>
      <w:sz w:val="24"/>
    </w:rPr>
  </w:style>
  <w:style w:type="character" w:customStyle="1" w:styleId="216">
    <w:name w:val="Char Char1"/>
    <w:autoRedefine/>
    <w:qFormat/>
    <w:uiPriority w:val="0"/>
    <w:rPr>
      <w:rFonts w:ascii="Arial" w:hAnsi="Arial" w:eastAsia="黑体"/>
      <w:b/>
      <w:kern w:val="2"/>
      <w:sz w:val="28"/>
      <w:lang w:val="en-US" w:eastAsia="zh-CN"/>
    </w:rPr>
  </w:style>
  <w:style w:type="character" w:customStyle="1" w:styleId="217">
    <w:name w:val="unnamed11"/>
    <w:autoRedefine/>
    <w:qFormat/>
    <w:uiPriority w:val="0"/>
    <w:rPr>
      <w:color w:val="333333"/>
      <w:sz w:val="18"/>
    </w:rPr>
  </w:style>
  <w:style w:type="character" w:customStyle="1" w:styleId="218">
    <w:name w:val="postbody1"/>
    <w:autoRedefine/>
    <w:qFormat/>
    <w:uiPriority w:val="0"/>
    <w:rPr>
      <w:spacing w:val="300"/>
      <w:sz w:val="21"/>
    </w:rPr>
  </w:style>
  <w:style w:type="character" w:customStyle="1" w:styleId="219">
    <w:name w:val="文字 Char Char"/>
    <w:link w:val="220"/>
    <w:autoRedefine/>
    <w:qFormat/>
    <w:uiPriority w:val="0"/>
    <w:rPr>
      <w:rFonts w:ascii="宋体" w:eastAsia="宋体"/>
      <w:kern w:val="2"/>
      <w:sz w:val="28"/>
      <w:lang w:val="en-US" w:eastAsia="zh-CN" w:bidi="ar-SA"/>
    </w:rPr>
  </w:style>
  <w:style w:type="paragraph" w:customStyle="1" w:styleId="220">
    <w:name w:val="文字"/>
    <w:basedOn w:val="1"/>
    <w:link w:val="219"/>
    <w:autoRedefine/>
    <w:qFormat/>
    <w:uiPriority w:val="0"/>
    <w:pPr>
      <w:tabs>
        <w:tab w:val="left" w:pos="8520"/>
      </w:tabs>
      <w:spacing w:line="312" w:lineRule="auto"/>
      <w:ind w:right="-210" w:firstLine="556"/>
    </w:pPr>
    <w:rPr>
      <w:rFonts w:ascii="宋体"/>
      <w:sz w:val="28"/>
    </w:rPr>
  </w:style>
  <w:style w:type="character" w:customStyle="1" w:styleId="221">
    <w:name w:val="apple-style-span"/>
    <w:basedOn w:val="76"/>
    <w:autoRedefine/>
    <w:qFormat/>
    <w:uiPriority w:val="0"/>
  </w:style>
  <w:style w:type="character" w:customStyle="1" w:styleId="222">
    <w:name w:val="日期 Char"/>
    <w:link w:val="44"/>
    <w:autoRedefine/>
    <w:qFormat/>
    <w:uiPriority w:val="0"/>
    <w:rPr>
      <w:kern w:val="2"/>
      <w:sz w:val="21"/>
    </w:rPr>
  </w:style>
  <w:style w:type="character" w:customStyle="1" w:styleId="223">
    <w:name w:val="BIT表格 Char Char"/>
    <w:link w:val="224"/>
    <w:autoRedefine/>
    <w:qFormat/>
    <w:uiPriority w:val="0"/>
    <w:rPr>
      <w:rFonts w:ascii="楷体_GB2312" w:hAnsi="宋体"/>
      <w:kern w:val="2"/>
      <w:sz w:val="21"/>
    </w:rPr>
  </w:style>
  <w:style w:type="paragraph" w:customStyle="1" w:styleId="224">
    <w:name w:val="BIT表格"/>
    <w:basedOn w:val="114"/>
    <w:link w:val="223"/>
    <w:autoRedefine/>
    <w:qFormat/>
    <w:uiPriority w:val="0"/>
    <w:pPr>
      <w:ind w:firstLine="560"/>
    </w:pPr>
    <w:rPr>
      <w:sz w:val="21"/>
    </w:rPr>
  </w:style>
  <w:style w:type="character" w:customStyle="1" w:styleId="225">
    <w:name w:val="样式 正文缩进 + 首行缩进:  2 字符 Char Char"/>
    <w:link w:val="226"/>
    <w:autoRedefine/>
    <w:qFormat/>
    <w:uiPriority w:val="0"/>
    <w:rPr>
      <w:rFonts w:eastAsia="宋体"/>
      <w:kern w:val="2"/>
      <w:sz w:val="24"/>
      <w:lang w:val="en-US" w:eastAsia="zh-CN" w:bidi="ar-SA"/>
    </w:rPr>
  </w:style>
  <w:style w:type="paragraph" w:customStyle="1" w:styleId="226">
    <w:name w:val="样式 正文缩进 + 首行缩进:  2 字符"/>
    <w:basedOn w:val="11"/>
    <w:link w:val="225"/>
    <w:autoRedefine/>
    <w:qFormat/>
    <w:uiPriority w:val="0"/>
    <w:pPr>
      <w:spacing w:after="80"/>
      <w:ind w:firstLine="480"/>
    </w:pPr>
  </w:style>
  <w:style w:type="character" w:customStyle="1" w:styleId="227">
    <w:name w:val="纯文本 Char"/>
    <w:link w:val="40"/>
    <w:autoRedefine/>
    <w:qFormat/>
    <w:uiPriority w:val="0"/>
    <w:rPr>
      <w:rFonts w:ascii="宋体" w:hAnsi="Courier New" w:eastAsia="宋体"/>
      <w:kern w:val="2"/>
      <w:sz w:val="24"/>
      <w:lang w:val="en-US" w:eastAsia="zh-CN" w:bidi="ar-SA"/>
    </w:rPr>
  </w:style>
  <w:style w:type="character" w:customStyle="1" w:styleId="228">
    <w:name w:val="图片格式 Char Char"/>
    <w:link w:val="229"/>
    <w:autoRedefine/>
    <w:qFormat/>
    <w:uiPriority w:val="0"/>
    <w:rPr>
      <w:rFonts w:ascii="宋体" w:hAnsi="宋体"/>
      <w:sz w:val="24"/>
      <w:szCs w:val="24"/>
      <w:lang w:bidi="en-US"/>
    </w:rPr>
  </w:style>
  <w:style w:type="paragraph" w:customStyle="1" w:styleId="229">
    <w:name w:val="图片格式"/>
    <w:basedOn w:val="1"/>
    <w:link w:val="228"/>
    <w:autoRedefine/>
    <w:qFormat/>
    <w:uiPriority w:val="0"/>
    <w:pPr>
      <w:spacing w:line="360" w:lineRule="auto"/>
      <w:contextualSpacing/>
      <w:jc w:val="center"/>
    </w:pPr>
    <w:rPr>
      <w:rFonts w:ascii="宋体" w:hAnsi="宋体"/>
      <w:kern w:val="0"/>
      <w:sz w:val="24"/>
      <w:szCs w:val="24"/>
      <w:lang w:bidi="en-US"/>
    </w:rPr>
  </w:style>
  <w:style w:type="character" w:customStyle="1" w:styleId="230">
    <w:name w:val="contentheaderrev"/>
    <w:autoRedefine/>
    <w:qFormat/>
    <w:uiPriority w:val="0"/>
  </w:style>
  <w:style w:type="character" w:customStyle="1" w:styleId="231">
    <w:name w:val="纯文本 Char1"/>
    <w:autoRedefine/>
    <w:qFormat/>
    <w:locked/>
    <w:uiPriority w:val="0"/>
    <w:rPr>
      <w:rFonts w:ascii="宋体" w:hAnsi="Courier New"/>
      <w:kern w:val="2"/>
      <w:sz w:val="24"/>
    </w:rPr>
  </w:style>
  <w:style w:type="character" w:customStyle="1" w:styleId="232">
    <w:name w:val="正文文本 Char"/>
    <w:link w:val="31"/>
    <w:autoRedefine/>
    <w:qFormat/>
    <w:uiPriority w:val="0"/>
    <w:rPr>
      <w:rFonts w:eastAsia="宋体"/>
      <w:kern w:val="2"/>
      <w:sz w:val="21"/>
      <w:lang w:val="en-US" w:eastAsia="zh-CN" w:bidi="ar-SA"/>
    </w:rPr>
  </w:style>
  <w:style w:type="character" w:customStyle="1" w:styleId="233">
    <w:name w:val="huei12b1"/>
    <w:autoRedefine/>
    <w:qFormat/>
    <w:uiPriority w:val="0"/>
    <w:rPr>
      <w:b/>
      <w:color w:val="333333"/>
      <w:sz w:val="18"/>
    </w:rPr>
  </w:style>
  <w:style w:type="character" w:customStyle="1" w:styleId="234">
    <w:name w:val="方案正文 Char1"/>
    <w:autoRedefine/>
    <w:qFormat/>
    <w:uiPriority w:val="0"/>
    <w:rPr>
      <w:kern w:val="2"/>
      <w:sz w:val="24"/>
    </w:rPr>
  </w:style>
  <w:style w:type="character" w:customStyle="1" w:styleId="235">
    <w:name w:val="缺省文本 Char Char"/>
    <w:link w:val="236"/>
    <w:autoRedefine/>
    <w:qFormat/>
    <w:uiPriority w:val="0"/>
    <w:rPr>
      <w:rFonts w:eastAsia="宋体"/>
      <w:sz w:val="24"/>
      <w:lang w:val="en-US" w:eastAsia="zh-CN" w:bidi="ar-SA"/>
    </w:rPr>
  </w:style>
  <w:style w:type="paragraph" w:customStyle="1" w:styleId="236">
    <w:name w:val="缺省文本"/>
    <w:basedOn w:val="1"/>
    <w:link w:val="235"/>
    <w:autoRedefine/>
    <w:qFormat/>
    <w:uiPriority w:val="0"/>
    <w:pPr>
      <w:autoSpaceDE w:val="0"/>
      <w:autoSpaceDN w:val="0"/>
      <w:adjustRightInd w:val="0"/>
      <w:ind w:firstLine="454"/>
    </w:pPr>
    <w:rPr>
      <w:kern w:val="0"/>
      <w:sz w:val="24"/>
    </w:rPr>
  </w:style>
  <w:style w:type="character" w:customStyle="1" w:styleId="237">
    <w:name w:val="标题 2 Char"/>
    <w:link w:val="5"/>
    <w:autoRedefine/>
    <w:qFormat/>
    <w:uiPriority w:val="0"/>
    <w:rPr>
      <w:rFonts w:ascii="Arial" w:hAnsi="Arial" w:eastAsia="黑体"/>
      <w:b/>
      <w:bCs/>
      <w:kern w:val="2"/>
      <w:sz w:val="32"/>
      <w:szCs w:val="32"/>
    </w:rPr>
  </w:style>
  <w:style w:type="character" w:customStyle="1" w:styleId="238">
    <w:name w:val="cntext1"/>
    <w:autoRedefine/>
    <w:qFormat/>
    <w:uiPriority w:val="0"/>
    <w:rPr>
      <w:sz w:val="18"/>
    </w:rPr>
  </w:style>
  <w:style w:type="character" w:customStyle="1" w:styleId="239">
    <w:name w:val="style501"/>
    <w:autoRedefine/>
    <w:qFormat/>
    <w:uiPriority w:val="0"/>
  </w:style>
  <w:style w:type="character" w:customStyle="1" w:styleId="240">
    <w:name w:val="title1"/>
    <w:autoRedefine/>
    <w:qFormat/>
    <w:uiPriority w:val="0"/>
    <w:rPr>
      <w:b/>
      <w:color w:val="FF6600"/>
      <w:spacing w:val="60"/>
      <w:sz w:val="21"/>
      <w:u w:val="none"/>
    </w:rPr>
  </w:style>
  <w:style w:type="character" w:customStyle="1" w:styleId="241">
    <w:name w:val="批注文字 Char"/>
    <w:link w:val="26"/>
    <w:autoRedefine/>
    <w:qFormat/>
    <w:uiPriority w:val="0"/>
    <w:rPr>
      <w:kern w:val="2"/>
      <w:sz w:val="21"/>
      <w:szCs w:val="24"/>
    </w:rPr>
  </w:style>
  <w:style w:type="character" w:customStyle="1" w:styleId="242">
    <w:name w:val="普通文字1 Char2"/>
    <w:autoRedefine/>
    <w:qFormat/>
    <w:locked/>
    <w:uiPriority w:val="0"/>
    <w:rPr>
      <w:rFonts w:ascii="宋体" w:hAnsi="Courier New" w:eastAsia="宋体" w:cs="宋体"/>
      <w:kern w:val="2"/>
      <w:sz w:val="24"/>
      <w:szCs w:val="24"/>
      <w:lang w:val="en-US" w:eastAsia="zh-CN"/>
    </w:rPr>
  </w:style>
  <w:style w:type="character" w:customStyle="1" w:styleId="243">
    <w:name w:val="Table Text Char Char Char Char"/>
    <w:link w:val="244"/>
    <w:autoRedefine/>
    <w:qFormat/>
    <w:uiPriority w:val="0"/>
    <w:rPr>
      <w:rFonts w:ascii="Arial" w:hAnsi="Arial"/>
      <w:sz w:val="18"/>
      <w:lang w:val="en-US" w:eastAsia="zh-CN" w:bidi="ar-SA"/>
    </w:rPr>
  </w:style>
  <w:style w:type="paragraph" w:customStyle="1" w:styleId="244">
    <w:name w:val="Table Text Char"/>
    <w:link w:val="243"/>
    <w:autoRedefine/>
    <w:qFormat/>
    <w:uiPriority w:val="0"/>
    <w:pPr>
      <w:snapToGrid w:val="0"/>
      <w:spacing w:before="80" w:after="80"/>
    </w:pPr>
    <w:rPr>
      <w:rFonts w:ascii="Arial" w:hAnsi="Arial" w:eastAsia="宋体" w:cs="Times New Roman"/>
      <w:sz w:val="18"/>
      <w:lang w:val="en-US" w:eastAsia="zh-CN" w:bidi="ar-SA"/>
    </w:rPr>
  </w:style>
  <w:style w:type="character" w:customStyle="1" w:styleId="245">
    <w:name w:val="font121"/>
    <w:autoRedefine/>
    <w:qFormat/>
    <w:uiPriority w:val="0"/>
    <w:rPr>
      <w:sz w:val="18"/>
    </w:rPr>
  </w:style>
  <w:style w:type="character" w:customStyle="1" w:styleId="246">
    <w:name w:val="font01"/>
    <w:basedOn w:val="76"/>
    <w:autoRedefine/>
    <w:qFormat/>
    <w:uiPriority w:val="0"/>
    <w:rPr>
      <w:rFonts w:hint="eastAsia" w:ascii="宋体" w:hAnsi="宋体" w:eastAsia="宋体" w:cs="宋体"/>
      <w:color w:val="FF0000"/>
      <w:sz w:val="20"/>
      <w:szCs w:val="20"/>
      <w:u w:val="none"/>
    </w:rPr>
  </w:style>
  <w:style w:type="character" w:customStyle="1" w:styleId="247">
    <w:name w:val="Body Char Char"/>
    <w:link w:val="248"/>
    <w:autoRedefine/>
    <w:qFormat/>
    <w:uiPriority w:val="0"/>
    <w:rPr>
      <w:rFonts w:eastAsia="宋体"/>
      <w:sz w:val="24"/>
      <w:szCs w:val="24"/>
      <w:lang w:val="pt-BR" w:eastAsia="zh-CN" w:bidi="ar-SA"/>
    </w:rPr>
  </w:style>
  <w:style w:type="paragraph" w:customStyle="1" w:styleId="248">
    <w:name w:val="Body"/>
    <w:basedOn w:val="1"/>
    <w:link w:val="247"/>
    <w:autoRedefine/>
    <w:qFormat/>
    <w:uiPriority w:val="0"/>
    <w:pPr>
      <w:widowControl/>
      <w:tabs>
        <w:tab w:val="left" w:pos="9356"/>
      </w:tabs>
      <w:spacing w:before="80" w:after="80" w:line="360" w:lineRule="auto"/>
      <w:ind w:firstLine="480" w:firstLineChars="200"/>
    </w:pPr>
    <w:rPr>
      <w:kern w:val="0"/>
      <w:sz w:val="24"/>
      <w:szCs w:val="24"/>
      <w:lang w:val="pt-BR"/>
    </w:rPr>
  </w:style>
  <w:style w:type="character" w:customStyle="1" w:styleId="249">
    <w:name w:val="Heading Base Char Char"/>
    <w:link w:val="54"/>
    <w:autoRedefine/>
    <w:qFormat/>
    <w:uiPriority w:val="0"/>
    <w:rPr>
      <w:rFonts w:ascii="Arial" w:hAnsi="Arial" w:eastAsia="仿宋体"/>
      <w:spacing w:val="-4"/>
      <w:kern w:val="28"/>
      <w:sz w:val="22"/>
      <w:lang w:eastAsia="en-US"/>
    </w:rPr>
  </w:style>
  <w:style w:type="character" w:customStyle="1" w:styleId="250">
    <w:name w:val="style81"/>
    <w:autoRedefine/>
    <w:qFormat/>
    <w:uiPriority w:val="0"/>
    <w:rPr>
      <w:rFonts w:hint="default" w:ascii="Arial" w:hAnsi="Arial"/>
      <w:b/>
      <w:color w:val="336699"/>
      <w:sz w:val="18"/>
    </w:rPr>
  </w:style>
  <w:style w:type="paragraph" w:customStyle="1" w:styleId="251">
    <w:name w:val="xl90"/>
    <w:basedOn w:val="1"/>
    <w:autoRedefine/>
    <w:qFormat/>
    <w:uiPriority w:val="0"/>
    <w:pPr>
      <w:widowControl/>
      <w:pBdr>
        <w:righ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252">
    <w:name w:val="Default"/>
    <w:basedOn w:val="4"/>
    <w:autoRedefine/>
    <w:qFormat/>
    <w:uiPriority w:val="0"/>
    <w:pPr>
      <w:widowControl w:val="0"/>
    </w:pPr>
    <w:rPr>
      <w:rFonts w:ascii="Times New Roman" w:hAnsi="Times New Roman" w:eastAsia="Times New Roman" w:cs="Times New Roman"/>
      <w:color w:val="000000"/>
      <w:sz w:val="24"/>
      <w:lang w:val="en-US" w:eastAsia="en-US" w:bidi="ar-SA"/>
    </w:rPr>
  </w:style>
  <w:style w:type="paragraph" w:customStyle="1" w:styleId="253">
    <w:name w:val="xl76"/>
    <w:basedOn w:val="1"/>
    <w:autoRedefine/>
    <w:qFormat/>
    <w:uiPriority w:val="0"/>
    <w:pPr>
      <w:widowControl/>
      <w:pBdr>
        <w:left w:val="single" w:color="auto" w:sz="8" w:space="0"/>
      </w:pBdr>
      <w:spacing w:before="100" w:beforeAutospacing="1" w:after="100" w:afterAutospacing="1"/>
      <w:jc w:val="center"/>
      <w:textAlignment w:val="center"/>
    </w:pPr>
    <w:rPr>
      <w:rFonts w:ascii="宋体" w:hAnsi="宋体"/>
      <w:kern w:val="0"/>
      <w:sz w:val="20"/>
    </w:rPr>
  </w:style>
  <w:style w:type="paragraph" w:customStyle="1" w:styleId="254">
    <w:name w:val="xl79"/>
    <w:basedOn w:val="1"/>
    <w:autoRedefine/>
    <w:qFormat/>
    <w:uiPriority w:val="0"/>
    <w:pPr>
      <w:widowControl/>
      <w:pBdr>
        <w:bottom w:val="single" w:color="auto" w:sz="8" w:space="0"/>
      </w:pBdr>
      <w:spacing w:before="100" w:beforeAutospacing="1" w:after="100" w:afterAutospacing="1"/>
      <w:jc w:val="center"/>
    </w:pPr>
    <w:rPr>
      <w:rFonts w:ascii="宋体" w:hAnsi="宋体"/>
      <w:b/>
      <w:kern w:val="0"/>
      <w:sz w:val="28"/>
    </w:rPr>
  </w:style>
  <w:style w:type="paragraph" w:customStyle="1" w:styleId="255">
    <w:name w:val="图注"/>
    <w:next w:val="1"/>
    <w:autoRedefine/>
    <w:qFormat/>
    <w:uiPriority w:val="0"/>
    <w:pPr>
      <w:spacing w:before="120" w:after="120"/>
      <w:jc w:val="center"/>
    </w:pPr>
    <w:rPr>
      <w:rFonts w:ascii="宋体" w:hAnsi="Times New Roman" w:eastAsia="宋体" w:cs="Times New Roman"/>
      <w:kern w:val="2"/>
      <w:sz w:val="18"/>
      <w:lang w:val="en-US" w:eastAsia="zh-CN" w:bidi="ar-SA"/>
    </w:rPr>
  </w:style>
  <w:style w:type="paragraph" w:customStyle="1" w:styleId="256">
    <w:name w:val="xl57"/>
    <w:basedOn w:val="1"/>
    <w:autoRedefine/>
    <w:qFormat/>
    <w:uiPriority w:val="0"/>
    <w:pPr>
      <w:widowControl/>
      <w:shd w:val="clear" w:color="auto" w:fill="FFFF00"/>
      <w:spacing w:before="100" w:beforeAutospacing="1" w:after="100" w:afterAutospacing="1"/>
      <w:jc w:val="left"/>
    </w:pPr>
    <w:rPr>
      <w:rFonts w:ascii="宋体" w:hAnsi="宋体"/>
      <w:kern w:val="0"/>
      <w:sz w:val="20"/>
    </w:rPr>
  </w:style>
  <w:style w:type="paragraph" w:customStyle="1" w:styleId="257">
    <w:name w:val="Char Char Char1 Char Char Char Char"/>
    <w:basedOn w:val="1"/>
    <w:autoRedefine/>
    <w:qFormat/>
    <w:uiPriority w:val="0"/>
    <w:rPr>
      <w:rFonts w:ascii="Tahoma" w:hAnsi="Tahoma"/>
      <w:sz w:val="24"/>
    </w:rPr>
  </w:style>
  <w:style w:type="paragraph" w:customStyle="1" w:styleId="258">
    <w:name w:val="Char Char Char Char Char Char"/>
    <w:basedOn w:val="1"/>
    <w:autoRedefine/>
    <w:qFormat/>
    <w:uiPriority w:val="0"/>
    <w:rPr>
      <w:rFonts w:ascii="Tahoma" w:hAnsi="Tahoma"/>
      <w:sz w:val="24"/>
    </w:rPr>
  </w:style>
  <w:style w:type="paragraph" w:customStyle="1" w:styleId="259">
    <w:name w:val="contr_bull_list"/>
    <w:basedOn w:val="1"/>
    <w:autoRedefine/>
    <w:qFormat/>
    <w:uiPriority w:val="0"/>
    <w:pPr>
      <w:widowControl/>
      <w:tabs>
        <w:tab w:val="left" w:pos="1080"/>
      </w:tabs>
      <w:ind w:left="1080" w:hanging="420"/>
      <w:jc w:val="left"/>
    </w:pPr>
    <w:rPr>
      <w:rFonts w:ascii="Arial" w:hAnsi="Arial"/>
      <w:kern w:val="0"/>
      <w:sz w:val="24"/>
      <w:lang w:val="en-GB" w:eastAsia="en-US"/>
    </w:rPr>
  </w:style>
  <w:style w:type="paragraph" w:customStyle="1" w:styleId="260">
    <w:name w:val="0"/>
    <w:basedOn w:val="1"/>
    <w:autoRedefine/>
    <w:qFormat/>
    <w:uiPriority w:val="0"/>
    <w:pPr>
      <w:widowControl/>
    </w:pPr>
    <w:rPr>
      <w:kern w:val="0"/>
    </w:rPr>
  </w:style>
  <w:style w:type="paragraph" w:customStyle="1" w:styleId="261">
    <w:name w:val="CM22"/>
    <w:basedOn w:val="252"/>
    <w:next w:val="252"/>
    <w:autoRedefine/>
    <w:qFormat/>
    <w:uiPriority w:val="0"/>
    <w:pPr>
      <w:autoSpaceDE w:val="0"/>
      <w:autoSpaceDN w:val="0"/>
      <w:adjustRightInd w:val="0"/>
      <w:spacing w:line="203" w:lineRule="atLeast"/>
    </w:pPr>
    <w:rPr>
      <w:rFonts w:ascii="HYDaHeiJ" w:eastAsia="HYDaHeiJ"/>
      <w:color w:val="auto"/>
      <w:lang w:eastAsia="zh-CN"/>
    </w:rPr>
  </w:style>
  <w:style w:type="paragraph" w:customStyle="1" w:styleId="262">
    <w:name w:val="列项"/>
    <w:basedOn w:val="1"/>
    <w:autoRedefine/>
    <w:qFormat/>
    <w:uiPriority w:val="0"/>
    <w:rPr>
      <w:rFonts w:ascii="宋体"/>
      <w:sz w:val="24"/>
      <w:szCs w:val="18"/>
    </w:rPr>
  </w:style>
  <w:style w:type="paragraph" w:customStyle="1" w:styleId="263">
    <w:name w:val="xl109"/>
    <w:basedOn w:val="1"/>
    <w:autoRedefine/>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264">
    <w:name w:val="xl67"/>
    <w:basedOn w:val="1"/>
    <w:autoRedefine/>
    <w:qFormat/>
    <w:uiPriority w:val="0"/>
    <w:pPr>
      <w:widowControl/>
      <w:pBdr>
        <w:top w:val="single" w:color="auto" w:sz="4" w:space="0"/>
        <w:left w:val="single" w:color="auto" w:sz="4" w:space="0"/>
        <w:right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265">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266">
    <w:name w:val="xl59"/>
    <w:basedOn w:val="1"/>
    <w:autoRedefine/>
    <w:qFormat/>
    <w:uiPriority w:val="0"/>
    <w:pPr>
      <w:widowControl/>
      <w:shd w:val="clear" w:color="auto" w:fill="FFFF00"/>
      <w:spacing w:before="100" w:beforeAutospacing="1" w:after="100" w:afterAutospacing="1"/>
      <w:jc w:val="right"/>
    </w:pPr>
    <w:rPr>
      <w:rFonts w:ascii="宋体" w:hAnsi="宋体"/>
      <w:kern w:val="0"/>
      <w:sz w:val="20"/>
    </w:rPr>
  </w:style>
  <w:style w:type="paragraph" w:customStyle="1" w:styleId="267">
    <w:name w:val="样式 标题 3 + Arial 段前: 7.75 磅 段后: 7.75 磅 行距: 固定值 22 磅"/>
    <w:basedOn w:val="6"/>
    <w:autoRedefine/>
    <w:qFormat/>
    <w:uiPriority w:val="0"/>
    <w:pPr>
      <w:tabs>
        <w:tab w:val="left" w:pos="2711"/>
      </w:tabs>
      <w:spacing w:before="155" w:after="155" w:line="440" w:lineRule="exact"/>
      <w:ind w:left="1838" w:hanging="567"/>
    </w:pPr>
    <w:rPr>
      <w:rFonts w:ascii="Arial" w:hAnsi="Arial"/>
      <w:bCs w:val="0"/>
      <w:sz w:val="28"/>
      <w:szCs w:val="20"/>
    </w:rPr>
  </w:style>
  <w:style w:type="paragraph" w:customStyle="1" w:styleId="268">
    <w:name w:val="块引用"/>
    <w:basedOn w:val="31"/>
    <w:autoRedefine/>
    <w:qFormat/>
    <w:uiPriority w:val="0"/>
    <w:pPr>
      <w:keepLines/>
      <w:widowControl/>
      <w:pBdr>
        <w:left w:val="single" w:color="808080" w:sz="36" w:space="3"/>
        <w:bottom w:val="single" w:color="FFFFFF" w:sz="48" w:space="3"/>
      </w:pBdr>
      <w:tabs>
        <w:tab w:val="left" w:pos="0"/>
      </w:tabs>
      <w:spacing w:before="120" w:line="360" w:lineRule="auto"/>
      <w:ind w:left="990" w:right="720"/>
      <w:jc w:val="left"/>
    </w:pPr>
    <w:rPr>
      <w:rFonts w:ascii="仿宋体" w:eastAsia="仿宋体"/>
      <w:i/>
      <w:kern w:val="0"/>
      <w:sz w:val="24"/>
    </w:rPr>
  </w:style>
  <w:style w:type="paragraph" w:customStyle="1" w:styleId="269">
    <w:name w:val="样式 项 + 小五 居中 左侧:  1.5 厘米 悬挂缩进: 4.2 字符"/>
    <w:basedOn w:val="1"/>
    <w:autoRedefine/>
    <w:qFormat/>
    <w:uiPriority w:val="0"/>
    <w:pPr>
      <w:tabs>
        <w:tab w:val="left" w:pos="690"/>
      </w:tabs>
      <w:ind w:left="690" w:hanging="360"/>
      <w:jc w:val="center"/>
    </w:pPr>
    <w:rPr>
      <w:rFonts w:ascii="Arial" w:hAnsi="Arial" w:cs="宋体"/>
      <w:sz w:val="18"/>
    </w:rPr>
  </w:style>
  <w:style w:type="paragraph" w:customStyle="1" w:styleId="270">
    <w:name w:val="项目符号1"/>
    <w:basedOn w:val="1"/>
    <w:autoRedefine/>
    <w:qFormat/>
    <w:uiPriority w:val="0"/>
    <w:pPr>
      <w:tabs>
        <w:tab w:val="left" w:pos="1560"/>
      </w:tabs>
      <w:spacing w:line="312" w:lineRule="atLeast"/>
      <w:ind w:left="1560" w:hanging="720"/>
    </w:pPr>
  </w:style>
  <w:style w:type="paragraph" w:customStyle="1" w:styleId="271">
    <w:name w:val="Char Char Char Char Char Char Char Char Char1 Char Char Char Char Char Char Char Char Char Char Char Char Char Char Char Char Char Char Char Char Char Char Char Char Char Char Char Char Char Char Char Char Char Char Char Char"/>
    <w:basedOn w:val="1"/>
    <w:autoRedefine/>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272">
    <w:name w:val="xl4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rPr>
  </w:style>
  <w:style w:type="paragraph" w:customStyle="1" w:styleId="273">
    <w:name w:val="正文内容"/>
    <w:basedOn w:val="31"/>
    <w:autoRedefine/>
    <w:qFormat/>
    <w:uiPriority w:val="0"/>
    <w:pPr>
      <w:adjustRightInd w:val="0"/>
      <w:snapToGrid w:val="0"/>
      <w:spacing w:beforeLines="50" w:afterLines="50" w:line="400" w:lineRule="exact"/>
      <w:ind w:firstLine="505" w:firstLineChars="200"/>
      <w:textAlignment w:val="baseline"/>
    </w:pPr>
    <w:rPr>
      <w:rFonts w:ascii="宋体" w:hAnsi="宋体"/>
      <w:color w:val="000000"/>
      <w:spacing w:val="10"/>
      <w:kern w:val="0"/>
      <w:sz w:val="24"/>
    </w:rPr>
  </w:style>
  <w:style w:type="paragraph" w:customStyle="1" w:styleId="274">
    <w:name w:val="xl108"/>
    <w:basedOn w:val="1"/>
    <w:autoRedefine/>
    <w:qFormat/>
    <w:uiPriority w:val="0"/>
    <w:pPr>
      <w:widowControl/>
      <w:pBdr>
        <w:top w:val="single" w:color="auto" w:sz="4" w:space="0"/>
        <w:left w:val="single" w:color="auto" w:sz="4" w:space="0"/>
      </w:pBdr>
      <w:spacing w:before="100" w:beforeAutospacing="1" w:after="100" w:afterAutospacing="1"/>
      <w:jc w:val="left"/>
    </w:pPr>
    <w:rPr>
      <w:rFonts w:ascii="宋体" w:hAnsi="宋体" w:cs="宋体"/>
      <w:kern w:val="0"/>
      <w:sz w:val="24"/>
      <w:szCs w:val="24"/>
    </w:rPr>
  </w:style>
  <w:style w:type="paragraph" w:customStyle="1" w:styleId="275">
    <w:name w:val="CM1"/>
    <w:basedOn w:val="252"/>
    <w:next w:val="252"/>
    <w:autoRedefine/>
    <w:qFormat/>
    <w:uiPriority w:val="0"/>
    <w:pPr>
      <w:autoSpaceDE w:val="0"/>
      <w:autoSpaceDN w:val="0"/>
      <w:adjustRightInd w:val="0"/>
    </w:pPr>
    <w:rPr>
      <w:rFonts w:ascii="HYDaHeiJ" w:eastAsia="HYDaHeiJ"/>
      <w:color w:val="auto"/>
      <w:lang w:eastAsia="zh-CN"/>
    </w:rPr>
  </w:style>
  <w:style w:type="paragraph" w:customStyle="1" w:styleId="276">
    <w:name w:val="CM23"/>
    <w:basedOn w:val="252"/>
    <w:next w:val="252"/>
    <w:autoRedefine/>
    <w:qFormat/>
    <w:uiPriority w:val="0"/>
    <w:pPr>
      <w:autoSpaceDE w:val="0"/>
      <w:autoSpaceDN w:val="0"/>
      <w:adjustRightInd w:val="0"/>
      <w:spacing w:after="370"/>
    </w:pPr>
    <w:rPr>
      <w:rFonts w:ascii="Arial Black" w:hAnsi="Arial Black" w:eastAsia="宋体"/>
      <w:color w:val="auto"/>
      <w:sz w:val="20"/>
      <w:lang w:eastAsia="zh-CN"/>
    </w:rPr>
  </w:style>
  <w:style w:type="paragraph" w:customStyle="1" w:styleId="277">
    <w:name w:val="xl9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color w:val="000000"/>
      <w:kern w:val="0"/>
      <w:sz w:val="20"/>
    </w:rPr>
  </w:style>
  <w:style w:type="paragraph" w:customStyle="1" w:styleId="278">
    <w:name w:val="IN Step"/>
    <w:basedOn w:val="1"/>
    <w:autoRedefine/>
    <w:qFormat/>
    <w:uiPriority w:val="0"/>
    <w:pPr>
      <w:keepLines/>
      <w:widowControl/>
      <w:spacing w:before="80" w:after="80" w:line="300" w:lineRule="auto"/>
      <w:ind w:left="1134"/>
      <w:outlineLvl w:val="8"/>
    </w:pPr>
    <w:rPr>
      <w:rFonts w:ascii="Arial" w:hAnsi="Arial"/>
      <w:kern w:val="0"/>
    </w:rPr>
  </w:style>
  <w:style w:type="paragraph" w:customStyle="1" w:styleId="279">
    <w:name w:val="模板正文"/>
    <w:autoRedefine/>
    <w:qFormat/>
    <w:uiPriority w:val="0"/>
    <w:pPr>
      <w:spacing w:beforeLines="50" w:afterLines="50" w:line="360" w:lineRule="auto"/>
      <w:ind w:firstLine="200" w:firstLineChars="200"/>
    </w:pPr>
    <w:rPr>
      <w:rFonts w:ascii="宋体" w:hAnsi="宋体" w:eastAsia="宋体" w:cs="Times New Roman"/>
      <w:sz w:val="24"/>
      <w:lang w:val="en-US" w:eastAsia="zh-CN" w:bidi="ar-SA"/>
    </w:rPr>
  </w:style>
  <w:style w:type="paragraph" w:customStyle="1" w:styleId="280">
    <w:name w:val="正文文本 21"/>
    <w:basedOn w:val="1"/>
    <w:autoRedefine/>
    <w:qFormat/>
    <w:uiPriority w:val="0"/>
    <w:pPr>
      <w:widowControl/>
      <w:tabs>
        <w:tab w:val="left" w:pos="120"/>
      </w:tabs>
      <w:autoSpaceDE w:val="0"/>
      <w:autoSpaceDN w:val="0"/>
      <w:adjustRightInd w:val="0"/>
      <w:spacing w:line="360" w:lineRule="auto"/>
      <w:ind w:left="45" w:firstLine="720"/>
      <w:textAlignment w:val="baseline"/>
    </w:pPr>
    <w:rPr>
      <w:rFonts w:ascii="宋体"/>
      <w:kern w:val="0"/>
      <w:sz w:val="32"/>
      <w:lang w:val="en-AU"/>
    </w:rPr>
  </w:style>
  <w:style w:type="paragraph" w:customStyle="1" w:styleId="281">
    <w:name w:val="CM29"/>
    <w:basedOn w:val="252"/>
    <w:next w:val="252"/>
    <w:autoRedefine/>
    <w:qFormat/>
    <w:uiPriority w:val="0"/>
    <w:pPr>
      <w:autoSpaceDE w:val="0"/>
      <w:autoSpaceDN w:val="0"/>
      <w:adjustRightInd w:val="0"/>
      <w:spacing w:after="395"/>
    </w:pPr>
    <w:rPr>
      <w:rFonts w:ascii="HYDaHeiJ" w:eastAsia="HYDaHeiJ"/>
      <w:color w:val="auto"/>
      <w:lang w:eastAsia="zh-CN"/>
    </w:rPr>
  </w:style>
  <w:style w:type="paragraph" w:customStyle="1" w:styleId="282">
    <w:name w:val="xl93"/>
    <w:basedOn w:val="1"/>
    <w:autoRedefine/>
    <w:qFormat/>
    <w:uiPriority w:val="0"/>
    <w:pPr>
      <w:widowControl/>
      <w:pBdr>
        <w:bottom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283">
    <w:name w:val="p0"/>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284">
    <w:name w:val="xl40"/>
    <w:basedOn w:val="1"/>
    <w:autoRedefine/>
    <w:qFormat/>
    <w:uiPriority w:val="0"/>
    <w:pPr>
      <w:widowControl/>
      <w:pBdr>
        <w:left w:val="single" w:color="auto" w:sz="4" w:space="0"/>
      </w:pBdr>
      <w:spacing w:before="100" w:beforeAutospacing="1" w:after="100" w:afterAutospacing="1"/>
      <w:jc w:val="center"/>
    </w:pPr>
    <w:rPr>
      <w:rFonts w:ascii="宋体" w:hAnsi="宋体" w:cs="宋体"/>
      <w:kern w:val="0"/>
      <w:sz w:val="24"/>
      <w:szCs w:val="24"/>
    </w:rPr>
  </w:style>
  <w:style w:type="paragraph" w:customStyle="1" w:styleId="285">
    <w:name w:val="样式 样式 1-正文 + 段前: 0.5 行 + 首行缩进:  4 字符 段前: 0.5 行"/>
    <w:basedOn w:val="1"/>
    <w:autoRedefine/>
    <w:qFormat/>
    <w:uiPriority w:val="0"/>
    <w:pPr>
      <w:spacing w:beforeLines="50" w:line="360" w:lineRule="auto"/>
      <w:ind w:firstLine="200" w:firstLineChars="200"/>
    </w:pPr>
    <w:rPr>
      <w:rFonts w:cs="宋体"/>
    </w:rPr>
  </w:style>
  <w:style w:type="paragraph" w:customStyle="1" w:styleId="286">
    <w:name w:val="z-窗体底端1"/>
    <w:basedOn w:val="1"/>
    <w:next w:val="1"/>
    <w:autoRedefine/>
    <w:qFormat/>
    <w:uiPriority w:val="0"/>
    <w:pPr>
      <w:widowControl/>
      <w:pBdr>
        <w:top w:val="single" w:color="auto" w:sz="6" w:space="1"/>
      </w:pBdr>
      <w:jc w:val="center"/>
    </w:pPr>
    <w:rPr>
      <w:rFonts w:ascii="Arial" w:hAnsi="Arial" w:cs="Arial"/>
      <w:vanish/>
      <w:kern w:val="0"/>
      <w:sz w:val="16"/>
      <w:szCs w:val="16"/>
    </w:rPr>
  </w:style>
  <w:style w:type="paragraph" w:customStyle="1" w:styleId="287">
    <w:name w:val="样式"/>
    <w:basedOn w:val="1"/>
    <w:autoRedefine/>
    <w:qFormat/>
    <w:uiPriority w:val="0"/>
    <w:pPr>
      <w:tabs>
        <w:tab w:val="left" w:pos="567"/>
        <w:tab w:val="left" w:pos="720"/>
        <w:tab w:val="left" w:pos="980"/>
      </w:tabs>
      <w:snapToGrid w:val="0"/>
      <w:spacing w:line="460" w:lineRule="atLeast"/>
      <w:ind w:left="980" w:hanging="420"/>
    </w:pPr>
    <w:rPr>
      <w:rFonts w:ascii="Arial" w:hAnsi="Arial"/>
      <w:spacing w:val="6"/>
      <w:sz w:val="24"/>
    </w:rPr>
  </w:style>
  <w:style w:type="paragraph" w:customStyle="1" w:styleId="288">
    <w:name w:val="red"/>
    <w:basedOn w:val="1"/>
    <w:autoRedefine/>
    <w:qFormat/>
    <w:uiPriority w:val="0"/>
    <w:pPr>
      <w:widowControl/>
      <w:spacing w:before="100" w:beforeAutospacing="1" w:after="100" w:afterAutospacing="1" w:line="300" w:lineRule="atLeast"/>
      <w:jc w:val="left"/>
    </w:pPr>
    <w:rPr>
      <w:rFonts w:ascii="ˎ̥" w:hAnsi="ˎ̥"/>
      <w:color w:val="CC3300"/>
      <w:kern w:val="0"/>
      <w:sz w:val="18"/>
    </w:rPr>
  </w:style>
  <w:style w:type="paragraph" w:customStyle="1" w:styleId="289">
    <w:name w:val="Char Char Char Char1"/>
    <w:basedOn w:val="1"/>
    <w:autoRedefine/>
    <w:qFormat/>
    <w:uiPriority w:val="0"/>
    <w:pPr>
      <w:adjustRightInd w:val="0"/>
      <w:spacing w:line="360" w:lineRule="auto"/>
      <w:textAlignment w:val="center"/>
    </w:pPr>
    <w:rPr>
      <w:kern w:val="0"/>
      <w:sz w:val="24"/>
    </w:rPr>
  </w:style>
  <w:style w:type="paragraph" w:customStyle="1" w:styleId="290">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0"/>
    </w:rPr>
  </w:style>
  <w:style w:type="paragraph" w:customStyle="1" w:styleId="291">
    <w:name w:val="xl75"/>
    <w:basedOn w:val="1"/>
    <w:autoRedefine/>
    <w:qFormat/>
    <w:uiPriority w:val="0"/>
    <w:pPr>
      <w:widowControl/>
      <w:pBdr>
        <w:top w:val="single" w:color="auto" w:sz="4" w:space="0"/>
        <w:left w:val="single" w:color="auto" w:sz="4" w:space="0"/>
        <w:bottom w:val="single" w:color="auto" w:sz="8" w:space="0"/>
        <w:right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292">
    <w:name w:val="xl70"/>
    <w:basedOn w:val="1"/>
    <w:autoRedefine/>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jc w:val="left"/>
    </w:pPr>
    <w:rPr>
      <w:rFonts w:ascii="宋体" w:hAnsi="宋体"/>
      <w:kern w:val="0"/>
      <w:sz w:val="20"/>
    </w:rPr>
  </w:style>
  <w:style w:type="paragraph" w:customStyle="1" w:styleId="293">
    <w:name w:val="marcus"/>
    <w:basedOn w:val="1"/>
    <w:autoRedefine/>
    <w:qFormat/>
    <w:uiPriority w:val="0"/>
    <w:pPr>
      <w:widowControl/>
      <w:ind w:left="1134"/>
      <w:jc w:val="left"/>
    </w:pPr>
    <w:rPr>
      <w:rFonts w:ascii="Arial" w:hAnsi="Arial"/>
      <w:kern w:val="0"/>
      <w:sz w:val="20"/>
      <w:lang w:val="en-GB" w:eastAsia="en-US"/>
    </w:rPr>
  </w:style>
  <w:style w:type="paragraph" w:customStyle="1" w:styleId="294">
    <w:name w:val="xl111"/>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295">
    <w:name w:val="af0"/>
    <w:basedOn w:val="1"/>
    <w:autoRedefine/>
    <w:qFormat/>
    <w:uiPriority w:val="0"/>
    <w:pPr>
      <w:widowControl/>
      <w:spacing w:before="120" w:after="120" w:line="300" w:lineRule="atLeast"/>
      <w:jc w:val="center"/>
    </w:pPr>
    <w:rPr>
      <w:rFonts w:ascii="宋体" w:hAnsi="宋体" w:cs="宋体"/>
      <w:kern w:val="0"/>
      <w:sz w:val="18"/>
      <w:szCs w:val="18"/>
    </w:rPr>
  </w:style>
  <w:style w:type="paragraph" w:customStyle="1" w:styleId="296">
    <w:name w:val="扉页产品名称"/>
    <w:autoRedefine/>
    <w:qFormat/>
    <w:uiPriority w:val="0"/>
    <w:pPr>
      <w:autoSpaceDE w:val="0"/>
      <w:autoSpaceDN w:val="0"/>
      <w:spacing w:after="60" w:line="360" w:lineRule="auto"/>
      <w:ind w:left="360" w:firstLine="540"/>
      <w:jc w:val="both"/>
      <w:textAlignment w:val="bottom"/>
    </w:pPr>
    <w:rPr>
      <w:rFonts w:ascii="宋体" w:hAnsi="宋体" w:eastAsia="宋体" w:cs="Times New Roman"/>
      <w:sz w:val="24"/>
      <w:lang w:val="en-US" w:eastAsia="zh-CN" w:bidi="ar-SA"/>
    </w:rPr>
  </w:style>
  <w:style w:type="paragraph" w:customStyle="1" w:styleId="297">
    <w:name w:val="font6"/>
    <w:basedOn w:val="1"/>
    <w:autoRedefine/>
    <w:qFormat/>
    <w:uiPriority w:val="0"/>
    <w:pPr>
      <w:widowControl/>
      <w:spacing w:before="100" w:beforeAutospacing="1" w:after="100" w:afterAutospacing="1"/>
      <w:jc w:val="left"/>
    </w:pPr>
    <w:rPr>
      <w:rFonts w:hint="eastAsia" w:ascii="宋体" w:hAnsi="宋体"/>
      <w:kern w:val="0"/>
      <w:sz w:val="20"/>
    </w:rPr>
  </w:style>
  <w:style w:type="paragraph" w:customStyle="1" w:styleId="298">
    <w:name w:val="表项"/>
    <w:next w:val="299"/>
    <w:autoRedefine/>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299">
    <w:name w:val="表身"/>
    <w:autoRedefine/>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300">
    <w:name w:val="xl88"/>
    <w:basedOn w:val="1"/>
    <w:autoRedefine/>
    <w:qFormat/>
    <w:uiPriority w:val="0"/>
    <w:pPr>
      <w:widowControl/>
      <w:pBdr>
        <w:lef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301">
    <w:name w:val="zhengwen"/>
    <w:basedOn w:val="1"/>
    <w:autoRedefine/>
    <w:qFormat/>
    <w:uiPriority w:val="0"/>
    <w:pPr>
      <w:widowControl/>
      <w:spacing w:before="100" w:beforeAutospacing="1" w:after="100" w:afterAutospacing="1" w:line="270" w:lineRule="atLeast"/>
      <w:jc w:val="left"/>
    </w:pPr>
    <w:rPr>
      <w:color w:val="6B6B6B"/>
      <w:kern w:val="0"/>
      <w:sz w:val="23"/>
      <w:szCs w:val="23"/>
    </w:rPr>
  </w:style>
  <w:style w:type="paragraph" w:customStyle="1" w:styleId="302">
    <w:name w:val="xl4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rPr>
  </w:style>
  <w:style w:type="paragraph" w:customStyle="1" w:styleId="303">
    <w:name w:val="xl100"/>
    <w:basedOn w:val="1"/>
    <w:autoRedefine/>
    <w:qFormat/>
    <w:uiPriority w:val="0"/>
    <w:pPr>
      <w:widowControl/>
      <w:spacing w:before="100" w:beforeAutospacing="1" w:after="100" w:afterAutospacing="1"/>
      <w:jc w:val="left"/>
    </w:pPr>
    <w:rPr>
      <w:rFonts w:ascii="宋体" w:hAnsi="宋体" w:cs="宋体"/>
      <w:kern w:val="0"/>
      <w:sz w:val="20"/>
    </w:rPr>
  </w:style>
  <w:style w:type="paragraph" w:customStyle="1" w:styleId="304">
    <w:name w:val="自定义正文 Char Char"/>
    <w:basedOn w:val="1"/>
    <w:next w:val="1"/>
    <w:autoRedefine/>
    <w:qFormat/>
    <w:uiPriority w:val="0"/>
    <w:pPr>
      <w:widowControl/>
      <w:spacing w:line="560" w:lineRule="exact"/>
      <w:ind w:firstLine="560" w:firstLineChars="200"/>
    </w:pPr>
    <w:rPr>
      <w:rFonts w:ascii="宋体" w:hAnsi="宋体"/>
      <w:b/>
      <w:sz w:val="24"/>
    </w:rPr>
  </w:style>
  <w:style w:type="paragraph" w:customStyle="1" w:styleId="305">
    <w:name w:val="section1"/>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306">
    <w:name w:val="xl2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307">
    <w:name w:val="标题四"/>
    <w:basedOn w:val="1"/>
    <w:next w:val="1"/>
    <w:autoRedefine/>
    <w:qFormat/>
    <w:uiPriority w:val="0"/>
    <w:pPr>
      <w:keepLines/>
      <w:autoSpaceDE w:val="0"/>
      <w:autoSpaceDN w:val="0"/>
      <w:adjustRightInd w:val="0"/>
      <w:spacing w:line="360" w:lineRule="auto"/>
      <w:ind w:left="907"/>
      <w:outlineLvl w:val="0"/>
    </w:pPr>
    <w:rPr>
      <w:rFonts w:ascii="Arial" w:hAnsi="Arial" w:eastAsia="幼圆"/>
      <w:color w:val="000000"/>
      <w:spacing w:val="30"/>
      <w:kern w:val="10"/>
      <w:sz w:val="28"/>
    </w:rPr>
  </w:style>
  <w:style w:type="paragraph" w:customStyle="1" w:styleId="308">
    <w:name w:val="CM37"/>
    <w:basedOn w:val="252"/>
    <w:next w:val="252"/>
    <w:autoRedefine/>
    <w:qFormat/>
    <w:uiPriority w:val="0"/>
    <w:pPr>
      <w:autoSpaceDE w:val="0"/>
      <w:autoSpaceDN w:val="0"/>
      <w:adjustRightInd w:val="0"/>
      <w:spacing w:after="208"/>
    </w:pPr>
    <w:rPr>
      <w:rFonts w:ascii="HYDaHeiJ" w:eastAsia="HYDaHeiJ"/>
      <w:color w:val="auto"/>
      <w:lang w:eastAsia="zh-CN"/>
    </w:rPr>
  </w:style>
  <w:style w:type="paragraph" w:customStyle="1" w:styleId="309">
    <w:name w:val="Item Step"/>
    <w:basedOn w:val="1"/>
    <w:autoRedefine/>
    <w:qFormat/>
    <w:uiPriority w:val="0"/>
    <w:pPr>
      <w:widowControl/>
      <w:tabs>
        <w:tab w:val="left" w:pos="1134"/>
      </w:tabs>
      <w:spacing w:afterLines="50"/>
      <w:ind w:left="1554" w:hanging="420"/>
      <w:jc w:val="left"/>
    </w:pPr>
    <w:rPr>
      <w:szCs w:val="24"/>
    </w:rPr>
  </w:style>
  <w:style w:type="paragraph" w:customStyle="1" w:styleId="310">
    <w:name w:val="正文 1"/>
    <w:basedOn w:val="1"/>
    <w:autoRedefine/>
    <w:qFormat/>
    <w:uiPriority w:val="0"/>
    <w:pPr>
      <w:widowControl/>
      <w:snapToGrid w:val="0"/>
      <w:spacing w:before="80" w:after="80" w:line="360" w:lineRule="auto"/>
      <w:ind w:left="1134"/>
    </w:pPr>
  </w:style>
  <w:style w:type="paragraph" w:customStyle="1" w:styleId="311">
    <w:name w:val="样式 正文文本正文文字 + 首行缩进:  2 字符"/>
    <w:basedOn w:val="31"/>
    <w:autoRedefine/>
    <w:qFormat/>
    <w:uiPriority w:val="0"/>
    <w:pPr>
      <w:autoSpaceDE w:val="0"/>
      <w:autoSpaceDN w:val="0"/>
      <w:adjustRightInd w:val="0"/>
      <w:spacing w:before="60" w:after="60" w:line="460" w:lineRule="exact"/>
      <w:ind w:firstLine="200" w:firstLineChars="200"/>
      <w:jc w:val="left"/>
      <w:textAlignment w:val="baseline"/>
    </w:pPr>
    <w:rPr>
      <w:rFonts w:ascii="宋体" w:hAnsi="Arial"/>
      <w:kern w:val="0"/>
      <w:sz w:val="24"/>
      <w:lang w:val="en-GB"/>
    </w:rPr>
  </w:style>
  <w:style w:type="paragraph" w:customStyle="1" w:styleId="312">
    <w:name w:val="xl63"/>
    <w:basedOn w:val="1"/>
    <w:autoRedefine/>
    <w:qFormat/>
    <w:uiPriority w:val="0"/>
    <w:pPr>
      <w:widowControl/>
      <w:pBdr>
        <w:top w:val="single" w:color="auto" w:sz="4" w:space="0"/>
        <w:left w:val="single" w:color="auto" w:sz="4" w:space="0"/>
        <w:bottom w:val="single" w:color="auto" w:sz="4" w:space="0"/>
      </w:pBdr>
      <w:shd w:val="clear" w:color="auto" w:fill="FFFF00"/>
      <w:spacing w:before="100" w:beforeAutospacing="1" w:after="100" w:afterAutospacing="1"/>
      <w:jc w:val="right"/>
    </w:pPr>
    <w:rPr>
      <w:kern w:val="0"/>
      <w:sz w:val="20"/>
    </w:rPr>
  </w:style>
  <w:style w:type="paragraph" w:customStyle="1" w:styleId="313">
    <w:name w:val="次小点说明"/>
    <w:basedOn w:val="11"/>
    <w:autoRedefine/>
    <w:qFormat/>
    <w:uiPriority w:val="0"/>
    <w:pPr>
      <w:tabs>
        <w:tab w:val="left" w:pos="840"/>
      </w:tabs>
      <w:spacing w:after="80"/>
      <w:ind w:left="840" w:hanging="420" w:firstLineChars="0"/>
    </w:pPr>
    <w:rPr>
      <w:szCs w:val="24"/>
    </w:rPr>
  </w:style>
  <w:style w:type="paragraph" w:customStyle="1" w:styleId="314">
    <w:name w:val="graph"/>
    <w:basedOn w:val="31"/>
    <w:autoRedefine/>
    <w:qFormat/>
    <w:uiPriority w:val="0"/>
    <w:pPr>
      <w:adjustRightInd w:val="0"/>
      <w:spacing w:line="360" w:lineRule="auto"/>
      <w:ind w:right="74"/>
      <w:jc w:val="center"/>
      <w:textAlignment w:val="baseline"/>
    </w:pPr>
    <w:rPr>
      <w:kern w:val="0"/>
      <w:sz w:val="24"/>
    </w:rPr>
  </w:style>
  <w:style w:type="paragraph" w:customStyle="1" w:styleId="315">
    <w:name w:val="xl4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kern w:val="0"/>
      <w:sz w:val="20"/>
    </w:rPr>
  </w:style>
  <w:style w:type="paragraph" w:customStyle="1" w:styleId="316">
    <w:name w:val="p-title"/>
    <w:basedOn w:val="1"/>
    <w:autoRedefine/>
    <w:qFormat/>
    <w:uiPriority w:val="0"/>
    <w:pPr>
      <w:widowControl/>
      <w:spacing w:before="100" w:beforeAutospacing="1" w:after="100" w:afterAutospacing="1"/>
      <w:jc w:val="left"/>
    </w:pPr>
    <w:rPr>
      <w:rFonts w:ascii="Arial Unicode MS" w:hAnsi="Arial Unicode MS" w:eastAsia="Arial Unicode MS"/>
      <w:color w:val="000000"/>
      <w:kern w:val="0"/>
      <w:sz w:val="24"/>
    </w:rPr>
  </w:style>
  <w:style w:type="paragraph" w:customStyle="1" w:styleId="317">
    <w:name w:val="CM21"/>
    <w:basedOn w:val="252"/>
    <w:next w:val="252"/>
    <w:autoRedefine/>
    <w:qFormat/>
    <w:uiPriority w:val="0"/>
    <w:pPr>
      <w:autoSpaceDE w:val="0"/>
      <w:autoSpaceDN w:val="0"/>
      <w:adjustRightInd w:val="0"/>
    </w:pPr>
    <w:rPr>
      <w:rFonts w:ascii="HYDaHeiJ" w:eastAsia="HYDaHeiJ"/>
      <w:color w:val="auto"/>
      <w:lang w:eastAsia="zh-CN"/>
    </w:rPr>
  </w:style>
  <w:style w:type="paragraph" w:customStyle="1" w:styleId="318">
    <w:name w:val="xl34"/>
    <w:basedOn w:val="1"/>
    <w:autoRedefine/>
    <w:qFormat/>
    <w:uiPriority w:val="0"/>
    <w:pPr>
      <w:widowControl/>
      <w:spacing w:before="100" w:beforeAutospacing="1" w:after="100" w:afterAutospacing="1"/>
      <w:jc w:val="left"/>
    </w:pPr>
    <w:rPr>
      <w:rFonts w:ascii="Arial" w:hAnsi="Arial" w:eastAsia="Arial Unicode MS" w:cs="Arial"/>
      <w:kern w:val="0"/>
      <w:sz w:val="24"/>
      <w:szCs w:val="24"/>
    </w:rPr>
  </w:style>
  <w:style w:type="paragraph" w:customStyle="1" w:styleId="319">
    <w:name w:val="批注框文本1"/>
    <w:basedOn w:val="1"/>
    <w:autoRedefine/>
    <w:qFormat/>
    <w:uiPriority w:val="0"/>
    <w:rPr>
      <w:sz w:val="18"/>
      <w:szCs w:val="18"/>
    </w:rPr>
  </w:style>
  <w:style w:type="paragraph" w:customStyle="1" w:styleId="320">
    <w:name w:val="xl113"/>
    <w:basedOn w:val="1"/>
    <w:autoRedefine/>
    <w:qFormat/>
    <w:uiPriority w:val="0"/>
    <w:pPr>
      <w:widowControl/>
      <w:pBdr>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321">
    <w:name w:val="Char Char25 Char Char1 Char Char Char Char"/>
    <w:basedOn w:val="24"/>
    <w:autoRedefine/>
    <w:qFormat/>
    <w:uiPriority w:val="0"/>
    <w:rPr>
      <w:rFonts w:ascii="宋体" w:hAnsi="宋体"/>
      <w:b/>
      <w:sz w:val="24"/>
      <w:shd w:val="clear" w:color="auto" w:fill="auto"/>
    </w:rPr>
  </w:style>
  <w:style w:type="paragraph" w:customStyle="1" w:styleId="322">
    <w:name w:val="contents Title"/>
    <w:basedOn w:val="56"/>
    <w:autoRedefine/>
    <w:qFormat/>
    <w:uiPriority w:val="0"/>
    <w:pPr>
      <w:widowControl w:val="0"/>
      <w:adjustRightInd w:val="0"/>
      <w:spacing w:before="760" w:after="280"/>
      <w:jc w:val="left"/>
      <w:textAlignment w:val="baseline"/>
    </w:pPr>
    <w:rPr>
      <w:rFonts w:eastAsia="黑体"/>
      <w:b w:val="0"/>
      <w:spacing w:val="40"/>
      <w:sz w:val="30"/>
      <w:szCs w:val="20"/>
      <w:u w:val="single"/>
      <w:lang w:val="en-US"/>
    </w:rPr>
  </w:style>
  <w:style w:type="paragraph" w:customStyle="1" w:styleId="323">
    <w:name w:val="CM33"/>
    <w:basedOn w:val="252"/>
    <w:next w:val="252"/>
    <w:autoRedefine/>
    <w:qFormat/>
    <w:uiPriority w:val="0"/>
    <w:pPr>
      <w:autoSpaceDE w:val="0"/>
      <w:autoSpaceDN w:val="0"/>
      <w:adjustRightInd w:val="0"/>
      <w:spacing w:after="635"/>
    </w:pPr>
    <w:rPr>
      <w:rFonts w:ascii="HYDaHeiJ" w:eastAsia="HYDaHeiJ"/>
      <w:color w:val="auto"/>
      <w:lang w:eastAsia="zh-CN"/>
    </w:rPr>
  </w:style>
  <w:style w:type="paragraph" w:customStyle="1" w:styleId="324">
    <w:name w:val="样式 正文文本btBody Text(ch) Char Char Char Char Char Char Char Cha..."/>
    <w:basedOn w:val="31"/>
    <w:autoRedefine/>
    <w:qFormat/>
    <w:uiPriority w:val="0"/>
    <w:pPr>
      <w:tabs>
        <w:tab w:val="left" w:pos="420"/>
      </w:tabs>
      <w:adjustRightInd w:val="0"/>
      <w:snapToGrid w:val="0"/>
      <w:spacing w:after="0" w:line="360" w:lineRule="auto"/>
      <w:ind w:left="360" w:hanging="360"/>
    </w:pPr>
    <w:rPr>
      <w:rFonts w:ascii="宋体" w:hAnsi="宋体"/>
      <w:sz w:val="24"/>
    </w:rPr>
  </w:style>
  <w:style w:type="paragraph" w:customStyle="1" w:styleId="325">
    <w:name w:val="样式 标题 2H2部分标题Heading 2 HiddenHeading 2 CCBSheading 2Titre3...1"/>
    <w:basedOn w:val="5"/>
    <w:autoRedefine/>
    <w:qFormat/>
    <w:uiPriority w:val="0"/>
    <w:pPr>
      <w:tabs>
        <w:tab w:val="left" w:pos="1680"/>
      </w:tabs>
      <w:spacing w:before="0" w:after="0" w:line="360" w:lineRule="auto"/>
      <w:ind w:left="2010" w:hanging="420"/>
      <w:outlineLvl w:val="2"/>
    </w:pPr>
    <w:rPr>
      <w:rFonts w:ascii="宋体" w:hAnsi="宋体" w:eastAsia="宋体"/>
      <w:bCs w:val="0"/>
      <w:color w:val="FF0000"/>
      <w:sz w:val="24"/>
      <w:szCs w:val="20"/>
    </w:rPr>
  </w:style>
  <w:style w:type="paragraph" w:customStyle="1" w:styleId="326">
    <w:name w:val="xl11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327">
    <w:name w:val="样式 行距: 1.5 倍行距"/>
    <w:basedOn w:val="1"/>
    <w:autoRedefine/>
    <w:qFormat/>
    <w:uiPriority w:val="0"/>
    <w:pPr>
      <w:spacing w:line="360" w:lineRule="auto"/>
      <w:ind w:firstLine="420" w:firstLineChars="200"/>
    </w:pPr>
    <w:rPr>
      <w:sz w:val="28"/>
    </w:rPr>
  </w:style>
  <w:style w:type="paragraph" w:customStyle="1" w:styleId="328">
    <w:name w:val="二级标题"/>
    <w:basedOn w:val="3"/>
    <w:autoRedefine/>
    <w:qFormat/>
    <w:uiPriority w:val="0"/>
    <w:pPr>
      <w:tabs>
        <w:tab w:val="left" w:pos="1369"/>
      </w:tabs>
      <w:spacing w:before="100" w:beforeAutospacing="1" w:after="0" w:line="400" w:lineRule="atLeast"/>
      <w:ind w:left="421" w:hanging="132"/>
      <w:jc w:val="left"/>
      <w:outlineLvl w:val="2"/>
    </w:pPr>
    <w:rPr>
      <w:rFonts w:eastAsia="黑体"/>
      <w:bCs w:val="0"/>
      <w:spacing w:val="10"/>
      <w:sz w:val="24"/>
      <w:szCs w:val="20"/>
    </w:rPr>
  </w:style>
  <w:style w:type="paragraph" w:customStyle="1" w:styleId="329">
    <w:name w:val="Char Char12 Char Char Char Char Char Char"/>
    <w:basedOn w:val="24"/>
    <w:autoRedefine/>
    <w:qFormat/>
    <w:uiPriority w:val="0"/>
    <w:rPr>
      <w:rFonts w:ascii="宋体" w:hAnsi="宋体"/>
      <w:b/>
      <w:sz w:val="24"/>
      <w:shd w:val="clear" w:color="auto" w:fill="auto"/>
    </w:rPr>
  </w:style>
  <w:style w:type="paragraph" w:customStyle="1" w:styleId="330">
    <w:name w:val="xl68"/>
    <w:basedOn w:val="1"/>
    <w:autoRedefine/>
    <w:qFormat/>
    <w:uiPriority w:val="0"/>
    <w:pPr>
      <w:widowControl/>
      <w:pBdr>
        <w:top w:val="single" w:color="auto" w:sz="4" w:space="0"/>
        <w:left w:val="single" w:color="auto" w:sz="8" w:space="0"/>
        <w:bottom w:val="single" w:color="auto" w:sz="8" w:space="0"/>
      </w:pBdr>
      <w:shd w:val="clear" w:color="auto" w:fill="FFFF00"/>
      <w:spacing w:before="100" w:beforeAutospacing="1" w:after="100" w:afterAutospacing="1"/>
      <w:jc w:val="left"/>
    </w:pPr>
    <w:rPr>
      <w:rFonts w:ascii="宋体" w:hAnsi="宋体"/>
      <w:kern w:val="0"/>
      <w:sz w:val="20"/>
    </w:rPr>
  </w:style>
  <w:style w:type="paragraph" w:customStyle="1" w:styleId="331">
    <w:name w:val="CM34"/>
    <w:basedOn w:val="252"/>
    <w:next w:val="252"/>
    <w:autoRedefine/>
    <w:qFormat/>
    <w:uiPriority w:val="0"/>
    <w:pPr>
      <w:autoSpaceDE w:val="0"/>
      <w:autoSpaceDN w:val="0"/>
      <w:adjustRightInd w:val="0"/>
      <w:spacing w:after="1048"/>
    </w:pPr>
    <w:rPr>
      <w:rFonts w:ascii="HYDaHeiJ" w:eastAsia="HYDaHeiJ"/>
      <w:color w:val="auto"/>
      <w:lang w:eastAsia="zh-CN"/>
    </w:rPr>
  </w:style>
  <w:style w:type="paragraph" w:customStyle="1" w:styleId="332">
    <w:name w:val="_Style 88"/>
    <w:basedOn w:val="1"/>
    <w:autoRedefine/>
    <w:qFormat/>
    <w:uiPriority w:val="0"/>
  </w:style>
  <w:style w:type="paragraph" w:customStyle="1" w:styleId="333">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kern w:val="0"/>
      <w:sz w:val="20"/>
    </w:rPr>
  </w:style>
  <w:style w:type="paragraph" w:customStyle="1" w:styleId="334">
    <w:name w:val="Char1 Char Char Char Char Char Char Char Char Char Char Char Char Char Char Char Char Char Char"/>
    <w:basedOn w:val="1"/>
    <w:autoRedefine/>
    <w:qFormat/>
    <w:uiPriority w:val="0"/>
    <w:pPr>
      <w:widowControl/>
      <w:spacing w:after="160" w:line="240" w:lineRule="exact"/>
      <w:jc w:val="left"/>
    </w:pPr>
    <w:rPr>
      <w:rFonts w:ascii="Verdana" w:hAnsi="Verdana"/>
      <w:kern w:val="0"/>
      <w:sz w:val="20"/>
      <w:lang w:eastAsia="en-US"/>
    </w:rPr>
  </w:style>
  <w:style w:type="paragraph" w:customStyle="1" w:styleId="335">
    <w:name w:val="Table Description"/>
    <w:next w:val="1"/>
    <w:autoRedefine/>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336">
    <w:name w:val="内容1"/>
    <w:basedOn w:val="1"/>
    <w:autoRedefine/>
    <w:qFormat/>
    <w:uiPriority w:val="0"/>
    <w:pPr>
      <w:tabs>
        <w:tab w:val="left" w:pos="420"/>
      </w:tabs>
      <w:spacing w:line="480" w:lineRule="auto"/>
      <w:ind w:left="420" w:hanging="420"/>
    </w:pPr>
    <w:rPr>
      <w:rFonts w:ascii="宋体" w:hAnsi="宋体"/>
      <w:b/>
    </w:rPr>
  </w:style>
  <w:style w:type="paragraph" w:customStyle="1" w:styleId="337">
    <w:name w:val="部分"/>
    <w:basedOn w:val="3"/>
    <w:next w:val="3"/>
    <w:autoRedefine/>
    <w:qFormat/>
    <w:uiPriority w:val="0"/>
    <w:pPr>
      <w:spacing w:before="300" w:after="100" w:afterAutospacing="1" w:line="400" w:lineRule="exact"/>
      <w:jc w:val="center"/>
      <w:textAlignment w:val="center"/>
    </w:pPr>
    <w:rPr>
      <w:rFonts w:eastAsia="黑体"/>
      <w:bCs w:val="0"/>
      <w:color w:val="008000"/>
      <w:spacing w:val="10"/>
      <w:sz w:val="36"/>
      <w:szCs w:val="20"/>
    </w:rPr>
  </w:style>
  <w:style w:type="paragraph" w:customStyle="1" w:styleId="338">
    <w:name w:val="xl33"/>
    <w:basedOn w:val="1"/>
    <w:autoRedefine/>
    <w:qFormat/>
    <w:uiPriority w:val="0"/>
    <w:pPr>
      <w:widowControl/>
      <w:pBdr>
        <w:top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339">
    <w:name w:val="汉议细等线简8"/>
    <w:autoRedefine/>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lang w:val="en-US" w:eastAsia="zh-CN" w:bidi="ar-SA"/>
    </w:rPr>
  </w:style>
  <w:style w:type="paragraph" w:customStyle="1" w:styleId="340">
    <w:name w:val="样式 标题 3 + 左侧:  0 厘米 首行缩进:  0 厘米"/>
    <w:basedOn w:val="6"/>
    <w:autoRedefine/>
    <w:qFormat/>
    <w:uiPriority w:val="0"/>
    <w:pPr>
      <w:spacing w:line="413" w:lineRule="auto"/>
    </w:pPr>
    <w:rPr>
      <w:bCs w:val="0"/>
      <w:sz w:val="28"/>
      <w:szCs w:val="20"/>
    </w:rPr>
  </w:style>
  <w:style w:type="paragraph" w:customStyle="1" w:styleId="341">
    <w:name w:val="GCEBStyles1"/>
    <w:basedOn w:val="1"/>
    <w:autoRedefine/>
    <w:qFormat/>
    <w:uiPriority w:val="0"/>
    <w:pPr>
      <w:jc w:val="left"/>
      <w:outlineLvl w:val="1"/>
    </w:pPr>
    <w:rPr>
      <w:rFonts w:ascii="黑体" w:hAnsi="宋体" w:eastAsia="黑体"/>
      <w:b/>
      <w:bCs/>
      <w:kern w:val="0"/>
      <w:sz w:val="32"/>
      <w:szCs w:val="24"/>
    </w:rPr>
  </w:style>
  <w:style w:type="paragraph" w:customStyle="1" w:styleId="342">
    <w:name w:val="样式 正文文本缩进 + 段前: 2 字符"/>
    <w:basedOn w:val="1"/>
    <w:autoRedefine/>
    <w:qFormat/>
    <w:uiPriority w:val="0"/>
    <w:pPr>
      <w:ind w:left="420" w:leftChars="200"/>
      <w:jc w:val="left"/>
    </w:pPr>
    <w:rPr>
      <w:sz w:val="28"/>
      <w:szCs w:val="24"/>
      <w:lang w:eastAsia="zh-TW"/>
    </w:rPr>
  </w:style>
  <w:style w:type="paragraph" w:customStyle="1" w:styleId="343">
    <w:name w:val="表格数据"/>
    <w:basedOn w:val="1"/>
    <w:autoRedefine/>
    <w:qFormat/>
    <w:uiPriority w:val="0"/>
    <w:pPr>
      <w:jc w:val="right"/>
    </w:pPr>
    <w:rPr>
      <w:color w:val="000000"/>
      <w:kern w:val="0"/>
      <w:sz w:val="18"/>
      <w:szCs w:val="21"/>
    </w:rPr>
  </w:style>
  <w:style w:type="paragraph" w:customStyle="1" w:styleId="344">
    <w:name w:val="正文段落"/>
    <w:basedOn w:val="1"/>
    <w:autoRedefine/>
    <w:qFormat/>
    <w:uiPriority w:val="0"/>
    <w:pPr>
      <w:spacing w:line="300" w:lineRule="auto"/>
      <w:ind w:firstLine="510"/>
    </w:pPr>
    <w:rPr>
      <w:sz w:val="24"/>
    </w:rPr>
  </w:style>
  <w:style w:type="paragraph" w:customStyle="1" w:styleId="345">
    <w:name w:val="Char Char1 Char Char Char Char Char Char"/>
    <w:basedOn w:val="1"/>
    <w:autoRedefine/>
    <w:qFormat/>
    <w:uiPriority w:val="0"/>
    <w:rPr>
      <w:szCs w:val="24"/>
    </w:rPr>
  </w:style>
  <w:style w:type="paragraph" w:customStyle="1" w:styleId="346">
    <w:name w:val="样式3"/>
    <w:basedOn w:val="347"/>
    <w:next w:val="348"/>
    <w:autoRedefine/>
    <w:qFormat/>
    <w:uiPriority w:val="0"/>
    <w:pPr>
      <w:tabs>
        <w:tab w:val="left" w:pos="420"/>
        <w:tab w:val="left" w:pos="720"/>
      </w:tabs>
      <w:ind w:left="720" w:hanging="360"/>
    </w:pPr>
  </w:style>
  <w:style w:type="paragraph" w:customStyle="1" w:styleId="347">
    <w:name w:val="标题一"/>
    <w:basedOn w:val="1"/>
    <w:next w:val="348"/>
    <w:autoRedefine/>
    <w:qFormat/>
    <w:uiPriority w:val="0"/>
    <w:pPr>
      <w:keepLines/>
      <w:tabs>
        <w:tab w:val="left" w:pos="420"/>
      </w:tabs>
      <w:autoSpaceDE w:val="0"/>
      <w:autoSpaceDN w:val="0"/>
      <w:adjustRightInd w:val="0"/>
      <w:spacing w:before="120" w:after="120" w:line="480" w:lineRule="auto"/>
      <w:ind w:left="420" w:hanging="420"/>
      <w:jc w:val="center"/>
      <w:outlineLvl w:val="3"/>
    </w:pPr>
    <w:rPr>
      <w:rFonts w:ascii="幼圆" w:eastAsia="幼圆"/>
      <w:b/>
      <w:color w:val="000000"/>
      <w:spacing w:val="60"/>
      <w:kern w:val="10"/>
      <w:position w:val="8"/>
      <w:sz w:val="30"/>
    </w:rPr>
  </w:style>
  <w:style w:type="paragraph" w:customStyle="1" w:styleId="348">
    <w:name w:val="标题二"/>
    <w:basedOn w:val="1"/>
    <w:next w:val="349"/>
    <w:autoRedefine/>
    <w:qFormat/>
    <w:uiPriority w:val="0"/>
    <w:pPr>
      <w:tabs>
        <w:tab w:val="left" w:pos="1370"/>
      </w:tabs>
      <w:autoSpaceDE w:val="0"/>
      <w:autoSpaceDN w:val="0"/>
      <w:adjustRightInd w:val="0"/>
      <w:spacing w:line="360" w:lineRule="auto"/>
      <w:ind w:left="1370" w:hanging="425"/>
      <w:outlineLvl w:val="2"/>
    </w:pPr>
    <w:rPr>
      <w:rFonts w:ascii="幼圆" w:eastAsia="幼圆"/>
      <w:b/>
      <w:color w:val="000000"/>
      <w:spacing w:val="38"/>
      <w:kern w:val="10"/>
      <w:sz w:val="28"/>
    </w:rPr>
  </w:style>
  <w:style w:type="paragraph" w:customStyle="1" w:styleId="349">
    <w:name w:val="标题三"/>
    <w:basedOn w:val="1"/>
    <w:next w:val="307"/>
    <w:autoRedefine/>
    <w:qFormat/>
    <w:uiPriority w:val="0"/>
    <w:pPr>
      <w:tabs>
        <w:tab w:val="left" w:pos="1080"/>
      </w:tabs>
      <w:autoSpaceDE w:val="0"/>
      <w:autoSpaceDN w:val="0"/>
      <w:adjustRightInd w:val="0"/>
      <w:spacing w:line="360" w:lineRule="auto"/>
      <w:ind w:left="432" w:hanging="432"/>
    </w:pPr>
    <w:rPr>
      <w:rFonts w:ascii="幼圆" w:eastAsia="幼圆"/>
      <w:b/>
      <w:color w:val="000000"/>
      <w:spacing w:val="34"/>
      <w:kern w:val="10"/>
      <w:sz w:val="24"/>
    </w:rPr>
  </w:style>
  <w:style w:type="paragraph" w:customStyle="1" w:styleId="350">
    <w:name w:val="l18"/>
    <w:basedOn w:val="1"/>
    <w:autoRedefine/>
    <w:qFormat/>
    <w:uiPriority w:val="0"/>
    <w:pPr>
      <w:widowControl/>
      <w:spacing w:before="30" w:after="100" w:line="270" w:lineRule="atLeast"/>
      <w:ind w:left="90"/>
      <w:jc w:val="left"/>
    </w:pPr>
    <w:rPr>
      <w:rFonts w:ascii="Arial" w:hAnsi="Arial"/>
      <w:color w:val="000000"/>
      <w:kern w:val="0"/>
      <w:sz w:val="18"/>
    </w:rPr>
  </w:style>
  <w:style w:type="paragraph" w:customStyle="1" w:styleId="351">
    <w:name w:val="模板普通正文"/>
    <w:basedOn w:val="32"/>
    <w:autoRedefine/>
    <w:qFormat/>
    <w:uiPriority w:val="0"/>
    <w:pPr>
      <w:spacing w:beforeLines="50" w:after="10" w:line="360" w:lineRule="auto"/>
      <w:ind w:left="0" w:leftChars="0" w:firstLine="490" w:firstLineChars="175"/>
      <w:jc w:val="left"/>
    </w:pPr>
    <w:rPr>
      <w:sz w:val="24"/>
    </w:rPr>
  </w:style>
  <w:style w:type="paragraph" w:customStyle="1" w:styleId="352">
    <w:name w:val="样式 标题 3Level 3 HeadH3level_3PIM 3h33l3CTBOD 0sect1.2.3...1"/>
    <w:basedOn w:val="6"/>
    <w:autoRedefine/>
    <w:qFormat/>
    <w:uiPriority w:val="0"/>
    <w:pPr>
      <w:tabs>
        <w:tab w:val="left" w:pos="851"/>
      </w:tabs>
      <w:spacing w:before="0" w:after="0" w:line="360" w:lineRule="auto"/>
      <w:ind w:left="2100" w:hanging="420"/>
      <w:outlineLvl w:val="3"/>
    </w:pPr>
    <w:rPr>
      <w:rFonts w:ascii="宋体" w:hAnsi="宋体"/>
      <w:bCs w:val="0"/>
      <w:sz w:val="24"/>
      <w:szCs w:val="20"/>
    </w:rPr>
  </w:style>
  <w:style w:type="paragraph" w:customStyle="1" w:styleId="353">
    <w:name w:val="Footnote Base"/>
    <w:basedOn w:val="1"/>
    <w:autoRedefine/>
    <w:qFormat/>
    <w:uiPriority w:val="0"/>
    <w:pPr>
      <w:keepLines/>
      <w:widowControl/>
      <w:spacing w:line="200" w:lineRule="atLeast"/>
      <w:ind w:left="1080"/>
      <w:jc w:val="left"/>
    </w:pPr>
    <w:rPr>
      <w:rFonts w:ascii="Arial" w:hAnsi="Arial" w:eastAsia="仿宋体"/>
      <w:smallCaps/>
      <w:spacing w:val="-5"/>
      <w:kern w:val="0"/>
      <w:sz w:val="16"/>
      <w:lang w:eastAsia="en-US"/>
    </w:rPr>
  </w:style>
  <w:style w:type="paragraph" w:customStyle="1" w:styleId="354">
    <w:name w:val="表格1"/>
    <w:basedOn w:val="1"/>
    <w:autoRedefine/>
    <w:qFormat/>
    <w:uiPriority w:val="0"/>
    <w:pPr>
      <w:spacing w:line="360" w:lineRule="auto"/>
      <w:ind w:firstLine="480" w:firstLineChars="200"/>
    </w:pPr>
    <w:rPr>
      <w:rFonts w:ascii="宋体" w:hAnsi="宋体"/>
      <w:sz w:val="24"/>
      <w:szCs w:val="24"/>
    </w:rPr>
  </w:style>
  <w:style w:type="paragraph" w:customStyle="1" w:styleId="355">
    <w:name w:val="newtext"/>
    <w:basedOn w:val="1"/>
    <w:autoRedefine/>
    <w:qFormat/>
    <w:uiPriority w:val="0"/>
    <w:pPr>
      <w:widowControl/>
      <w:spacing w:before="100" w:beforeAutospacing="1" w:after="100" w:afterAutospacing="1" w:line="480" w:lineRule="atLeast"/>
      <w:jc w:val="left"/>
    </w:pPr>
    <w:rPr>
      <w:rFonts w:ascii="Arial Unicode MS" w:hAnsi="Arial Unicode MS"/>
      <w:kern w:val="0"/>
      <w:sz w:val="28"/>
    </w:rPr>
  </w:style>
  <w:style w:type="paragraph" w:customStyle="1" w:styleId="356">
    <w:name w:val="CM11"/>
    <w:basedOn w:val="252"/>
    <w:next w:val="252"/>
    <w:autoRedefine/>
    <w:qFormat/>
    <w:uiPriority w:val="0"/>
    <w:pPr>
      <w:autoSpaceDE w:val="0"/>
      <w:autoSpaceDN w:val="0"/>
      <w:adjustRightInd w:val="0"/>
      <w:spacing w:line="300" w:lineRule="atLeast"/>
    </w:pPr>
    <w:rPr>
      <w:rFonts w:ascii="Arial Black" w:hAnsi="Arial Black" w:eastAsia="宋体"/>
      <w:color w:val="auto"/>
      <w:sz w:val="20"/>
      <w:lang w:eastAsia="zh-CN"/>
    </w:rPr>
  </w:style>
  <w:style w:type="paragraph" w:customStyle="1" w:styleId="357">
    <w:name w:val="字元 字元"/>
    <w:basedOn w:val="1"/>
    <w:autoRedefine/>
    <w:qFormat/>
    <w:uiPriority w:val="0"/>
  </w:style>
  <w:style w:type="paragraph" w:customStyle="1" w:styleId="358">
    <w:name w:val="Char Char1 Char"/>
    <w:basedOn w:val="1"/>
    <w:autoRedefine/>
    <w:qFormat/>
    <w:uiPriority w:val="0"/>
  </w:style>
  <w:style w:type="paragraph" w:customStyle="1" w:styleId="359">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60">
    <w:name w:val="批注主题1"/>
    <w:basedOn w:val="26"/>
    <w:next w:val="26"/>
    <w:autoRedefine/>
    <w:qFormat/>
    <w:uiPriority w:val="0"/>
    <w:rPr>
      <w:b/>
      <w:bCs/>
      <w:sz w:val="18"/>
      <w:szCs w:val="18"/>
    </w:rPr>
  </w:style>
  <w:style w:type="paragraph" w:customStyle="1" w:styleId="361">
    <w:name w:val="Char Char1 Char Char Char Char Char Char Char Char Char Char Char Char Char Char Char Char Char Char Char Char"/>
    <w:basedOn w:val="1"/>
    <w:autoRedefine/>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362">
    <w:name w:val="B标题3"/>
    <w:basedOn w:val="1"/>
    <w:autoRedefine/>
    <w:qFormat/>
    <w:uiPriority w:val="0"/>
    <w:pPr>
      <w:spacing w:before="120" w:after="240" w:line="400" w:lineRule="exact"/>
      <w:ind w:firstLine="200" w:firstLineChars="200"/>
      <w:outlineLvl w:val="2"/>
    </w:pPr>
    <w:rPr>
      <w:rFonts w:ascii="楷体_GB2312" w:hAnsi="宋体" w:eastAsia="黑体"/>
      <w:b/>
      <w:sz w:val="24"/>
    </w:rPr>
  </w:style>
  <w:style w:type="paragraph" w:customStyle="1" w:styleId="363">
    <w:name w:val="标记1"/>
    <w:basedOn w:val="1"/>
    <w:autoRedefine/>
    <w:qFormat/>
    <w:uiPriority w:val="0"/>
    <w:pPr>
      <w:spacing w:beforeLines="50" w:afterLines="50" w:line="360" w:lineRule="auto"/>
    </w:pPr>
    <w:rPr>
      <w:b/>
      <w:bCs/>
      <w:sz w:val="24"/>
      <w:szCs w:val="24"/>
    </w:rPr>
  </w:style>
  <w:style w:type="paragraph" w:customStyle="1" w:styleId="364">
    <w:name w:val="Char Char6 Char Char"/>
    <w:basedOn w:val="24"/>
    <w:autoRedefine/>
    <w:qFormat/>
    <w:uiPriority w:val="0"/>
    <w:rPr>
      <w:rFonts w:ascii="宋体" w:hAnsi="宋体"/>
      <w:b/>
      <w:sz w:val="24"/>
      <w:shd w:val="clear" w:color="auto" w:fill="auto"/>
    </w:rPr>
  </w:style>
  <w:style w:type="paragraph" w:customStyle="1" w:styleId="365">
    <w:name w:val="样式1"/>
    <w:basedOn w:val="50"/>
    <w:autoRedefine/>
    <w:qFormat/>
    <w:uiPriority w:val="0"/>
    <w:rPr>
      <w:rFonts w:ascii="Calibri" w:hAnsi="Calibri"/>
    </w:rPr>
  </w:style>
  <w:style w:type="paragraph" w:customStyle="1" w:styleId="366">
    <w:name w:val="德标正文"/>
    <w:autoRedefine/>
    <w:qFormat/>
    <w:uiPriority w:val="0"/>
    <w:pPr>
      <w:autoSpaceDE w:val="0"/>
      <w:autoSpaceDN w:val="0"/>
      <w:adjustRightInd w:val="0"/>
      <w:snapToGrid w:val="0"/>
      <w:spacing w:before="40" w:after="40" w:line="312" w:lineRule="auto"/>
      <w:ind w:left="1134"/>
    </w:pPr>
    <w:rPr>
      <w:rFonts w:ascii="Times New Roman" w:hAnsi="Times New Roman" w:eastAsia="宋体" w:cs="Times New Roman"/>
      <w:snapToGrid w:val="0"/>
      <w:sz w:val="18"/>
      <w:lang w:val="en-US" w:eastAsia="zh-CN" w:bidi="ar-SA"/>
    </w:rPr>
  </w:style>
  <w:style w:type="paragraph" w:customStyle="1" w:styleId="367">
    <w:name w:val="CM5"/>
    <w:basedOn w:val="252"/>
    <w:next w:val="252"/>
    <w:autoRedefine/>
    <w:qFormat/>
    <w:uiPriority w:val="0"/>
    <w:pPr>
      <w:autoSpaceDE w:val="0"/>
      <w:autoSpaceDN w:val="0"/>
      <w:adjustRightInd w:val="0"/>
    </w:pPr>
    <w:rPr>
      <w:rFonts w:ascii="HYDaHeiJ" w:eastAsia="HYDaHeiJ"/>
      <w:color w:val="auto"/>
      <w:lang w:eastAsia="zh-CN"/>
    </w:rPr>
  </w:style>
  <w:style w:type="paragraph" w:customStyle="1" w:styleId="368">
    <w:name w:val="00"/>
    <w:basedOn w:val="1"/>
    <w:autoRedefine/>
    <w:qFormat/>
    <w:uiPriority w:val="0"/>
    <w:pPr>
      <w:autoSpaceDE w:val="0"/>
      <w:autoSpaceDN w:val="0"/>
      <w:adjustRightInd w:val="0"/>
      <w:jc w:val="left"/>
    </w:pPr>
    <w:rPr>
      <w:rFonts w:ascii="黑体" w:eastAsia="黑体"/>
      <w:b/>
      <w:kern w:val="0"/>
      <w:sz w:val="20"/>
    </w:rPr>
  </w:style>
  <w:style w:type="paragraph" w:customStyle="1" w:styleId="369">
    <w:name w:val="间隔正文"/>
    <w:basedOn w:val="1"/>
    <w:autoRedefine/>
    <w:qFormat/>
    <w:uiPriority w:val="0"/>
    <w:pPr>
      <w:adjustRightInd w:val="0"/>
      <w:spacing w:before="40" w:after="120" w:line="360" w:lineRule="atLeast"/>
      <w:jc w:val="left"/>
      <w:textAlignment w:val="baseline"/>
    </w:pPr>
    <w:rPr>
      <w:kern w:val="0"/>
      <w:sz w:val="24"/>
    </w:rPr>
  </w:style>
  <w:style w:type="paragraph" w:customStyle="1" w:styleId="370">
    <w:name w:val="正文首行缩进:  2 字符"/>
    <w:basedOn w:val="31"/>
    <w:autoRedefine/>
    <w:qFormat/>
    <w:uiPriority w:val="0"/>
    <w:pPr>
      <w:spacing w:after="0" w:line="360" w:lineRule="auto"/>
      <w:ind w:firstLine="480" w:firstLineChars="200"/>
      <w:jc w:val="left"/>
    </w:pPr>
    <w:rPr>
      <w:rFonts w:ascii="Arial" w:hAnsi="Arial"/>
      <w:sz w:val="24"/>
    </w:rPr>
  </w:style>
  <w:style w:type="paragraph" w:customStyle="1" w:styleId="371">
    <w:name w:val="样式 正文首行缩进 2 + 首行缩进:  2 字符 行距: 1.5 倍行距 左  0 字符"/>
    <w:basedOn w:val="73"/>
    <w:autoRedefine/>
    <w:qFormat/>
    <w:uiPriority w:val="0"/>
    <w:pPr>
      <w:spacing w:line="360" w:lineRule="auto"/>
      <w:ind w:left="0" w:leftChars="0" w:firstLine="480"/>
    </w:pPr>
    <w:rPr>
      <w:rFonts w:ascii="宋体" w:hAnsi="宋体" w:cs="宋体"/>
      <w:sz w:val="24"/>
    </w:rPr>
  </w:style>
  <w:style w:type="paragraph" w:customStyle="1" w:styleId="372">
    <w:name w:val="正文段"/>
    <w:basedOn w:val="1"/>
    <w:autoRedefine/>
    <w:qFormat/>
    <w:uiPriority w:val="0"/>
    <w:pPr>
      <w:widowControl/>
      <w:adjustRightInd w:val="0"/>
      <w:spacing w:after="240" w:line="360" w:lineRule="atLeast"/>
      <w:ind w:firstLine="454"/>
      <w:textAlignment w:val="bottom"/>
    </w:pPr>
    <w:rPr>
      <w:rFonts w:ascii="宋体"/>
      <w:kern w:val="0"/>
      <w:sz w:val="24"/>
    </w:rPr>
  </w:style>
  <w:style w:type="paragraph" w:customStyle="1" w:styleId="373">
    <w:name w:val="样式 标题 2h2l22nd level2Header 2Titre2Head 2H2sect 1.2H21..."/>
    <w:basedOn w:val="5"/>
    <w:autoRedefine/>
    <w:qFormat/>
    <w:uiPriority w:val="0"/>
    <w:pPr>
      <w:keepLines w:val="0"/>
      <w:widowControl/>
      <w:tabs>
        <w:tab w:val="left" w:pos="576"/>
      </w:tabs>
      <w:overflowPunct w:val="0"/>
      <w:spacing w:before="480" w:after="480" w:line="460" w:lineRule="atLeast"/>
      <w:ind w:left="576" w:hanging="576"/>
      <w:jc w:val="left"/>
    </w:pPr>
    <w:rPr>
      <w:rFonts w:ascii="宋体" w:hAnsi="宋体" w:eastAsia="宋体" w:cs="宋体"/>
      <w:kern w:val="0"/>
    </w:rPr>
  </w:style>
  <w:style w:type="paragraph" w:customStyle="1" w:styleId="374">
    <w:name w:val="style3"/>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375">
    <w:name w:val="v15"/>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376">
    <w:name w:val="正文（首行缩进2字符）"/>
    <w:basedOn w:val="1"/>
    <w:autoRedefine/>
    <w:qFormat/>
    <w:uiPriority w:val="0"/>
    <w:pPr>
      <w:spacing w:line="360" w:lineRule="auto"/>
      <w:ind w:firstLine="480" w:firstLineChars="200"/>
    </w:pPr>
    <w:rPr>
      <w:sz w:val="24"/>
    </w:rPr>
  </w:style>
  <w:style w:type="paragraph" w:customStyle="1" w:styleId="377">
    <w:name w:val="列出段落1"/>
    <w:basedOn w:val="1"/>
    <w:autoRedefine/>
    <w:qFormat/>
    <w:uiPriority w:val="0"/>
    <w:pPr>
      <w:ind w:firstLine="420" w:firstLineChars="200"/>
    </w:pPr>
    <w:rPr>
      <w:szCs w:val="22"/>
    </w:rPr>
  </w:style>
  <w:style w:type="paragraph" w:customStyle="1" w:styleId="378">
    <w:name w:val="关注类型"/>
    <w:basedOn w:val="7"/>
    <w:autoRedefine/>
    <w:qFormat/>
    <w:uiPriority w:val="0"/>
    <w:pPr>
      <w:widowControl/>
      <w:tabs>
        <w:tab w:val="left" w:pos="1571"/>
      </w:tabs>
      <w:snapToGrid/>
      <w:spacing w:before="240" w:after="120"/>
      <w:ind w:left="720" w:hanging="720"/>
      <w:jc w:val="both"/>
      <w:textAlignment w:val="baseline"/>
    </w:pPr>
    <w:rPr>
      <w:rFonts w:ascii="Arial" w:hAnsi="Arial" w:eastAsia="黑体"/>
      <w:color w:val="auto"/>
      <w:szCs w:val="20"/>
    </w:rPr>
  </w:style>
  <w:style w:type="paragraph" w:customStyle="1" w:styleId="379">
    <w:name w:val="ººÒéÏ¸µÈÏß¼ò8"/>
    <w:autoRedefine/>
    <w:qFormat/>
    <w:uiPriority w:val="0"/>
    <w:pPr>
      <w:widowControl w:val="0"/>
      <w:overflowPunct w:val="0"/>
      <w:autoSpaceDE w:val="0"/>
      <w:autoSpaceDN w:val="0"/>
      <w:adjustRightInd w:val="0"/>
      <w:spacing w:line="260" w:lineRule="atLeast"/>
      <w:jc w:val="both"/>
      <w:textAlignment w:val="baseline"/>
    </w:pPr>
    <w:rPr>
      <w:rFonts w:ascii="汉仪细等线简" w:hAnsi="Times New Roman" w:eastAsia="汉仪细等线简" w:cs="Times New Roman"/>
      <w:color w:val="000000"/>
      <w:sz w:val="16"/>
      <w:lang w:val="en-US" w:eastAsia="zh-CN" w:bidi="ar-SA"/>
    </w:rPr>
  </w:style>
  <w:style w:type="paragraph" w:customStyle="1" w:styleId="380">
    <w:name w:val="标题 4 + 小四"/>
    <w:basedOn w:val="6"/>
    <w:autoRedefine/>
    <w:qFormat/>
    <w:uiPriority w:val="0"/>
    <w:pPr>
      <w:ind w:left="141" w:hanging="425"/>
    </w:pPr>
    <w:rPr>
      <w:sz w:val="24"/>
    </w:rPr>
  </w:style>
  <w:style w:type="paragraph" w:customStyle="1" w:styleId="381">
    <w:name w:val="标题2级"/>
    <w:basedOn w:val="3"/>
    <w:autoRedefine/>
    <w:qFormat/>
    <w:uiPriority w:val="0"/>
    <w:pPr>
      <w:widowControl/>
      <w:tabs>
        <w:tab w:val="left" w:pos="360"/>
        <w:tab w:val="left" w:pos="4057"/>
      </w:tabs>
      <w:spacing w:before="0" w:after="0" w:line="440" w:lineRule="exact"/>
      <w:ind w:left="360" w:hanging="360"/>
      <w:jc w:val="left"/>
      <w:outlineLvl w:val="1"/>
    </w:pPr>
    <w:rPr>
      <w:rFonts w:ascii="宋体" w:hAnsi="宋体"/>
      <w:b w:val="0"/>
      <w:bCs w:val="0"/>
      <w:sz w:val="32"/>
      <w:szCs w:val="20"/>
    </w:rPr>
  </w:style>
  <w:style w:type="paragraph" w:customStyle="1" w:styleId="382">
    <w:name w:val="xl116"/>
    <w:basedOn w:val="1"/>
    <w:autoRedefine/>
    <w:qFormat/>
    <w:uiPriority w:val="0"/>
    <w:pPr>
      <w:widowControl/>
      <w:pBdr>
        <w:top w:val="single" w:color="auto" w:sz="4" w:space="0"/>
        <w:left w:val="single" w:color="auto" w:sz="4" w:space="0"/>
        <w:bottom w:val="single" w:color="auto" w:sz="4" w:space="0"/>
      </w:pBdr>
      <w:shd w:val="pct10" w:color="000000" w:fill="33CCCC"/>
      <w:spacing w:before="100" w:beforeAutospacing="1" w:after="100" w:afterAutospacing="1"/>
      <w:jc w:val="center"/>
      <w:textAlignment w:val="center"/>
    </w:pPr>
    <w:rPr>
      <w:rFonts w:ascii="黑体" w:hAnsi="宋体" w:eastAsia="黑体" w:cs="宋体"/>
      <w:b/>
      <w:bCs/>
      <w:kern w:val="0"/>
      <w:sz w:val="24"/>
      <w:szCs w:val="24"/>
    </w:rPr>
  </w:style>
  <w:style w:type="paragraph" w:customStyle="1" w:styleId="383">
    <w:name w:val="xl106"/>
    <w:basedOn w:val="1"/>
    <w:autoRedefine/>
    <w:qFormat/>
    <w:uiPriority w:val="0"/>
    <w:pPr>
      <w:widowControl/>
      <w:pBdr>
        <w:left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0"/>
    </w:rPr>
  </w:style>
  <w:style w:type="paragraph" w:customStyle="1" w:styleId="384">
    <w:name w:val="xl84"/>
    <w:basedOn w:val="1"/>
    <w:autoRedefine/>
    <w:qFormat/>
    <w:uiPriority w:val="0"/>
    <w:pPr>
      <w:widowControl/>
      <w:pBdr>
        <w:top w:val="single" w:color="auto" w:sz="4" w:space="0"/>
        <w:bottom w:val="single" w:color="auto" w:sz="4" w:space="0"/>
        <w:right w:val="single" w:color="auto" w:sz="4" w:space="0"/>
      </w:pBdr>
      <w:shd w:val="clear" w:color="auto" w:fill="CCFFFF"/>
      <w:spacing w:before="100" w:beforeAutospacing="1" w:after="100" w:afterAutospacing="1"/>
      <w:jc w:val="center"/>
      <w:textAlignment w:val="center"/>
    </w:pPr>
    <w:rPr>
      <w:rFonts w:ascii="黑体" w:hAnsi="宋体" w:eastAsia="黑体" w:cs="宋体"/>
      <w:b/>
      <w:bCs/>
      <w:kern w:val="0"/>
      <w:sz w:val="22"/>
      <w:szCs w:val="22"/>
    </w:rPr>
  </w:style>
  <w:style w:type="paragraph" w:customStyle="1" w:styleId="385">
    <w:name w:val="Header Base"/>
    <w:basedOn w:val="1"/>
    <w:autoRedefine/>
    <w:qFormat/>
    <w:uiPriority w:val="0"/>
    <w:pPr>
      <w:keepLines/>
      <w:tabs>
        <w:tab w:val="center" w:pos="4320"/>
        <w:tab w:val="right" w:pos="8640"/>
      </w:tabs>
      <w:snapToGrid w:val="0"/>
      <w:spacing w:before="120" w:after="120" w:line="360" w:lineRule="auto"/>
    </w:pPr>
    <w:rPr>
      <w:rFonts w:ascii="Arial" w:hAnsi="Arial"/>
      <w:spacing w:val="-4"/>
      <w:kern w:val="0"/>
    </w:rPr>
  </w:style>
  <w:style w:type="paragraph" w:customStyle="1" w:styleId="386">
    <w:name w:val="表格题注"/>
    <w:next w:val="1"/>
    <w:autoRedefine/>
    <w:qFormat/>
    <w:uiPriority w:val="0"/>
    <w:pPr>
      <w:keepLines/>
      <w:tabs>
        <w:tab w:val="left" w:pos="3780"/>
      </w:tabs>
      <w:spacing w:beforeLines="100"/>
      <w:ind w:left="1089" w:hanging="369"/>
      <w:jc w:val="center"/>
    </w:pPr>
    <w:rPr>
      <w:rFonts w:ascii="Arial" w:hAnsi="Arial" w:eastAsia="宋体" w:cs="Times New Roman"/>
      <w:sz w:val="18"/>
      <w:lang w:val="en-US" w:eastAsia="zh-CN" w:bidi="ar-SA"/>
    </w:rPr>
  </w:style>
  <w:style w:type="paragraph" w:customStyle="1" w:styleId="387">
    <w:name w:val="默认段落字体 Para Char Char Char Char Char Char Char Char Char Char Char Char Char Char Char Char Char Char Char"/>
    <w:basedOn w:val="1"/>
    <w:autoRedefine/>
    <w:qFormat/>
    <w:uiPriority w:val="0"/>
    <w:rPr>
      <w:rFonts w:ascii="Tahoma" w:hAnsi="Tahoma"/>
      <w:sz w:val="24"/>
    </w:rPr>
  </w:style>
  <w:style w:type="paragraph" w:customStyle="1" w:styleId="388">
    <w:name w:val="snr"/>
    <w:basedOn w:val="1"/>
    <w:autoRedefine/>
    <w:qFormat/>
    <w:uiPriority w:val="0"/>
    <w:pPr>
      <w:widowControl/>
      <w:spacing w:before="100" w:beforeAutospacing="1" w:after="100" w:afterAutospacing="1" w:line="360" w:lineRule="atLeast"/>
      <w:jc w:val="left"/>
    </w:pPr>
    <w:rPr>
      <w:rFonts w:ascii="宋体" w:hAnsi="宋体" w:cs="宋体"/>
      <w:color w:val="000000"/>
      <w:kern w:val="0"/>
      <w:sz w:val="24"/>
      <w:szCs w:val="24"/>
    </w:rPr>
  </w:style>
  <w:style w:type="paragraph" w:customStyle="1" w:styleId="389">
    <w:name w:val="图形文字"/>
    <w:next w:val="1"/>
    <w:autoRedefine/>
    <w:qFormat/>
    <w:uiPriority w:val="0"/>
    <w:pPr>
      <w:jc w:val="center"/>
    </w:pPr>
    <w:rPr>
      <w:rFonts w:ascii="Times New Roman" w:hAnsi="Times New Roman" w:eastAsia="宋体" w:cs="Times New Roman"/>
      <w:color w:val="000000"/>
      <w:sz w:val="24"/>
      <w:lang w:val="en-US" w:eastAsia="zh-CN" w:bidi="ar-SA"/>
    </w:rPr>
  </w:style>
  <w:style w:type="paragraph" w:customStyle="1" w:styleId="390">
    <w:name w:val="CM146"/>
    <w:basedOn w:val="1"/>
    <w:next w:val="1"/>
    <w:autoRedefine/>
    <w:qFormat/>
    <w:uiPriority w:val="0"/>
    <w:pPr>
      <w:autoSpaceDE w:val="0"/>
      <w:autoSpaceDN w:val="0"/>
      <w:adjustRightInd w:val="0"/>
      <w:spacing w:after="90"/>
      <w:jc w:val="left"/>
    </w:pPr>
    <w:rPr>
      <w:rFonts w:ascii="EPKJJF+DFPHeiW5" w:eastAsia="EPKJJF+DFPHeiW5"/>
      <w:kern w:val="0"/>
      <w:sz w:val="24"/>
    </w:rPr>
  </w:style>
  <w:style w:type="paragraph" w:customStyle="1" w:styleId="391">
    <w:name w:val="样式 标题 2H2H3 + 四号"/>
    <w:basedOn w:val="5"/>
    <w:autoRedefine/>
    <w:qFormat/>
    <w:uiPriority w:val="0"/>
    <w:pPr>
      <w:adjustRightInd w:val="0"/>
      <w:spacing w:before="120" w:after="120" w:line="540" w:lineRule="auto"/>
      <w:textAlignment w:val="baseline"/>
    </w:pPr>
    <w:rPr>
      <w:rFonts w:ascii="宋体" w:hAnsi="宋体" w:eastAsia="宋体"/>
      <w:iCs/>
      <w:sz w:val="72"/>
      <w:szCs w:val="72"/>
      <w:u w:val="single"/>
    </w:rPr>
  </w:style>
  <w:style w:type="paragraph" w:customStyle="1" w:styleId="392">
    <w:name w:val="Char Char Char Char Char Char Char"/>
    <w:basedOn w:val="1"/>
    <w:autoRedefine/>
    <w:qFormat/>
    <w:uiPriority w:val="0"/>
    <w:pPr>
      <w:widowControl/>
      <w:spacing w:after="160" w:line="240" w:lineRule="exact"/>
      <w:jc w:val="left"/>
    </w:pPr>
    <w:rPr>
      <w:rFonts w:ascii="Verdana" w:hAnsi="Verdana"/>
      <w:kern w:val="0"/>
      <w:lang w:eastAsia="en-US"/>
    </w:rPr>
  </w:style>
  <w:style w:type="paragraph" w:customStyle="1" w:styleId="393">
    <w:name w:val="red_txt_style"/>
    <w:basedOn w:val="1"/>
    <w:autoRedefine/>
    <w:qFormat/>
    <w:uiPriority w:val="0"/>
    <w:pPr>
      <w:widowControl/>
      <w:spacing w:before="120" w:after="120"/>
      <w:jc w:val="left"/>
    </w:pPr>
    <w:rPr>
      <w:rFonts w:ascii="宋体" w:hAnsi="宋体" w:cs="宋体"/>
      <w:kern w:val="0"/>
      <w:sz w:val="24"/>
      <w:szCs w:val="24"/>
    </w:rPr>
  </w:style>
  <w:style w:type="paragraph" w:customStyle="1" w:styleId="394">
    <w:name w:val="font11"/>
    <w:basedOn w:val="1"/>
    <w:autoRedefine/>
    <w:qFormat/>
    <w:uiPriority w:val="0"/>
    <w:pPr>
      <w:widowControl/>
      <w:spacing w:before="100" w:beforeAutospacing="1" w:after="100" w:afterAutospacing="1"/>
      <w:jc w:val="left"/>
    </w:pPr>
    <w:rPr>
      <w:rFonts w:hint="eastAsia" w:ascii="宋体" w:hAnsi="宋体"/>
      <w:b/>
      <w:color w:val="0000FF"/>
      <w:kern w:val="0"/>
      <w:sz w:val="28"/>
    </w:rPr>
  </w:style>
  <w:style w:type="paragraph" w:customStyle="1" w:styleId="395">
    <w:name w:val="Style3"/>
    <w:basedOn w:val="40"/>
    <w:autoRedefine/>
    <w:qFormat/>
    <w:uiPriority w:val="0"/>
    <w:pPr>
      <w:spacing w:line="480" w:lineRule="auto"/>
      <w:jc w:val="left"/>
    </w:pPr>
    <w:rPr>
      <w:rFonts w:eastAsia="Arial"/>
      <w:b/>
    </w:rPr>
  </w:style>
  <w:style w:type="paragraph" w:customStyle="1" w:styleId="396">
    <w:name w:val="CM10"/>
    <w:basedOn w:val="252"/>
    <w:next w:val="252"/>
    <w:autoRedefine/>
    <w:qFormat/>
    <w:uiPriority w:val="0"/>
    <w:pPr>
      <w:autoSpaceDE w:val="0"/>
      <w:autoSpaceDN w:val="0"/>
      <w:adjustRightInd w:val="0"/>
      <w:spacing w:line="300" w:lineRule="atLeast"/>
    </w:pPr>
    <w:rPr>
      <w:rFonts w:ascii="Arial Black" w:hAnsi="Arial Black" w:eastAsia="宋体"/>
      <w:color w:val="auto"/>
      <w:sz w:val="20"/>
      <w:lang w:eastAsia="zh-CN"/>
    </w:rPr>
  </w:style>
  <w:style w:type="paragraph" w:customStyle="1" w:styleId="397">
    <w:name w:val="CM24"/>
    <w:basedOn w:val="252"/>
    <w:next w:val="252"/>
    <w:autoRedefine/>
    <w:qFormat/>
    <w:uiPriority w:val="0"/>
    <w:pPr>
      <w:autoSpaceDE w:val="0"/>
      <w:autoSpaceDN w:val="0"/>
      <w:adjustRightInd w:val="0"/>
      <w:spacing w:after="335"/>
    </w:pPr>
    <w:rPr>
      <w:rFonts w:ascii="HYDaHeiJ" w:eastAsia="HYDaHeiJ"/>
      <w:color w:val="auto"/>
      <w:lang w:eastAsia="zh-CN"/>
    </w:rPr>
  </w:style>
  <w:style w:type="paragraph" w:customStyle="1" w:styleId="398">
    <w:name w:val="标题3级"/>
    <w:basedOn w:val="3"/>
    <w:autoRedefine/>
    <w:qFormat/>
    <w:uiPriority w:val="0"/>
    <w:pPr>
      <w:widowControl/>
      <w:spacing w:before="0" w:after="0" w:line="440" w:lineRule="exact"/>
      <w:jc w:val="left"/>
      <w:outlineLvl w:val="2"/>
    </w:pPr>
    <w:rPr>
      <w:rFonts w:ascii="宋体"/>
      <w:b w:val="0"/>
      <w:bCs w:val="0"/>
      <w:sz w:val="32"/>
      <w:szCs w:val="20"/>
    </w:rPr>
  </w:style>
  <w:style w:type="paragraph" w:customStyle="1" w:styleId="399">
    <w:name w:val="Item List"/>
    <w:basedOn w:val="1"/>
    <w:autoRedefine/>
    <w:qFormat/>
    <w:uiPriority w:val="0"/>
    <w:pPr>
      <w:tabs>
        <w:tab w:val="left" w:pos="420"/>
      </w:tabs>
      <w:snapToGrid w:val="0"/>
      <w:spacing w:afterLines="50"/>
      <w:ind w:left="1701" w:hanging="567"/>
      <w:jc w:val="left"/>
    </w:pPr>
    <w:rPr>
      <w:szCs w:val="24"/>
    </w:rPr>
  </w:style>
  <w:style w:type="paragraph" w:customStyle="1" w:styleId="400">
    <w:name w:val="Char Char5 Char"/>
    <w:basedOn w:val="1"/>
    <w:autoRedefine/>
    <w:qFormat/>
    <w:uiPriority w:val="0"/>
    <w:rPr>
      <w:rFonts w:ascii="仿宋_GB2312" w:eastAsia="仿宋_GB2312"/>
      <w:sz w:val="24"/>
    </w:rPr>
  </w:style>
  <w:style w:type="paragraph" w:customStyle="1" w:styleId="401">
    <w:name w:val="xl110"/>
    <w:basedOn w:val="1"/>
    <w:autoRedefine/>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402">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szCs w:val="24"/>
    </w:rPr>
  </w:style>
  <w:style w:type="paragraph" w:customStyle="1" w:styleId="403">
    <w:name w:val="z-窗体顶端1"/>
    <w:basedOn w:val="1"/>
    <w:next w:val="1"/>
    <w:autoRedefine/>
    <w:qFormat/>
    <w:uiPriority w:val="0"/>
    <w:pPr>
      <w:widowControl/>
      <w:pBdr>
        <w:bottom w:val="single" w:color="auto" w:sz="6" w:space="1"/>
      </w:pBdr>
      <w:jc w:val="center"/>
    </w:pPr>
    <w:rPr>
      <w:rFonts w:ascii="Arial" w:hAnsi="Arial" w:cs="Arial"/>
      <w:vanish/>
      <w:kern w:val="0"/>
      <w:sz w:val="16"/>
      <w:szCs w:val="16"/>
    </w:rPr>
  </w:style>
  <w:style w:type="paragraph" w:customStyle="1" w:styleId="404">
    <w:name w:val="CM26"/>
    <w:basedOn w:val="252"/>
    <w:next w:val="252"/>
    <w:autoRedefine/>
    <w:qFormat/>
    <w:uiPriority w:val="0"/>
    <w:pPr>
      <w:autoSpaceDE w:val="0"/>
      <w:autoSpaceDN w:val="0"/>
      <w:adjustRightInd w:val="0"/>
      <w:spacing w:after="255"/>
    </w:pPr>
    <w:rPr>
      <w:rFonts w:ascii="HYDaHeiJ" w:eastAsia="HYDaHeiJ"/>
      <w:color w:val="auto"/>
      <w:lang w:eastAsia="zh-CN"/>
    </w:rPr>
  </w:style>
  <w:style w:type="paragraph" w:customStyle="1" w:styleId="405">
    <w:name w:val="Char Char1 Char Char Char Char Char Char Char Char Char Char Char Char Char Char Char Char Char Char Char Char Char Char Char Char Char Char Char Char Char Char Char Char Char Char Char Char Char Char Char"/>
    <w:basedOn w:val="1"/>
    <w:autoRedefine/>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406">
    <w:name w:val="正文表格"/>
    <w:basedOn w:val="1"/>
    <w:autoRedefine/>
    <w:qFormat/>
    <w:uiPriority w:val="0"/>
    <w:pPr>
      <w:adjustRightInd w:val="0"/>
      <w:spacing w:before="40" w:after="40"/>
      <w:textAlignment w:val="baseline"/>
    </w:pPr>
    <w:rPr>
      <w:rFonts w:ascii="宋体" w:hAnsi="宋体"/>
      <w:snapToGrid w:val="0"/>
      <w:kern w:val="0"/>
      <w:sz w:val="24"/>
    </w:rPr>
  </w:style>
  <w:style w:type="paragraph" w:customStyle="1" w:styleId="407">
    <w:name w:val="²úÆ·ÃèÊö"/>
    <w:autoRedefine/>
    <w:qFormat/>
    <w:uiPriority w:val="0"/>
    <w:pPr>
      <w:widowControl w:val="0"/>
      <w:overflowPunct w:val="0"/>
      <w:autoSpaceDE w:val="0"/>
      <w:autoSpaceDN w:val="0"/>
      <w:adjustRightInd w:val="0"/>
      <w:spacing w:line="270" w:lineRule="atLeast"/>
      <w:ind w:firstLine="397"/>
      <w:jc w:val="both"/>
      <w:textAlignment w:val="baseline"/>
    </w:pPr>
    <w:rPr>
      <w:rFonts w:ascii="宋体" w:hAnsi="Times New Roman" w:eastAsia="宋体" w:cs="Times New Roman"/>
      <w:sz w:val="18"/>
      <w:lang w:val="en-US" w:eastAsia="zh-CN" w:bidi="ar-SA"/>
    </w:rPr>
  </w:style>
  <w:style w:type="paragraph" w:customStyle="1" w:styleId="408">
    <w:name w:val="温式正文"/>
    <w:basedOn w:val="1"/>
    <w:autoRedefine/>
    <w:qFormat/>
    <w:uiPriority w:val="0"/>
    <w:rPr>
      <w:rFonts w:eastAsia="隶书"/>
      <w:sz w:val="30"/>
    </w:rPr>
  </w:style>
  <w:style w:type="paragraph" w:customStyle="1" w:styleId="409">
    <w:name w:val="OT_Body_Text Bullet"/>
    <w:basedOn w:val="1"/>
    <w:autoRedefine/>
    <w:qFormat/>
    <w:uiPriority w:val="0"/>
    <w:pPr>
      <w:widowControl/>
      <w:ind w:left="720"/>
    </w:pPr>
    <w:rPr>
      <w:rFonts w:ascii="Arial" w:hAnsi="Arial" w:eastAsia="PMingLiU"/>
      <w:kern w:val="0"/>
      <w:sz w:val="20"/>
      <w:lang w:eastAsia="en-US"/>
    </w:rPr>
  </w:style>
  <w:style w:type="paragraph" w:customStyle="1" w:styleId="410">
    <w:name w:val="表样式"/>
    <w:basedOn w:val="62"/>
    <w:next w:val="1"/>
    <w:autoRedefine/>
    <w:qFormat/>
    <w:uiPriority w:val="0"/>
    <w:pPr>
      <w:widowControl/>
      <w:tabs>
        <w:tab w:val="left" w:pos="420"/>
      </w:tabs>
      <w:ind w:left="420" w:leftChars="0" w:firstLine="0" w:firstLineChars="0"/>
      <w:jc w:val="center"/>
    </w:pPr>
    <w:rPr>
      <w:rFonts w:eastAsia="楷体_GB2312"/>
      <w:caps/>
      <w:smallCaps/>
      <w:szCs w:val="20"/>
    </w:rPr>
  </w:style>
  <w:style w:type="paragraph" w:customStyle="1" w:styleId="411">
    <w:name w:val="表头"/>
    <w:autoRedefine/>
    <w:qFormat/>
    <w:uiPriority w:val="0"/>
    <w:pPr>
      <w:jc w:val="center"/>
    </w:pPr>
    <w:rPr>
      <w:rFonts w:ascii="宋体" w:hAnsi="Times New Roman" w:eastAsia="宋体" w:cs="Times New Roman"/>
      <w:b/>
      <w:kern w:val="2"/>
      <w:lang w:val="en-US" w:eastAsia="zh-CN" w:bidi="ar-SA"/>
    </w:rPr>
  </w:style>
  <w:style w:type="paragraph" w:customStyle="1" w:styleId="412">
    <w:name w:val="Char Char Char Char Char Char Char1 Char"/>
    <w:basedOn w:val="1"/>
    <w:autoRedefine/>
    <w:qFormat/>
    <w:uiPriority w:val="0"/>
    <w:rPr>
      <w:rFonts w:ascii="Tahoma" w:hAnsi="Tahoma"/>
      <w:sz w:val="24"/>
    </w:rPr>
  </w:style>
  <w:style w:type="paragraph" w:customStyle="1" w:styleId="413">
    <w:name w:val="小四 段落 宋体 Char Char"/>
    <w:basedOn w:val="1"/>
    <w:autoRedefine/>
    <w:qFormat/>
    <w:uiPriority w:val="0"/>
    <w:pPr>
      <w:spacing w:line="360" w:lineRule="auto"/>
      <w:ind w:right="-33" w:firstLine="480" w:firstLineChars="200"/>
      <w:jc w:val="left"/>
    </w:pPr>
    <w:rPr>
      <w:sz w:val="24"/>
    </w:rPr>
  </w:style>
  <w:style w:type="paragraph" w:customStyle="1" w:styleId="414">
    <w:name w:val="xl78"/>
    <w:basedOn w:val="1"/>
    <w:autoRedefine/>
    <w:qFormat/>
    <w:uiPriority w:val="0"/>
    <w:pPr>
      <w:widowControl/>
      <w:pBdr>
        <w:bottom w:val="single" w:color="auto" w:sz="8" w:space="0"/>
      </w:pBdr>
      <w:spacing w:before="100" w:beforeAutospacing="1" w:after="100" w:afterAutospacing="1"/>
      <w:jc w:val="center"/>
    </w:pPr>
    <w:rPr>
      <w:b/>
      <w:color w:val="0000FF"/>
      <w:kern w:val="0"/>
      <w:sz w:val="28"/>
    </w:rPr>
  </w:style>
  <w:style w:type="paragraph" w:customStyle="1" w:styleId="415">
    <w:name w:val="Char Char26 Char Char Char Char"/>
    <w:basedOn w:val="1"/>
    <w:autoRedefine/>
    <w:qFormat/>
    <w:uiPriority w:val="0"/>
  </w:style>
  <w:style w:type="paragraph" w:customStyle="1" w:styleId="416">
    <w:name w:val="样式 标题 2H2部分标题Heading 2 HiddenHeading 2 CCBSheading 2Titre3..."/>
    <w:basedOn w:val="5"/>
    <w:autoRedefine/>
    <w:qFormat/>
    <w:uiPriority w:val="0"/>
    <w:pPr>
      <w:tabs>
        <w:tab w:val="left" w:pos="420"/>
      </w:tabs>
      <w:spacing w:line="360" w:lineRule="auto"/>
      <w:ind w:left="420" w:hanging="420"/>
    </w:pPr>
    <w:rPr>
      <w:rFonts w:ascii="宋体" w:hAnsi="宋体" w:eastAsia="宋体"/>
      <w:bCs w:val="0"/>
      <w:sz w:val="24"/>
      <w:szCs w:val="20"/>
    </w:rPr>
  </w:style>
  <w:style w:type="paragraph" w:customStyle="1" w:styleId="417">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kern w:val="0"/>
      <w:sz w:val="20"/>
    </w:rPr>
  </w:style>
  <w:style w:type="paragraph" w:customStyle="1" w:styleId="418">
    <w:name w:val="GCEBStyles0"/>
    <w:basedOn w:val="1"/>
    <w:autoRedefine/>
    <w:qFormat/>
    <w:uiPriority w:val="0"/>
    <w:pPr>
      <w:jc w:val="left"/>
      <w:outlineLvl w:val="0"/>
    </w:pPr>
    <w:rPr>
      <w:rFonts w:ascii="宋体" w:hAnsi="宋体"/>
      <w:b/>
      <w:bCs/>
      <w:kern w:val="0"/>
      <w:sz w:val="44"/>
      <w:szCs w:val="24"/>
    </w:rPr>
  </w:style>
  <w:style w:type="paragraph" w:customStyle="1" w:styleId="419">
    <w:name w:val="样式 标题 1(F2)titre niveau 1Section Headh11st levell1H11H12...2"/>
    <w:basedOn w:val="3"/>
    <w:autoRedefine/>
    <w:qFormat/>
    <w:uiPriority w:val="0"/>
    <w:pPr>
      <w:keepLines w:val="0"/>
      <w:widowControl/>
      <w:snapToGrid w:val="0"/>
      <w:spacing w:beforeLines="50" w:afterLines="100" w:line="360" w:lineRule="auto"/>
      <w:jc w:val="center"/>
    </w:pPr>
    <w:rPr>
      <w:rFonts w:ascii="Arial" w:hAnsi="Arial" w:eastAsia="黑体"/>
      <w:bCs w:val="0"/>
      <w:kern w:val="0"/>
      <w:sz w:val="28"/>
      <w:szCs w:val="20"/>
    </w:rPr>
  </w:style>
  <w:style w:type="paragraph" w:customStyle="1" w:styleId="420">
    <w:name w:val="xl58"/>
    <w:basedOn w:val="1"/>
    <w:autoRedefine/>
    <w:qFormat/>
    <w:uiPriority w:val="0"/>
    <w:pPr>
      <w:widowControl/>
      <w:shd w:val="clear" w:color="auto" w:fill="FFFF00"/>
      <w:spacing w:before="100" w:beforeAutospacing="1" w:after="100" w:afterAutospacing="1"/>
      <w:jc w:val="center"/>
    </w:pPr>
    <w:rPr>
      <w:rFonts w:ascii="宋体" w:hAnsi="宋体"/>
      <w:kern w:val="0"/>
      <w:sz w:val="20"/>
    </w:rPr>
  </w:style>
  <w:style w:type="paragraph" w:customStyle="1" w:styleId="421">
    <w:name w:val="font5"/>
    <w:basedOn w:val="1"/>
    <w:autoRedefine/>
    <w:qFormat/>
    <w:uiPriority w:val="0"/>
    <w:pPr>
      <w:widowControl/>
      <w:spacing w:before="100" w:beforeAutospacing="1" w:after="100" w:afterAutospacing="1"/>
      <w:jc w:val="left"/>
    </w:pPr>
    <w:rPr>
      <w:rFonts w:hint="eastAsia" w:ascii="宋体"/>
      <w:kern w:val="0"/>
      <w:sz w:val="18"/>
      <w:szCs w:val="18"/>
    </w:rPr>
  </w:style>
  <w:style w:type="paragraph" w:customStyle="1" w:styleId="422">
    <w:name w:val="Char1"/>
    <w:basedOn w:val="24"/>
    <w:autoRedefine/>
    <w:qFormat/>
    <w:uiPriority w:val="0"/>
    <w:pPr>
      <w:widowControl/>
      <w:ind w:firstLine="454"/>
      <w:jc w:val="left"/>
    </w:pPr>
    <w:rPr>
      <w:rFonts w:ascii="Tahoma" w:hAnsi="Tahoma" w:cs="宋体"/>
      <w:kern w:val="0"/>
    </w:rPr>
  </w:style>
  <w:style w:type="paragraph" w:customStyle="1" w:styleId="423">
    <w:name w:val="李2"/>
    <w:basedOn w:val="1"/>
    <w:autoRedefine/>
    <w:qFormat/>
    <w:uiPriority w:val="0"/>
    <w:pPr>
      <w:jc w:val="left"/>
    </w:pPr>
    <w:rPr>
      <w:b/>
      <w:sz w:val="28"/>
    </w:rPr>
  </w:style>
  <w:style w:type="paragraph" w:customStyle="1" w:styleId="424">
    <w:name w:val="xl105"/>
    <w:basedOn w:val="1"/>
    <w:autoRedefine/>
    <w:qFormat/>
    <w:uiPriority w:val="0"/>
    <w:pPr>
      <w:widowControl/>
      <w:pBdr>
        <w:top w:val="single" w:color="auto" w:sz="4" w:space="0"/>
        <w:left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0"/>
    </w:rPr>
  </w:style>
  <w:style w:type="paragraph" w:customStyle="1" w:styleId="425">
    <w:name w:val="xl69"/>
    <w:basedOn w:val="1"/>
    <w:autoRedefine/>
    <w:qFormat/>
    <w:uiPriority w:val="0"/>
    <w:pPr>
      <w:widowControl/>
      <w:pBdr>
        <w:top w:val="single" w:color="auto" w:sz="4" w:space="0"/>
        <w:bottom w:val="single" w:color="auto" w:sz="8" w:space="0"/>
        <w:right w:val="single" w:color="auto" w:sz="4" w:space="0"/>
      </w:pBdr>
      <w:shd w:val="clear" w:color="auto" w:fill="FFFF00"/>
      <w:spacing w:before="100" w:beforeAutospacing="1" w:after="100" w:afterAutospacing="1"/>
      <w:jc w:val="left"/>
    </w:pPr>
    <w:rPr>
      <w:rFonts w:ascii="宋体" w:hAnsi="宋体"/>
      <w:kern w:val="0"/>
      <w:sz w:val="20"/>
    </w:rPr>
  </w:style>
  <w:style w:type="paragraph" w:customStyle="1" w:styleId="426">
    <w:name w:val="xl94"/>
    <w:basedOn w:val="1"/>
    <w:autoRedefine/>
    <w:qFormat/>
    <w:uiPriority w:val="0"/>
    <w:pPr>
      <w:widowControl/>
      <w:pBdr>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427">
    <w:name w:val="列出段落11"/>
    <w:basedOn w:val="1"/>
    <w:autoRedefine/>
    <w:qFormat/>
    <w:uiPriority w:val="0"/>
    <w:pPr>
      <w:ind w:firstLine="420" w:firstLineChars="200"/>
    </w:pPr>
    <w:rPr>
      <w:rFonts w:ascii="Calibri" w:hAnsi="Calibri"/>
      <w:kern w:val="0"/>
      <w:sz w:val="20"/>
      <w:szCs w:val="22"/>
    </w:rPr>
  </w:style>
  <w:style w:type="paragraph" w:customStyle="1" w:styleId="428">
    <w:name w:val="xl25"/>
    <w:basedOn w:val="1"/>
    <w:autoRedefine/>
    <w:qFormat/>
    <w:uiPriority w:val="0"/>
    <w:pPr>
      <w:widowControl/>
      <w:pBdr>
        <w:bottom w:val="single" w:color="auto" w:sz="4" w:space="0"/>
        <w:right w:val="single" w:color="auto" w:sz="4" w:space="0"/>
      </w:pBdr>
      <w:spacing w:before="100" w:beforeAutospacing="1" w:after="100" w:afterAutospacing="1"/>
      <w:textAlignment w:val="center"/>
    </w:pPr>
    <w:rPr>
      <w:rFonts w:ascii="Arial Unicode MS" w:hAnsi="Arial Unicode MS" w:eastAsia="Arial Unicode MS"/>
      <w:kern w:val="0"/>
      <w:szCs w:val="21"/>
    </w:rPr>
  </w:style>
  <w:style w:type="paragraph" w:customStyle="1" w:styleId="429">
    <w:name w:val="ad"/>
    <w:basedOn w:val="1"/>
    <w:autoRedefine/>
    <w:qFormat/>
    <w:uiPriority w:val="0"/>
    <w:pPr>
      <w:widowControl/>
      <w:spacing w:before="156" w:after="156" w:line="300" w:lineRule="atLeast"/>
      <w:ind w:left="839" w:hanging="419"/>
      <w:jc w:val="left"/>
    </w:pPr>
    <w:rPr>
      <w:rFonts w:ascii="宋体" w:hAnsi="宋体" w:cs="宋体"/>
      <w:kern w:val="0"/>
      <w:sz w:val="20"/>
    </w:rPr>
  </w:style>
  <w:style w:type="paragraph" w:customStyle="1" w:styleId="430">
    <w:name w:val="正"/>
    <w:basedOn w:val="1"/>
    <w:autoRedefine/>
    <w:qFormat/>
    <w:uiPriority w:val="0"/>
    <w:pPr>
      <w:tabs>
        <w:tab w:val="left" w:pos="-120"/>
      </w:tabs>
      <w:adjustRightInd w:val="0"/>
      <w:spacing w:line="560" w:lineRule="exact"/>
      <w:ind w:firstLine="600"/>
      <w:textAlignment w:val="baseline"/>
    </w:pPr>
    <w:rPr>
      <w:rFonts w:ascii="仿宋_GB2312" w:eastAsia="仿宋_GB2312"/>
      <w:color w:val="000000"/>
      <w:spacing w:val="20"/>
      <w:kern w:val="0"/>
      <w:sz w:val="28"/>
    </w:rPr>
  </w:style>
  <w:style w:type="paragraph" w:customStyle="1" w:styleId="431">
    <w:name w:val="汉仪细等线简9BOLD"/>
    <w:basedOn w:val="1"/>
    <w:autoRedefine/>
    <w:qFormat/>
    <w:uiPriority w:val="0"/>
    <w:pPr>
      <w:autoSpaceDE w:val="0"/>
      <w:autoSpaceDN w:val="0"/>
      <w:adjustRightInd w:val="0"/>
      <w:spacing w:line="240" w:lineRule="atLeast"/>
    </w:pPr>
    <w:rPr>
      <w:rFonts w:ascii="汉仪细等线简" w:eastAsia="汉仪细等线简"/>
      <w:b/>
      <w:kern w:val="0"/>
      <w:sz w:val="18"/>
    </w:rPr>
  </w:style>
  <w:style w:type="paragraph" w:customStyle="1" w:styleId="432">
    <w:name w:val="ListText"/>
    <w:basedOn w:val="31"/>
    <w:autoRedefine/>
    <w:qFormat/>
    <w:uiPriority w:val="0"/>
    <w:pPr>
      <w:autoSpaceDE w:val="0"/>
      <w:autoSpaceDN w:val="0"/>
      <w:adjustRightInd w:val="0"/>
      <w:spacing w:before="60" w:after="60" w:line="360" w:lineRule="auto"/>
      <w:ind w:left="900" w:right="74" w:firstLine="284"/>
      <w:textAlignment w:val="baseline"/>
    </w:pPr>
    <w:rPr>
      <w:rFonts w:ascii="宋体" w:hAnsi="Tms Rmn"/>
      <w:kern w:val="0"/>
      <w:sz w:val="24"/>
    </w:rPr>
  </w:style>
  <w:style w:type="paragraph" w:customStyle="1" w:styleId="433">
    <w:name w:val="xl117"/>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434">
    <w:name w:val="style2"/>
    <w:basedOn w:val="1"/>
    <w:autoRedefine/>
    <w:qFormat/>
    <w:uiPriority w:val="0"/>
    <w:pPr>
      <w:widowControl/>
      <w:spacing w:before="100" w:beforeAutospacing="1" w:after="100" w:afterAutospacing="1"/>
      <w:jc w:val="left"/>
    </w:pPr>
    <w:rPr>
      <w:rFonts w:ascii="宋体" w:hAnsi="宋体" w:cs="宋体"/>
      <w:color w:val="000099"/>
      <w:kern w:val="0"/>
      <w:sz w:val="24"/>
      <w:szCs w:val="24"/>
    </w:rPr>
  </w:style>
  <w:style w:type="paragraph" w:customStyle="1" w:styleId="435">
    <w:name w:val="Body Text Keep"/>
    <w:basedOn w:val="31"/>
    <w:autoRedefine/>
    <w:qFormat/>
    <w:uiPriority w:val="0"/>
    <w:pPr>
      <w:keepNext/>
      <w:widowControl/>
      <w:spacing w:after="240" w:line="240" w:lineRule="atLeast"/>
      <w:ind w:left="1080"/>
    </w:pPr>
    <w:rPr>
      <w:rFonts w:ascii="Arial" w:hAnsi="Arial" w:eastAsia="仿宋体"/>
      <w:smallCaps/>
      <w:spacing w:val="-5"/>
      <w:kern w:val="0"/>
      <w:sz w:val="24"/>
    </w:rPr>
  </w:style>
  <w:style w:type="paragraph" w:customStyle="1" w:styleId="436">
    <w:name w:val="样式2"/>
    <w:basedOn w:val="8"/>
    <w:autoRedefine/>
    <w:qFormat/>
    <w:uiPriority w:val="0"/>
    <w:pPr>
      <w:tabs>
        <w:tab w:val="left" w:pos="907"/>
      </w:tabs>
      <w:adjustRightInd w:val="0"/>
      <w:snapToGrid w:val="0"/>
      <w:spacing w:before="240" w:after="120" w:line="300" w:lineRule="auto"/>
      <w:ind w:left="737" w:hanging="482"/>
    </w:pPr>
    <w:rPr>
      <w:rFonts w:ascii="Arial" w:hAnsi="Arial" w:cs="Arial"/>
      <w:bCs w:val="0"/>
      <w:sz w:val="24"/>
    </w:rPr>
  </w:style>
  <w:style w:type="paragraph" w:customStyle="1" w:styleId="437">
    <w:name w:val="Char Char Char Char Char Char Char Char Char Char Char Char Char Char Char Char"/>
    <w:basedOn w:val="1"/>
    <w:autoRedefine/>
    <w:qFormat/>
    <w:uiPriority w:val="0"/>
    <w:pPr>
      <w:tabs>
        <w:tab w:val="left" w:pos="420"/>
      </w:tabs>
      <w:ind w:left="720" w:hanging="360"/>
    </w:pPr>
    <w:rPr>
      <w:sz w:val="24"/>
    </w:rPr>
  </w:style>
  <w:style w:type="paragraph" w:customStyle="1" w:styleId="438">
    <w:name w:val="段"/>
    <w:autoRedefine/>
    <w:qFormat/>
    <w:uiPriority w:val="0"/>
    <w:pPr>
      <w:widowControl w:val="0"/>
      <w:suppressAutoHyphens/>
      <w:autoSpaceDE w:val="0"/>
      <w:ind w:firstLine="200"/>
      <w:jc w:val="both"/>
    </w:pPr>
    <w:rPr>
      <w:rFonts w:ascii="宋体" w:hAnsi="宋体" w:eastAsia="宋体" w:cs="Times New Roman"/>
      <w:sz w:val="21"/>
      <w:lang w:val="en-US" w:eastAsia="zh-CN" w:bidi="ar-SA"/>
    </w:rPr>
  </w:style>
  <w:style w:type="paragraph" w:customStyle="1" w:styleId="439">
    <w:name w:val="默认段落字体 Para Char"/>
    <w:basedOn w:val="1"/>
    <w:autoRedefine/>
    <w:qFormat/>
    <w:uiPriority w:val="0"/>
    <w:pPr>
      <w:tabs>
        <w:tab w:val="left" w:pos="360"/>
      </w:tabs>
      <w:ind w:left="420" w:hanging="420"/>
    </w:pPr>
    <w:rPr>
      <w:sz w:val="24"/>
      <w:szCs w:val="24"/>
    </w:rPr>
  </w:style>
  <w:style w:type="paragraph" w:customStyle="1" w:styleId="440">
    <w:name w:val="xl37"/>
    <w:basedOn w:val="1"/>
    <w:autoRedefine/>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kern w:val="0"/>
      <w:sz w:val="24"/>
      <w:szCs w:val="24"/>
    </w:rPr>
  </w:style>
  <w:style w:type="paragraph" w:customStyle="1" w:styleId="441">
    <w:name w:val="ººÒÇÏ¸µÈÏß¼ò8BOLD"/>
    <w:basedOn w:val="1"/>
    <w:autoRedefine/>
    <w:qFormat/>
    <w:uiPriority w:val="0"/>
    <w:pPr>
      <w:overflowPunct w:val="0"/>
      <w:autoSpaceDE w:val="0"/>
      <w:autoSpaceDN w:val="0"/>
      <w:adjustRightInd w:val="0"/>
      <w:spacing w:line="240" w:lineRule="atLeast"/>
      <w:textAlignment w:val="baseline"/>
    </w:pPr>
    <w:rPr>
      <w:rFonts w:ascii="汉仪细等线简" w:eastAsia="汉仪细等线简"/>
      <w:b/>
      <w:kern w:val="0"/>
      <w:sz w:val="16"/>
    </w:rPr>
  </w:style>
  <w:style w:type="paragraph" w:customStyle="1" w:styleId="442">
    <w:name w:val="李3"/>
    <w:basedOn w:val="423"/>
    <w:autoRedefine/>
    <w:qFormat/>
    <w:uiPriority w:val="0"/>
    <w:pPr>
      <w:spacing w:line="360" w:lineRule="auto"/>
      <w:outlineLvl w:val="2"/>
    </w:pPr>
    <w:rPr>
      <w:rFonts w:ascii="楷体_GB2312" w:eastAsia="楷体_GB2312"/>
      <w:b w:val="0"/>
      <w:sz w:val="24"/>
    </w:rPr>
  </w:style>
  <w:style w:type="paragraph" w:customStyle="1" w:styleId="443">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0"/>
    </w:rPr>
  </w:style>
  <w:style w:type="paragraph" w:customStyle="1" w:styleId="444">
    <w:name w:val="xl39"/>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445">
    <w:name w:val="样式 标题 3Level 3 HeadH3level_3PIM 3h33l3CTBOD 0sect1.2.3..."/>
    <w:basedOn w:val="6"/>
    <w:autoRedefine/>
    <w:qFormat/>
    <w:uiPriority w:val="0"/>
    <w:pPr>
      <w:tabs>
        <w:tab w:val="left" w:pos="709"/>
      </w:tabs>
      <w:spacing w:before="0" w:after="0" w:line="240" w:lineRule="auto"/>
      <w:ind w:left="1680" w:hanging="420"/>
    </w:pPr>
    <w:rPr>
      <w:rFonts w:ascii="宋体" w:hAnsi="宋体"/>
      <w:bCs w:val="0"/>
      <w:sz w:val="24"/>
      <w:szCs w:val="20"/>
    </w:rPr>
  </w:style>
  <w:style w:type="paragraph" w:customStyle="1" w:styleId="446">
    <w:name w:val="点标题"/>
    <w:basedOn w:val="31"/>
    <w:autoRedefine/>
    <w:qFormat/>
    <w:uiPriority w:val="0"/>
    <w:pPr>
      <w:tabs>
        <w:tab w:val="left" w:pos="900"/>
      </w:tabs>
      <w:spacing w:after="0" w:line="360" w:lineRule="auto"/>
      <w:ind w:left="900" w:hanging="420"/>
    </w:pPr>
    <w:rPr>
      <w:sz w:val="24"/>
    </w:rPr>
  </w:style>
  <w:style w:type="paragraph" w:customStyle="1" w:styleId="447">
    <w:name w:val="unnamed1"/>
    <w:basedOn w:val="1"/>
    <w:autoRedefine/>
    <w:qFormat/>
    <w:uiPriority w:val="0"/>
    <w:pPr>
      <w:widowControl/>
      <w:spacing w:before="100" w:beforeAutospacing="1" w:after="100" w:afterAutospacing="1" w:line="340" w:lineRule="atLeast"/>
      <w:ind w:firstLine="510"/>
      <w:jc w:val="left"/>
    </w:pPr>
    <w:rPr>
      <w:rFonts w:ascii="宋体" w:hAnsi="宋体"/>
      <w:kern w:val="0"/>
      <w:sz w:val="22"/>
    </w:rPr>
  </w:style>
  <w:style w:type="paragraph" w:customStyle="1" w:styleId="448">
    <w:name w:val="标题三 ZDY"/>
    <w:basedOn w:val="5"/>
    <w:autoRedefine/>
    <w:qFormat/>
    <w:uiPriority w:val="0"/>
    <w:pPr>
      <w:tabs>
        <w:tab w:val="left" w:pos="1476"/>
      </w:tabs>
      <w:spacing w:beforeLines="50" w:after="0" w:line="360" w:lineRule="auto"/>
    </w:pPr>
    <w:rPr>
      <w:rFonts w:ascii="宋体" w:hAnsi="宋体" w:eastAsia="宋体"/>
      <w:bCs w:val="0"/>
      <w:sz w:val="30"/>
      <w:szCs w:val="20"/>
    </w:rPr>
  </w:style>
  <w:style w:type="paragraph" w:customStyle="1" w:styleId="449">
    <w:name w:val="正文缩进一"/>
    <w:basedOn w:val="1"/>
    <w:next w:val="1"/>
    <w:autoRedefine/>
    <w:qFormat/>
    <w:uiPriority w:val="0"/>
    <w:pPr>
      <w:widowControl/>
      <w:adjustRightInd w:val="0"/>
      <w:snapToGrid w:val="0"/>
      <w:spacing w:line="360" w:lineRule="auto"/>
      <w:textAlignment w:val="bottom"/>
    </w:pPr>
    <w:rPr>
      <w:rFonts w:ascii="宋体" w:hAnsi="宋体"/>
      <w:spacing w:val="8"/>
      <w:kern w:val="0"/>
      <w:sz w:val="28"/>
    </w:rPr>
  </w:style>
  <w:style w:type="paragraph" w:customStyle="1" w:styleId="450">
    <w:name w:val="xl51"/>
    <w:basedOn w:val="1"/>
    <w:autoRedefine/>
    <w:qFormat/>
    <w:uiPriority w:val="0"/>
    <w:pPr>
      <w:widowControl/>
      <w:spacing w:before="100" w:beforeAutospacing="1" w:after="100" w:afterAutospacing="1" w:line="360" w:lineRule="auto"/>
      <w:ind w:firstLine="425"/>
      <w:jc w:val="center"/>
      <w:textAlignment w:val="center"/>
    </w:pPr>
    <w:rPr>
      <w:rFonts w:hint="eastAsia" w:ascii="黑体" w:hAnsi="Arial Unicode MS" w:eastAsia="黑体"/>
      <w:kern w:val="0"/>
      <w:sz w:val="24"/>
    </w:rPr>
  </w:style>
  <w:style w:type="paragraph" w:customStyle="1" w:styleId="451">
    <w:name w:val="图题"/>
    <w:basedOn w:val="310"/>
    <w:autoRedefine/>
    <w:qFormat/>
    <w:uiPriority w:val="0"/>
    <w:pPr>
      <w:jc w:val="center"/>
    </w:pPr>
    <w:rPr>
      <w:rFonts w:eastAsia="黑体"/>
      <w:sz w:val="18"/>
    </w:rPr>
  </w:style>
  <w:style w:type="paragraph" w:customStyle="1" w:styleId="452">
    <w:name w:val="附件圈"/>
    <w:basedOn w:val="1"/>
    <w:autoRedefine/>
    <w:qFormat/>
    <w:uiPriority w:val="0"/>
    <w:pPr>
      <w:tabs>
        <w:tab w:val="left" w:pos="980"/>
      </w:tabs>
      <w:spacing w:line="360" w:lineRule="auto"/>
      <w:ind w:left="840" w:hanging="420"/>
    </w:pPr>
    <w:rPr>
      <w:sz w:val="24"/>
      <w:szCs w:val="24"/>
    </w:rPr>
  </w:style>
  <w:style w:type="paragraph" w:customStyle="1" w:styleId="453">
    <w:name w:val="xl71"/>
    <w:basedOn w:val="1"/>
    <w:autoRedefine/>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jc w:val="center"/>
    </w:pPr>
    <w:rPr>
      <w:rFonts w:ascii="宋体" w:hAnsi="宋体"/>
      <w:kern w:val="0"/>
      <w:sz w:val="20"/>
    </w:rPr>
  </w:style>
  <w:style w:type="paragraph" w:customStyle="1" w:styleId="454">
    <w:name w:val="主题2"/>
    <w:basedOn w:val="1"/>
    <w:next w:val="1"/>
    <w:autoRedefine/>
    <w:qFormat/>
    <w:uiPriority w:val="0"/>
    <w:pPr>
      <w:spacing w:line="360" w:lineRule="auto"/>
      <w:ind w:left="480" w:leftChars="100" w:right="100" w:rightChars="100"/>
      <w:outlineLvl w:val="1"/>
    </w:pPr>
    <w:rPr>
      <w:rFonts w:ascii="宋体" w:hAnsi="宋体"/>
      <w:b/>
      <w:kern w:val="0"/>
      <w:sz w:val="28"/>
    </w:rPr>
  </w:style>
  <w:style w:type="paragraph" w:customStyle="1" w:styleId="455">
    <w:name w:val="style12"/>
    <w:basedOn w:val="1"/>
    <w:autoRedefine/>
    <w:qFormat/>
    <w:uiPriority w:val="0"/>
    <w:pPr>
      <w:widowControl/>
      <w:spacing w:before="100" w:beforeAutospacing="1" w:after="100" w:afterAutospacing="1" w:line="312" w:lineRule="auto"/>
      <w:jc w:val="left"/>
    </w:pPr>
    <w:rPr>
      <w:rFonts w:ascii="ˎ̥" w:hAnsi="ˎ̥" w:cs="宋体"/>
      <w:color w:val="996666"/>
      <w:kern w:val="0"/>
      <w:sz w:val="18"/>
      <w:szCs w:val="18"/>
    </w:rPr>
  </w:style>
  <w:style w:type="paragraph" w:customStyle="1" w:styleId="456">
    <w:name w:val="ft9"/>
    <w:basedOn w:val="1"/>
    <w:autoRedefine/>
    <w:qFormat/>
    <w:uiPriority w:val="0"/>
    <w:pPr>
      <w:widowControl/>
      <w:spacing w:before="100" w:beforeAutospacing="1" w:after="100" w:afterAutospacing="1"/>
      <w:jc w:val="left"/>
    </w:pPr>
    <w:rPr>
      <w:rFonts w:ascii="宋体" w:hAnsi="宋体"/>
      <w:kern w:val="0"/>
      <w:sz w:val="18"/>
    </w:rPr>
  </w:style>
  <w:style w:type="paragraph" w:customStyle="1" w:styleId="457">
    <w:name w:val="Char2"/>
    <w:basedOn w:val="1"/>
    <w:autoRedefine/>
    <w:qFormat/>
    <w:uiPriority w:val="0"/>
    <w:rPr>
      <w:rFonts w:ascii="Tahoma" w:hAnsi="Tahoma"/>
      <w:sz w:val="24"/>
    </w:rPr>
  </w:style>
  <w:style w:type="paragraph" w:customStyle="1" w:styleId="458">
    <w:name w:val="插图题注"/>
    <w:next w:val="1"/>
    <w:autoRedefine/>
    <w:qFormat/>
    <w:uiPriority w:val="0"/>
    <w:pPr>
      <w:tabs>
        <w:tab w:val="left" w:pos="2363"/>
      </w:tabs>
      <w:spacing w:afterLines="100"/>
      <w:ind w:left="2363" w:hanging="1418"/>
      <w:jc w:val="center"/>
    </w:pPr>
    <w:rPr>
      <w:rFonts w:ascii="Arial" w:hAnsi="Arial" w:eastAsia="宋体" w:cs="Times New Roman"/>
      <w:sz w:val="18"/>
      <w:lang w:val="en-US" w:eastAsia="zh-CN" w:bidi="ar-SA"/>
    </w:rPr>
  </w:style>
  <w:style w:type="paragraph" w:customStyle="1" w:styleId="459">
    <w:name w:val="CM6"/>
    <w:basedOn w:val="252"/>
    <w:next w:val="252"/>
    <w:autoRedefine/>
    <w:qFormat/>
    <w:uiPriority w:val="0"/>
    <w:pPr>
      <w:autoSpaceDE w:val="0"/>
      <w:autoSpaceDN w:val="0"/>
      <w:adjustRightInd w:val="0"/>
      <w:spacing w:line="300" w:lineRule="atLeast"/>
    </w:pPr>
    <w:rPr>
      <w:rFonts w:ascii="HYDaHeiJ" w:eastAsia="HYDaHeiJ"/>
      <w:color w:val="auto"/>
      <w:lang w:eastAsia="zh-CN"/>
    </w:rPr>
  </w:style>
  <w:style w:type="paragraph" w:customStyle="1" w:styleId="460">
    <w:name w:val="subtitle 2"/>
    <w:basedOn w:val="1"/>
    <w:autoRedefine/>
    <w:qFormat/>
    <w:uiPriority w:val="0"/>
    <w:pPr>
      <w:spacing w:before="240" w:after="240" w:line="312" w:lineRule="atLeast"/>
    </w:pPr>
    <w:rPr>
      <w:rFonts w:eastAsia="黑体"/>
      <w:snapToGrid w:val="0"/>
      <w:kern w:val="0"/>
      <w:sz w:val="24"/>
    </w:rPr>
  </w:style>
  <w:style w:type="paragraph" w:customStyle="1" w:styleId="461">
    <w:name w:val="Char Char2 Char Char Char Char Char Char"/>
    <w:basedOn w:val="1"/>
    <w:autoRedefine/>
    <w:qFormat/>
    <w:uiPriority w:val="0"/>
    <w:pPr>
      <w:widowControl/>
      <w:spacing w:after="160" w:line="240" w:lineRule="exact"/>
      <w:jc w:val="left"/>
    </w:pPr>
    <w:rPr>
      <w:rFonts w:ascii="宋体" w:hAnsi="宋体"/>
      <w:b/>
      <w:sz w:val="24"/>
    </w:rPr>
  </w:style>
  <w:style w:type="paragraph" w:customStyle="1" w:styleId="462">
    <w:name w:val="标头1"/>
    <w:basedOn w:val="6"/>
    <w:autoRedefine/>
    <w:qFormat/>
    <w:uiPriority w:val="0"/>
    <w:pPr>
      <w:spacing w:before="120" w:after="120" w:line="240" w:lineRule="auto"/>
    </w:pPr>
    <w:rPr>
      <w:bCs w:val="0"/>
      <w:sz w:val="28"/>
      <w:szCs w:val="20"/>
    </w:rPr>
  </w:style>
  <w:style w:type="paragraph" w:customStyle="1" w:styleId="463">
    <w:name w:val="正文 New New New New"/>
    <w:basedOn w:val="1"/>
    <w:autoRedefine/>
    <w:qFormat/>
    <w:uiPriority w:val="0"/>
    <w:rPr>
      <w:kern w:val="0"/>
      <w:sz w:val="24"/>
    </w:rPr>
  </w:style>
  <w:style w:type="paragraph" w:customStyle="1" w:styleId="464">
    <w:name w:val="itemlist"/>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465">
    <w:name w:val="Block"/>
    <w:basedOn w:val="1"/>
    <w:next w:val="189"/>
    <w:autoRedefine/>
    <w:qFormat/>
    <w:uiPriority w:val="0"/>
    <w:rPr>
      <w:rFonts w:ascii="Arial" w:hAnsi="Arial" w:eastAsia="楷体_GB2312"/>
      <w:color w:val="000080"/>
      <w:sz w:val="28"/>
      <w:szCs w:val="28"/>
    </w:rPr>
  </w:style>
  <w:style w:type="paragraph" w:customStyle="1" w:styleId="466">
    <w:name w:val="Figure"/>
    <w:basedOn w:val="1"/>
    <w:next w:val="467"/>
    <w:autoRedefine/>
    <w:qFormat/>
    <w:uiPriority w:val="0"/>
    <w:pPr>
      <w:keepNext/>
      <w:keepLines/>
      <w:jc w:val="center"/>
    </w:pPr>
    <w:rPr>
      <w:szCs w:val="24"/>
    </w:rPr>
  </w:style>
  <w:style w:type="paragraph" w:customStyle="1" w:styleId="467">
    <w:name w:val="Figure Description"/>
    <w:basedOn w:val="466"/>
    <w:next w:val="189"/>
    <w:autoRedefine/>
    <w:qFormat/>
    <w:uiPriority w:val="0"/>
    <w:pPr>
      <w:tabs>
        <w:tab w:val="left" w:pos="680"/>
      </w:tabs>
      <w:ind w:left="680" w:hanging="680"/>
    </w:pPr>
    <w:rPr>
      <w:sz w:val="18"/>
    </w:rPr>
  </w:style>
  <w:style w:type="paragraph" w:customStyle="1" w:styleId="468">
    <w:name w:val="版权声明"/>
    <w:basedOn w:val="1"/>
    <w:autoRedefine/>
    <w:qFormat/>
    <w:uiPriority w:val="0"/>
    <w:pPr>
      <w:widowControl/>
      <w:autoSpaceDE w:val="0"/>
      <w:autoSpaceDN w:val="0"/>
      <w:snapToGrid w:val="0"/>
      <w:spacing w:line="360" w:lineRule="auto"/>
      <w:ind w:left="1134"/>
      <w:textAlignment w:val="bottom"/>
    </w:pPr>
    <w:rPr>
      <w:rFonts w:ascii="Tahoma" w:hAnsi="Tahoma" w:eastAsia="新宋体"/>
    </w:rPr>
  </w:style>
  <w:style w:type="paragraph" w:customStyle="1" w:styleId="469">
    <w:name w:val="Char Char6 Char Char Char Char Char Char"/>
    <w:basedOn w:val="24"/>
    <w:autoRedefine/>
    <w:qFormat/>
    <w:uiPriority w:val="0"/>
    <w:rPr>
      <w:rFonts w:ascii="宋体" w:hAnsi="宋体"/>
      <w:b/>
      <w:sz w:val="24"/>
      <w:shd w:val="clear" w:color="auto" w:fill="auto"/>
    </w:rPr>
  </w:style>
  <w:style w:type="paragraph" w:customStyle="1" w:styleId="470">
    <w:name w:val="普通 (Web)"/>
    <w:basedOn w:val="1"/>
    <w:autoRedefine/>
    <w:qFormat/>
    <w:uiPriority w:val="0"/>
    <w:pPr>
      <w:widowControl/>
      <w:spacing w:afterLines="50" w:line="384" w:lineRule="auto"/>
      <w:ind w:left="359" w:leftChars="171" w:right="34" w:firstLine="540" w:firstLineChars="225"/>
      <w:jc w:val="left"/>
    </w:pPr>
    <w:rPr>
      <w:rFonts w:ascii="Arial" w:hAnsi="Arial" w:cs="Arial"/>
      <w:kern w:val="0"/>
      <w:sz w:val="24"/>
      <w:szCs w:val="24"/>
    </w:rPr>
  </w:style>
  <w:style w:type="paragraph" w:customStyle="1" w:styleId="471">
    <w:name w:val="正文中的小标题"/>
    <w:basedOn w:val="1"/>
    <w:autoRedefine/>
    <w:qFormat/>
    <w:uiPriority w:val="0"/>
    <w:pPr>
      <w:spacing w:line="400" w:lineRule="exact"/>
      <w:ind w:left="2835"/>
    </w:pPr>
    <w:rPr>
      <w:rFonts w:ascii="Arial" w:hAnsi="Arial" w:eastAsia="黑体"/>
      <w:b/>
      <w:spacing w:val="10"/>
    </w:rPr>
  </w:style>
  <w:style w:type="paragraph" w:customStyle="1" w:styleId="472">
    <w:name w:val="标题1级"/>
    <w:basedOn w:val="3"/>
    <w:autoRedefine/>
    <w:qFormat/>
    <w:uiPriority w:val="0"/>
    <w:pPr>
      <w:widowControl/>
      <w:spacing w:before="0" w:after="0" w:line="440" w:lineRule="exact"/>
      <w:jc w:val="left"/>
    </w:pPr>
    <w:rPr>
      <w:rFonts w:ascii="宋体" w:hAnsi="宋体"/>
      <w:b w:val="0"/>
      <w:bCs w:val="0"/>
      <w:sz w:val="32"/>
      <w:szCs w:val="20"/>
    </w:rPr>
  </w:style>
  <w:style w:type="paragraph" w:customStyle="1" w:styleId="473">
    <w:name w:val="BoldBullet"/>
    <w:basedOn w:val="474"/>
    <w:next w:val="474"/>
    <w:autoRedefine/>
    <w:qFormat/>
    <w:uiPriority w:val="0"/>
    <w:pPr>
      <w:keepNext/>
      <w:ind w:left="568" w:right="74" w:hanging="284"/>
      <w:jc w:val="both"/>
    </w:pPr>
    <w:rPr>
      <w:rFonts w:ascii="黑体" w:eastAsia="黑体"/>
      <w:b/>
    </w:rPr>
  </w:style>
  <w:style w:type="paragraph" w:customStyle="1" w:styleId="474">
    <w:name w:val="AfterBullet"/>
    <w:basedOn w:val="3"/>
    <w:next w:val="473"/>
    <w:autoRedefine/>
    <w:qFormat/>
    <w:uiPriority w:val="0"/>
    <w:pPr>
      <w:keepNext w:val="0"/>
      <w:keepLines w:val="0"/>
      <w:autoSpaceDE w:val="0"/>
      <w:autoSpaceDN w:val="0"/>
      <w:adjustRightInd w:val="0"/>
      <w:spacing w:before="0" w:after="0" w:line="360" w:lineRule="auto"/>
      <w:ind w:left="1310" w:right="567" w:firstLine="391"/>
      <w:jc w:val="left"/>
      <w:textAlignment w:val="baseline"/>
      <w:outlineLvl w:val="9"/>
    </w:pPr>
    <w:rPr>
      <w:rFonts w:ascii="宋体" w:hAnsi="Tms Rmn"/>
      <w:b w:val="0"/>
      <w:bCs w:val="0"/>
      <w:color w:val="000000"/>
      <w:kern w:val="0"/>
      <w:sz w:val="21"/>
      <w:szCs w:val="20"/>
    </w:rPr>
  </w:style>
  <w:style w:type="paragraph" w:customStyle="1" w:styleId="475">
    <w:name w:val="样式 (西文) 宋体 首行缩进:  2 字符 Char"/>
    <w:basedOn w:val="1"/>
    <w:autoRedefine/>
    <w:qFormat/>
    <w:uiPriority w:val="0"/>
    <w:pPr>
      <w:spacing w:line="360" w:lineRule="auto"/>
      <w:ind w:firstLine="480" w:firstLineChars="200"/>
    </w:pPr>
    <w:rPr>
      <w:rFonts w:ascii="宋体"/>
      <w:sz w:val="24"/>
    </w:rPr>
  </w:style>
  <w:style w:type="paragraph" w:customStyle="1" w:styleId="476">
    <w:name w:val="lgh样式正文缩2"/>
    <w:basedOn w:val="11"/>
    <w:autoRedefine/>
    <w:qFormat/>
    <w:uiPriority w:val="0"/>
    <w:pPr>
      <w:adjustRightInd w:val="0"/>
      <w:snapToGrid w:val="0"/>
      <w:ind w:firstLine="480"/>
    </w:pPr>
  </w:style>
  <w:style w:type="paragraph" w:customStyle="1" w:styleId="477">
    <w:name w:val="23"/>
    <w:basedOn w:val="6"/>
    <w:autoRedefine/>
    <w:qFormat/>
    <w:uiPriority w:val="0"/>
    <w:pPr>
      <w:keepNext w:val="0"/>
      <w:keepLines w:val="0"/>
      <w:adjustRightInd w:val="0"/>
      <w:spacing w:before="0" w:after="0" w:line="312" w:lineRule="atLeast"/>
      <w:textAlignment w:val="baseline"/>
      <w:outlineLvl w:val="9"/>
    </w:pPr>
    <w:rPr>
      <w:rFonts w:ascii="宋体" w:hAnsi="宋体"/>
      <w:b w:val="0"/>
      <w:bCs w:val="0"/>
      <w:kern w:val="0"/>
      <w:sz w:val="28"/>
      <w:szCs w:val="20"/>
    </w:rPr>
  </w:style>
  <w:style w:type="paragraph" w:customStyle="1" w:styleId="478">
    <w:name w:val="标书标题"/>
    <w:basedOn w:val="1"/>
    <w:next w:val="1"/>
    <w:autoRedefine/>
    <w:qFormat/>
    <w:uiPriority w:val="0"/>
    <w:pPr>
      <w:spacing w:afterLines="60" w:line="360" w:lineRule="auto"/>
      <w:jc w:val="center"/>
    </w:pPr>
    <w:rPr>
      <w:b/>
      <w:sz w:val="72"/>
    </w:rPr>
  </w:style>
  <w:style w:type="paragraph" w:customStyle="1" w:styleId="479">
    <w:name w:val="Picture"/>
    <w:basedOn w:val="1"/>
    <w:next w:val="21"/>
    <w:autoRedefine/>
    <w:qFormat/>
    <w:uiPriority w:val="0"/>
    <w:pPr>
      <w:keepNext/>
      <w:widowControl/>
      <w:ind w:left="1080"/>
      <w:jc w:val="left"/>
    </w:pPr>
    <w:rPr>
      <w:rFonts w:ascii="Arial" w:hAnsi="Arial" w:eastAsia="仿宋体"/>
      <w:spacing w:val="-5"/>
      <w:kern w:val="0"/>
      <w:sz w:val="28"/>
      <w:lang w:eastAsia="en-US"/>
    </w:rPr>
  </w:style>
  <w:style w:type="paragraph" w:customStyle="1" w:styleId="480">
    <w:name w:val="xl55"/>
    <w:basedOn w:val="1"/>
    <w:autoRedefine/>
    <w:qFormat/>
    <w:uiPriority w:val="0"/>
    <w:pPr>
      <w:widowControl/>
      <w:pBdr>
        <w:left w:val="single" w:color="auto" w:sz="8" w:space="0"/>
        <w:right w:val="single" w:color="auto" w:sz="4" w:space="0"/>
      </w:pBdr>
      <w:shd w:val="clear" w:color="auto" w:fill="FFFF00"/>
      <w:spacing w:before="100" w:beforeAutospacing="1" w:after="100" w:afterAutospacing="1"/>
      <w:jc w:val="left"/>
    </w:pPr>
    <w:rPr>
      <w:rFonts w:ascii="宋体" w:hAnsi="宋体"/>
      <w:b/>
      <w:i/>
      <w:kern w:val="0"/>
      <w:sz w:val="20"/>
    </w:rPr>
  </w:style>
  <w:style w:type="paragraph" w:customStyle="1" w:styleId="481">
    <w:name w:val="Char Char5 Char Char Char Char"/>
    <w:basedOn w:val="1"/>
    <w:autoRedefine/>
    <w:qFormat/>
    <w:uiPriority w:val="0"/>
  </w:style>
  <w:style w:type="paragraph" w:customStyle="1" w:styleId="482">
    <w:name w:val="正文-电视"/>
    <w:basedOn w:val="1"/>
    <w:autoRedefine/>
    <w:qFormat/>
    <w:uiPriority w:val="0"/>
    <w:pPr>
      <w:spacing w:line="360" w:lineRule="auto"/>
      <w:ind w:firstLine="540" w:firstLineChars="225"/>
    </w:pPr>
    <w:rPr>
      <w:rFonts w:ascii="宋体" w:hAnsi="宋体"/>
      <w:sz w:val="24"/>
    </w:rPr>
  </w:style>
  <w:style w:type="paragraph" w:customStyle="1" w:styleId="483">
    <w:name w:val="tabletext"/>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484">
    <w:name w:val="样式4"/>
    <w:basedOn w:val="1"/>
    <w:autoRedefine/>
    <w:qFormat/>
    <w:uiPriority w:val="0"/>
    <w:pPr>
      <w:tabs>
        <w:tab w:val="left" w:pos="360"/>
      </w:tabs>
      <w:spacing w:line="360" w:lineRule="auto"/>
      <w:ind w:left="360" w:hanging="360"/>
    </w:pPr>
    <w:rPr>
      <w:sz w:val="24"/>
      <w:szCs w:val="24"/>
    </w:rPr>
  </w:style>
  <w:style w:type="paragraph" w:customStyle="1" w:styleId="485">
    <w:name w:val="默认段落字体 Para Char Char Char Char Char Char Char Char Char1 Char"/>
    <w:basedOn w:val="1"/>
    <w:autoRedefine/>
    <w:qFormat/>
    <w:uiPriority w:val="0"/>
    <w:rPr>
      <w:rFonts w:ascii="Tahoma" w:hAnsi="Tahoma"/>
      <w:sz w:val="24"/>
    </w:rPr>
  </w:style>
  <w:style w:type="paragraph" w:customStyle="1" w:styleId="486">
    <w:name w:val="Char11"/>
    <w:basedOn w:val="1"/>
    <w:next w:val="45"/>
    <w:autoRedefine/>
    <w:qFormat/>
    <w:uiPriority w:val="0"/>
    <w:pPr>
      <w:spacing w:line="360" w:lineRule="auto"/>
      <w:ind w:firstLine="480" w:firstLineChars="200"/>
    </w:pPr>
    <w:rPr>
      <w:kern w:val="0"/>
      <w:sz w:val="24"/>
      <w:szCs w:val="24"/>
    </w:rPr>
  </w:style>
  <w:style w:type="paragraph" w:customStyle="1" w:styleId="487">
    <w:name w:val="Item Step in Table"/>
    <w:basedOn w:val="1"/>
    <w:autoRedefine/>
    <w:qFormat/>
    <w:uiPriority w:val="0"/>
    <w:pPr>
      <w:tabs>
        <w:tab w:val="left" w:pos="420"/>
      </w:tabs>
      <w:ind w:left="420" w:hanging="420"/>
      <w:jc w:val="left"/>
    </w:pPr>
    <w:rPr>
      <w:szCs w:val="24"/>
    </w:rPr>
  </w:style>
  <w:style w:type="paragraph" w:customStyle="1" w:styleId="488">
    <w:name w:val="样式 标题 2UNDERRUBRIK 1-2Underrubrik1prop2h2Level 2 Topic Head..."/>
    <w:basedOn w:val="5"/>
    <w:autoRedefine/>
    <w:qFormat/>
    <w:uiPriority w:val="0"/>
    <w:pPr>
      <w:spacing w:line="360" w:lineRule="auto"/>
      <w:jc w:val="left"/>
    </w:pPr>
    <w:rPr>
      <w:rFonts w:ascii="宋体" w:hAnsi="宋体" w:eastAsia="宋体"/>
      <w:bCs w:val="0"/>
      <w:sz w:val="24"/>
      <w:szCs w:val="20"/>
    </w:rPr>
  </w:style>
  <w:style w:type="paragraph" w:customStyle="1" w:styleId="489">
    <w:name w:val="矩形"/>
    <w:basedOn w:val="1"/>
    <w:autoRedefine/>
    <w:qFormat/>
    <w:uiPriority w:val="0"/>
    <w:pPr>
      <w:tabs>
        <w:tab w:val="left" w:pos="980"/>
      </w:tabs>
      <w:spacing w:line="312" w:lineRule="auto"/>
      <w:ind w:left="980" w:hanging="420"/>
    </w:pPr>
    <w:rPr>
      <w:rFonts w:ascii="宋体"/>
    </w:rPr>
  </w:style>
  <w:style w:type="paragraph" w:customStyle="1" w:styleId="490">
    <w:name w:val="Char Char Char Char"/>
    <w:basedOn w:val="1"/>
    <w:autoRedefine/>
    <w:qFormat/>
    <w:uiPriority w:val="0"/>
    <w:rPr>
      <w:rFonts w:ascii="宋体" w:hAnsi="宋体"/>
      <w:b/>
      <w:sz w:val="24"/>
    </w:rPr>
  </w:style>
  <w:style w:type="paragraph" w:customStyle="1" w:styleId="491">
    <w:name w:val="Char Char Char1 Char Char Char Char Char Char Char Char Char Char Char Char Char"/>
    <w:basedOn w:val="24"/>
    <w:autoRedefine/>
    <w:qFormat/>
    <w:uiPriority w:val="0"/>
    <w:rPr>
      <w:rFonts w:ascii="宋体" w:hAnsi="宋体"/>
      <w:b/>
      <w:sz w:val="24"/>
    </w:rPr>
  </w:style>
  <w:style w:type="paragraph" w:customStyle="1" w:styleId="492">
    <w:name w:val="list"/>
    <w:basedOn w:val="1"/>
    <w:autoRedefine/>
    <w:qFormat/>
    <w:uiPriority w:val="0"/>
    <w:pPr>
      <w:adjustRightInd w:val="0"/>
      <w:spacing w:line="360" w:lineRule="auto"/>
      <w:ind w:left="902" w:hanging="482"/>
      <w:textAlignment w:val="baseline"/>
    </w:pPr>
    <w:rPr>
      <w:rFonts w:ascii="昆仑仿宋" w:eastAsia="昆仑仿宋"/>
      <w:kern w:val="0"/>
    </w:rPr>
  </w:style>
  <w:style w:type="paragraph" w:customStyle="1" w:styleId="493">
    <w:name w:val="样式42"/>
    <w:basedOn w:val="436"/>
    <w:autoRedefine/>
    <w:qFormat/>
    <w:uiPriority w:val="0"/>
    <w:pPr>
      <w:tabs>
        <w:tab w:val="left" w:pos="1254"/>
        <w:tab w:val="clear" w:pos="907"/>
      </w:tabs>
      <w:ind w:left="942" w:firstLine="3"/>
    </w:pPr>
  </w:style>
  <w:style w:type="paragraph" w:customStyle="1" w:styleId="494">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495">
    <w:name w:val="样式 正文（首行缩进两字） + 左侧:  2.04 厘米"/>
    <w:basedOn w:val="11"/>
    <w:autoRedefine/>
    <w:qFormat/>
    <w:uiPriority w:val="0"/>
    <w:pPr>
      <w:autoSpaceDE w:val="0"/>
      <w:autoSpaceDN w:val="0"/>
      <w:adjustRightInd w:val="0"/>
      <w:snapToGrid w:val="0"/>
      <w:ind w:left="567" w:firstLine="0" w:firstLineChars="0"/>
    </w:pPr>
    <w:rPr>
      <w:rFonts w:ascii="华文细黑" w:hAnsi="华文细黑" w:eastAsia="华文细黑"/>
      <w:kern w:val="0"/>
      <w:szCs w:val="24"/>
    </w:rPr>
  </w:style>
  <w:style w:type="paragraph" w:customStyle="1" w:styleId="496">
    <w:name w:val="特点黄标"/>
    <w:basedOn w:val="1"/>
    <w:autoRedefine/>
    <w:qFormat/>
    <w:uiPriority w:val="0"/>
    <w:pPr>
      <w:widowControl/>
      <w:autoSpaceDE w:val="0"/>
      <w:autoSpaceDN w:val="0"/>
      <w:adjustRightInd w:val="0"/>
    </w:pPr>
    <w:rPr>
      <w:rFonts w:ascii="汉鼎简大黑Arial Black" w:eastAsia="汉鼎简大黑Arial Black"/>
      <w:color w:val="FFD80E"/>
      <w:kern w:val="0"/>
      <w:sz w:val="20"/>
      <w:szCs w:val="24"/>
      <w:lang w:eastAsia="en-US"/>
    </w:rPr>
  </w:style>
  <w:style w:type="paragraph" w:customStyle="1" w:styleId="497">
    <w:name w:val="a"/>
    <w:basedOn w:val="1"/>
    <w:autoRedefine/>
    <w:qFormat/>
    <w:uiPriority w:val="0"/>
    <w:pPr>
      <w:widowControl/>
      <w:spacing w:line="300" w:lineRule="atLeast"/>
      <w:jc w:val="left"/>
    </w:pPr>
    <w:rPr>
      <w:rFonts w:ascii="宋体" w:hAnsi="宋体" w:cs="宋体"/>
      <w:kern w:val="0"/>
      <w:sz w:val="18"/>
      <w:szCs w:val="18"/>
    </w:rPr>
  </w:style>
  <w:style w:type="paragraph" w:customStyle="1" w:styleId="498">
    <w:name w:val="xl74"/>
    <w:basedOn w:val="1"/>
    <w:autoRedefine/>
    <w:qFormat/>
    <w:uiPriority w:val="0"/>
    <w:pPr>
      <w:widowControl/>
      <w:pBdr>
        <w:top w:val="single" w:color="auto" w:sz="4" w:space="0"/>
        <w:left w:val="single" w:color="auto" w:sz="4" w:space="0"/>
        <w:bottom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499">
    <w:name w:val="图样式"/>
    <w:next w:val="255"/>
    <w:autoRedefine/>
    <w:qFormat/>
    <w:uiPriority w:val="0"/>
    <w:pPr>
      <w:spacing w:before="156" w:after="156"/>
      <w:jc w:val="center"/>
    </w:pPr>
    <w:rPr>
      <w:rFonts w:ascii="宋体" w:hAnsi="Times New Roman" w:eastAsia="宋体" w:cs="Times New Roman"/>
      <w:kern w:val="2"/>
      <w:lang w:val="en-US" w:eastAsia="zh-CN" w:bidi="ar-SA"/>
    </w:rPr>
  </w:style>
  <w:style w:type="paragraph" w:customStyle="1" w:styleId="500">
    <w:name w:val="Definition Term"/>
    <w:basedOn w:val="1"/>
    <w:next w:val="1"/>
    <w:autoRedefine/>
    <w:qFormat/>
    <w:uiPriority w:val="0"/>
    <w:pPr>
      <w:widowControl/>
      <w:ind w:left="907"/>
      <w:jc w:val="left"/>
    </w:pPr>
    <w:rPr>
      <w:snapToGrid w:val="0"/>
      <w:kern w:val="0"/>
      <w:sz w:val="24"/>
      <w:lang w:eastAsia="en-US"/>
    </w:rPr>
  </w:style>
  <w:style w:type="paragraph" w:customStyle="1" w:styleId="501">
    <w:name w:val="xl64"/>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502">
    <w:name w:val="xl44"/>
    <w:basedOn w:val="1"/>
    <w:autoRedefine/>
    <w:qFormat/>
    <w:uiPriority w:val="0"/>
    <w:pPr>
      <w:widowControl/>
      <w:spacing w:before="100" w:beforeAutospacing="1" w:after="100" w:afterAutospacing="1"/>
      <w:jc w:val="right"/>
    </w:pPr>
    <w:rPr>
      <w:rFonts w:ascii="宋体" w:hAnsi="宋体"/>
      <w:kern w:val="0"/>
      <w:sz w:val="20"/>
    </w:rPr>
  </w:style>
  <w:style w:type="paragraph" w:customStyle="1" w:styleId="503">
    <w:name w:val="font8"/>
    <w:basedOn w:val="1"/>
    <w:autoRedefine/>
    <w:qFormat/>
    <w:uiPriority w:val="0"/>
    <w:pPr>
      <w:widowControl/>
      <w:spacing w:before="100" w:beforeAutospacing="1" w:after="100" w:afterAutospacing="1"/>
      <w:jc w:val="left"/>
    </w:pPr>
    <w:rPr>
      <w:rFonts w:hint="eastAsia" w:ascii="宋体" w:hAnsi="宋体"/>
      <w:color w:val="0000FF"/>
      <w:kern w:val="0"/>
      <w:sz w:val="24"/>
      <w:u w:val="single"/>
    </w:rPr>
  </w:style>
  <w:style w:type="paragraph" w:customStyle="1" w:styleId="504">
    <w:name w:val="xl82"/>
    <w:basedOn w:val="1"/>
    <w:autoRedefine/>
    <w:qFormat/>
    <w:uiPriority w:val="0"/>
    <w:pPr>
      <w:widowControl/>
      <w:pBdr>
        <w:top w:val="single" w:color="auto" w:sz="4" w:space="0"/>
        <w:left w:val="single" w:color="auto" w:sz="4" w:space="0"/>
        <w:bottom w:val="single" w:color="auto" w:sz="4" w:space="0"/>
      </w:pBdr>
      <w:shd w:val="clear" w:color="auto" w:fill="CCFFFF"/>
      <w:spacing w:before="100" w:beforeAutospacing="1" w:after="100" w:afterAutospacing="1"/>
      <w:jc w:val="center"/>
      <w:textAlignment w:val="center"/>
    </w:pPr>
    <w:rPr>
      <w:rFonts w:ascii="黑体" w:hAnsi="宋体" w:eastAsia="黑体" w:cs="宋体"/>
      <w:b/>
      <w:bCs/>
      <w:kern w:val="0"/>
      <w:sz w:val="22"/>
      <w:szCs w:val="22"/>
    </w:rPr>
  </w:style>
  <w:style w:type="paragraph" w:customStyle="1" w:styleId="505">
    <w:name w:val="P3"/>
    <w:autoRedefine/>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20"/>
      <w:sz w:val="24"/>
      <w:lang w:val="en-GB" w:eastAsia="zh-TW" w:bidi="ar-SA"/>
    </w:rPr>
  </w:style>
  <w:style w:type="paragraph" w:customStyle="1" w:styleId="506">
    <w:name w:val="Item List in Table"/>
    <w:basedOn w:val="1"/>
    <w:autoRedefine/>
    <w:qFormat/>
    <w:uiPriority w:val="0"/>
    <w:pPr>
      <w:tabs>
        <w:tab w:val="left" w:pos="420"/>
      </w:tabs>
      <w:ind w:left="420" w:hanging="420"/>
      <w:jc w:val="left"/>
    </w:pPr>
    <w:rPr>
      <w:szCs w:val="24"/>
    </w:rPr>
  </w:style>
  <w:style w:type="paragraph" w:customStyle="1" w:styleId="507">
    <w:name w:val="点"/>
    <w:basedOn w:val="1"/>
    <w:autoRedefine/>
    <w:qFormat/>
    <w:uiPriority w:val="0"/>
    <w:pPr>
      <w:tabs>
        <w:tab w:val="left" w:pos="540"/>
        <w:tab w:val="left" w:pos="1283"/>
      </w:tabs>
      <w:spacing w:line="312" w:lineRule="auto"/>
      <w:ind w:left="1283" w:hanging="245"/>
    </w:pPr>
    <w:rPr>
      <w:rFonts w:ascii="宋体"/>
      <w:sz w:val="24"/>
    </w:rPr>
  </w:style>
  <w:style w:type="paragraph" w:customStyle="1" w:styleId="508">
    <w:name w:val="小标号"/>
    <w:basedOn w:val="287"/>
    <w:next w:val="287"/>
    <w:autoRedefine/>
    <w:qFormat/>
    <w:uiPriority w:val="0"/>
    <w:pPr>
      <w:tabs>
        <w:tab w:val="clear" w:pos="720"/>
      </w:tabs>
      <w:ind w:left="0" w:firstLine="0"/>
    </w:pPr>
    <w:rPr>
      <w:rFonts w:ascii="宋体"/>
    </w:rPr>
  </w:style>
  <w:style w:type="paragraph" w:customStyle="1" w:styleId="509">
    <w:name w:val="Char"/>
    <w:basedOn w:val="1"/>
    <w:autoRedefine/>
    <w:qFormat/>
    <w:uiPriority w:val="0"/>
    <w:pPr>
      <w:tabs>
        <w:tab w:val="left" w:pos="360"/>
      </w:tabs>
    </w:pPr>
    <w:rPr>
      <w:sz w:val="24"/>
      <w:szCs w:val="24"/>
    </w:rPr>
  </w:style>
  <w:style w:type="paragraph" w:customStyle="1" w:styleId="510">
    <w:name w:val="项目符号A"/>
    <w:basedOn w:val="1"/>
    <w:autoRedefine/>
    <w:qFormat/>
    <w:uiPriority w:val="0"/>
    <w:pPr>
      <w:tabs>
        <w:tab w:val="left" w:pos="1021"/>
      </w:tabs>
      <w:spacing w:line="360" w:lineRule="auto"/>
      <w:ind w:left="874" w:hanging="420"/>
    </w:pPr>
    <w:rPr>
      <w:rFonts w:ascii="Arial" w:hAnsi="Arial"/>
      <w:sz w:val="24"/>
    </w:rPr>
  </w:style>
  <w:style w:type="paragraph" w:customStyle="1" w:styleId="511">
    <w:name w:val="样式 标题 2 + 左侧:  0.74 厘米 首行缩进:  0 厘米 段前: 7.75 磅 段后: 7.75 磅 行距:..."/>
    <w:basedOn w:val="5"/>
    <w:autoRedefine/>
    <w:qFormat/>
    <w:uiPriority w:val="0"/>
    <w:pPr>
      <w:tabs>
        <w:tab w:val="left" w:pos="1565"/>
      </w:tabs>
      <w:spacing w:before="155" w:after="155" w:line="440" w:lineRule="exact"/>
      <w:ind w:left="1412" w:hanging="567"/>
    </w:pPr>
    <w:rPr>
      <w:bCs w:val="0"/>
      <w:szCs w:val="20"/>
    </w:rPr>
  </w:style>
  <w:style w:type="paragraph" w:customStyle="1" w:styleId="512">
    <w:name w:val="标书正文"/>
    <w:basedOn w:val="1"/>
    <w:autoRedefine/>
    <w:qFormat/>
    <w:uiPriority w:val="0"/>
    <w:pPr>
      <w:spacing w:line="360" w:lineRule="auto"/>
      <w:ind w:firstLine="200" w:firstLineChars="200"/>
      <w:jc w:val="left"/>
    </w:pPr>
    <w:rPr>
      <w:rFonts w:ascii="Verdana" w:hAnsi="Verdana"/>
      <w:sz w:val="24"/>
    </w:rPr>
  </w:style>
  <w:style w:type="paragraph" w:customStyle="1" w:styleId="513">
    <w:name w:val="样式 表格标题 + Arial"/>
    <w:basedOn w:val="1"/>
    <w:autoRedefine/>
    <w:qFormat/>
    <w:uiPriority w:val="0"/>
    <w:pPr>
      <w:spacing w:beforeLines="25" w:afterLines="25" w:line="200" w:lineRule="exact"/>
      <w:jc w:val="center"/>
    </w:pPr>
    <w:rPr>
      <w:rFonts w:ascii="Arial" w:hAnsi="Arial"/>
      <w:szCs w:val="24"/>
    </w:rPr>
  </w:style>
  <w:style w:type="paragraph" w:customStyle="1" w:styleId="514">
    <w:name w:val="Part Title"/>
    <w:basedOn w:val="1"/>
    <w:autoRedefine/>
    <w:qFormat/>
    <w:uiPriority w:val="0"/>
    <w:pPr>
      <w:widowControl/>
      <w:pBdr>
        <w:left w:val="single" w:color="auto" w:sz="6" w:space="1"/>
      </w:pBdr>
      <w:shd w:val="solid" w:color="auto" w:fill="auto"/>
      <w:spacing w:after="240" w:line="660" w:lineRule="exact"/>
      <w:ind w:left="907" w:right="7412"/>
      <w:jc w:val="center"/>
    </w:pPr>
    <w:rPr>
      <w:rFonts w:ascii="Arial Black" w:hAnsi="Arial Black" w:eastAsia="仿宋体"/>
      <w:color w:val="FFFFFF"/>
      <w:spacing w:val="-40"/>
      <w:kern w:val="0"/>
      <w:position w:val="-16"/>
      <w:sz w:val="84"/>
      <w:lang w:eastAsia="en-US"/>
    </w:rPr>
  </w:style>
  <w:style w:type="paragraph" w:customStyle="1" w:styleId="515">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516">
    <w:name w:val="Char Char Char1 Char Char Char Char Char Char Char Char Char Char Char Char Char1"/>
    <w:basedOn w:val="24"/>
    <w:autoRedefine/>
    <w:qFormat/>
    <w:uiPriority w:val="0"/>
  </w:style>
  <w:style w:type="paragraph" w:customStyle="1" w:styleId="517">
    <w:name w:val="Brieftext"/>
    <w:basedOn w:val="1"/>
    <w:autoRedefine/>
    <w:qFormat/>
    <w:uiPriority w:val="0"/>
    <w:pPr>
      <w:widowControl/>
      <w:spacing w:line="300" w:lineRule="exact"/>
      <w:ind w:firstLine="426" w:firstLineChars="213"/>
    </w:pPr>
    <w:rPr>
      <w:rFonts w:ascii="仿宋体" w:hAnsi="Arial" w:eastAsia="Times"/>
      <w:kern w:val="0"/>
      <w:sz w:val="22"/>
      <w:lang w:val="en-GB"/>
    </w:rPr>
  </w:style>
  <w:style w:type="paragraph" w:customStyle="1" w:styleId="518">
    <w:name w:val="Char Char1 Char Char Char Char"/>
    <w:basedOn w:val="1"/>
    <w:next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519">
    <w:name w:val="方案"/>
    <w:basedOn w:val="1"/>
    <w:autoRedefine/>
    <w:qFormat/>
    <w:uiPriority w:val="0"/>
    <w:pPr>
      <w:adjustRightInd w:val="0"/>
      <w:spacing w:line="400" w:lineRule="exact"/>
      <w:textAlignment w:val="baseline"/>
    </w:pPr>
    <w:rPr>
      <w:rFonts w:eastAsia="楷体_GB2312"/>
      <w:kern w:val="0"/>
      <w:sz w:val="24"/>
    </w:rPr>
  </w:style>
  <w:style w:type="paragraph" w:customStyle="1" w:styleId="520">
    <w:name w:val="样式 样式 标题 2 + 左侧:  0.32 厘米 悬挂缩进: 5.4 字符 + 宋体"/>
    <w:basedOn w:val="1"/>
    <w:autoRedefine/>
    <w:qFormat/>
    <w:uiPriority w:val="0"/>
    <w:pPr>
      <w:tabs>
        <w:tab w:val="left" w:pos="780"/>
      </w:tabs>
      <w:ind w:left="780" w:hanging="360"/>
    </w:pPr>
  </w:style>
  <w:style w:type="paragraph" w:customStyle="1" w:styleId="521">
    <w:name w:val="12dj"/>
    <w:basedOn w:val="1"/>
    <w:autoRedefine/>
    <w:qFormat/>
    <w:uiPriority w:val="0"/>
    <w:pPr>
      <w:widowControl/>
      <w:spacing w:before="100" w:beforeAutospacing="1" w:after="100" w:afterAutospacing="1" w:line="330" w:lineRule="atLeast"/>
      <w:jc w:val="left"/>
    </w:pPr>
    <w:rPr>
      <w:rFonts w:ascii="宋体" w:hAnsi="宋体"/>
      <w:color w:val="000000"/>
      <w:kern w:val="0"/>
      <w:sz w:val="18"/>
    </w:rPr>
  </w:style>
  <w:style w:type="paragraph" w:customStyle="1" w:styleId="522">
    <w:name w:val="CY1"/>
    <w:basedOn w:val="1"/>
    <w:autoRedefine/>
    <w:qFormat/>
    <w:uiPriority w:val="0"/>
    <w:pPr>
      <w:widowControl/>
      <w:spacing w:before="120" w:after="120" w:line="360" w:lineRule="auto"/>
      <w:ind w:left="907"/>
      <w:jc w:val="left"/>
    </w:pPr>
    <w:rPr>
      <w:rFonts w:ascii="仿宋体" w:eastAsia="仿宋体"/>
      <w:b/>
      <w:kern w:val="0"/>
      <w:sz w:val="24"/>
    </w:rPr>
  </w:style>
  <w:style w:type="paragraph" w:customStyle="1" w:styleId="523">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kern w:val="0"/>
      <w:sz w:val="20"/>
    </w:rPr>
  </w:style>
  <w:style w:type="paragraph" w:customStyle="1" w:styleId="524">
    <w:name w:val="标号"/>
    <w:basedOn w:val="8"/>
    <w:autoRedefine/>
    <w:qFormat/>
    <w:uiPriority w:val="0"/>
    <w:pPr>
      <w:tabs>
        <w:tab w:val="left" w:pos="1296"/>
        <w:tab w:val="left" w:pos="2100"/>
      </w:tabs>
      <w:snapToGrid w:val="0"/>
      <w:spacing w:before="0" w:after="0" w:line="460" w:lineRule="atLeast"/>
      <w:ind w:left="1008" w:hanging="432"/>
      <w:outlineLvl w:val="9"/>
    </w:pPr>
    <w:rPr>
      <w:rFonts w:ascii="Arial" w:hAnsi="Arial"/>
      <w:b w:val="0"/>
      <w:bCs w:val="0"/>
      <w:spacing w:val="6"/>
      <w:sz w:val="24"/>
      <w:szCs w:val="20"/>
    </w:rPr>
  </w:style>
  <w:style w:type="paragraph" w:customStyle="1" w:styleId="525">
    <w:name w:val="CM27"/>
    <w:basedOn w:val="252"/>
    <w:next w:val="252"/>
    <w:autoRedefine/>
    <w:qFormat/>
    <w:uiPriority w:val="0"/>
    <w:pPr>
      <w:autoSpaceDE w:val="0"/>
      <w:autoSpaceDN w:val="0"/>
      <w:adjustRightInd w:val="0"/>
      <w:spacing w:after="68"/>
    </w:pPr>
    <w:rPr>
      <w:rFonts w:ascii="HYDaHeiJ" w:eastAsia="HYDaHeiJ"/>
      <w:color w:val="auto"/>
      <w:lang w:eastAsia="zh-CN"/>
    </w:rPr>
  </w:style>
  <w:style w:type="paragraph" w:customStyle="1" w:styleId="526">
    <w:name w:val="引文目录标题1"/>
    <w:basedOn w:val="1"/>
    <w:next w:val="1"/>
    <w:autoRedefine/>
    <w:qFormat/>
    <w:uiPriority w:val="0"/>
    <w:pPr>
      <w:spacing w:before="120"/>
      <w:jc w:val="left"/>
    </w:pPr>
    <w:rPr>
      <w:rFonts w:ascii="Arial"/>
      <w:kern w:val="0"/>
      <w:sz w:val="24"/>
      <w:u w:color="000000"/>
    </w:rPr>
  </w:style>
  <w:style w:type="paragraph" w:customStyle="1" w:styleId="527">
    <w:name w:val="方案文档"/>
    <w:basedOn w:val="1"/>
    <w:autoRedefine/>
    <w:qFormat/>
    <w:uiPriority w:val="0"/>
    <w:pPr>
      <w:spacing w:before="120" w:after="120" w:line="360" w:lineRule="auto"/>
      <w:ind w:firstLine="567"/>
    </w:pPr>
    <w:rPr>
      <w:rFonts w:ascii="Arial" w:hAnsi="Arial"/>
      <w:b/>
    </w:rPr>
  </w:style>
  <w:style w:type="paragraph" w:customStyle="1" w:styleId="528">
    <w:name w:val="样式20"/>
    <w:basedOn w:val="55"/>
    <w:next w:val="55"/>
    <w:autoRedefine/>
    <w:qFormat/>
    <w:uiPriority w:val="0"/>
    <w:pPr>
      <w:tabs>
        <w:tab w:val="left" w:pos="1512"/>
      </w:tabs>
      <w:adjustRightInd w:val="0"/>
      <w:spacing w:line="360" w:lineRule="auto"/>
      <w:textAlignment w:val="baseline"/>
    </w:pPr>
    <w:rPr>
      <w:kern w:val="0"/>
      <w:sz w:val="24"/>
    </w:rPr>
  </w:style>
  <w:style w:type="paragraph" w:customStyle="1" w:styleId="529">
    <w:name w:val="Heading 9"/>
    <w:basedOn w:val="1"/>
    <w:autoRedefine/>
    <w:qFormat/>
    <w:uiPriority w:val="0"/>
    <w:pPr>
      <w:widowControl/>
      <w:tabs>
        <w:tab w:val="left" w:pos="1584"/>
      </w:tabs>
      <w:autoSpaceDE w:val="0"/>
      <w:autoSpaceDN w:val="0"/>
      <w:ind w:left="1584" w:hanging="1584"/>
      <w:jc w:val="left"/>
    </w:pPr>
    <w:rPr>
      <w:kern w:val="24"/>
      <w:sz w:val="20"/>
    </w:rPr>
  </w:style>
  <w:style w:type="paragraph" w:customStyle="1" w:styleId="530">
    <w:name w:val="樣式1"/>
    <w:basedOn w:val="52"/>
    <w:autoRedefine/>
    <w:qFormat/>
    <w:uiPriority w:val="0"/>
    <w:pPr>
      <w:tabs>
        <w:tab w:val="left" w:pos="1829"/>
        <w:tab w:val="left" w:pos="1990"/>
        <w:tab w:val="right" w:leader="dot" w:pos="8834"/>
      </w:tabs>
      <w:ind w:left="0"/>
    </w:pPr>
    <w:rPr>
      <w:rFonts w:cs="Arial"/>
    </w:rPr>
  </w:style>
  <w:style w:type="paragraph" w:customStyle="1" w:styleId="531">
    <w:name w:val="Style1"/>
    <w:basedOn w:val="40"/>
    <w:autoRedefine/>
    <w:qFormat/>
    <w:uiPriority w:val="0"/>
    <w:pPr>
      <w:jc w:val="left"/>
    </w:pPr>
    <w:rPr>
      <w:rFonts w:ascii="Arial" w:hAnsi="Arial" w:eastAsia="Arial"/>
      <w:sz w:val="18"/>
    </w:rPr>
  </w:style>
  <w:style w:type="paragraph" w:customStyle="1" w:styleId="532">
    <w:name w:val="Char Char2"/>
    <w:basedOn w:val="1"/>
    <w:autoRedefine/>
    <w:qFormat/>
    <w:uiPriority w:val="0"/>
    <w:pPr>
      <w:adjustRightInd w:val="0"/>
      <w:spacing w:line="360" w:lineRule="auto"/>
    </w:pPr>
    <w:rPr>
      <w:rFonts w:ascii="宋体" w:hAnsi="宋体"/>
      <w:b/>
      <w:sz w:val="24"/>
    </w:rPr>
  </w:style>
  <w:style w:type="paragraph" w:customStyle="1" w:styleId="533">
    <w:name w:val="Char Char21"/>
    <w:basedOn w:val="1"/>
    <w:autoRedefine/>
    <w:qFormat/>
    <w:uiPriority w:val="0"/>
    <w:rPr>
      <w:rFonts w:ascii="仿宋_GB2312" w:eastAsia="仿宋_GB2312"/>
      <w:b/>
      <w:sz w:val="32"/>
      <w:szCs w:val="32"/>
    </w:rPr>
  </w:style>
  <w:style w:type="paragraph" w:customStyle="1" w:styleId="534">
    <w:name w:val="样式 subtitle 2 + 宋体 段前: 0 磅 段后: 0 磅 行距: 1.5 倍行距"/>
    <w:basedOn w:val="460"/>
    <w:autoRedefine/>
    <w:qFormat/>
    <w:uiPriority w:val="0"/>
    <w:pPr>
      <w:tabs>
        <w:tab w:val="left" w:pos="905"/>
      </w:tabs>
      <w:spacing w:before="0" w:after="0" w:line="360" w:lineRule="auto"/>
      <w:ind w:left="425" w:firstLine="482" w:firstLineChars="200"/>
    </w:pPr>
    <w:rPr>
      <w:rFonts w:ascii="宋体" w:hAnsi="宋体" w:eastAsia="宋体"/>
      <w:b/>
      <w:snapToGrid/>
      <w:kern w:val="2"/>
    </w:rPr>
  </w:style>
  <w:style w:type="paragraph" w:customStyle="1" w:styleId="535">
    <w:name w:val="小点说明"/>
    <w:basedOn w:val="1"/>
    <w:autoRedefine/>
    <w:qFormat/>
    <w:uiPriority w:val="0"/>
    <w:pPr>
      <w:tabs>
        <w:tab w:val="left" w:pos="960"/>
      </w:tabs>
      <w:spacing w:after="80" w:line="360" w:lineRule="auto"/>
      <w:ind w:left="720" w:hanging="240"/>
    </w:pPr>
    <w:rPr>
      <w:rFonts w:ascii="宋体" w:hAnsi="宋体"/>
      <w:kern w:val="0"/>
      <w:sz w:val="28"/>
      <w:lang w:val="eu-ES"/>
    </w:rPr>
  </w:style>
  <w:style w:type="paragraph" w:customStyle="1" w:styleId="536">
    <w:name w:val="CM7"/>
    <w:basedOn w:val="252"/>
    <w:next w:val="252"/>
    <w:autoRedefine/>
    <w:qFormat/>
    <w:uiPriority w:val="0"/>
    <w:pPr>
      <w:autoSpaceDE w:val="0"/>
      <w:autoSpaceDN w:val="0"/>
      <w:adjustRightInd w:val="0"/>
      <w:spacing w:line="200" w:lineRule="atLeast"/>
    </w:pPr>
    <w:rPr>
      <w:rFonts w:ascii="Arial Black" w:hAnsi="Arial Black" w:eastAsia="宋体"/>
      <w:color w:val="auto"/>
      <w:sz w:val="20"/>
      <w:lang w:eastAsia="zh-CN"/>
    </w:rPr>
  </w:style>
  <w:style w:type="paragraph" w:customStyle="1" w:styleId="537">
    <w:name w:val="xl99"/>
    <w:basedOn w:val="1"/>
    <w:autoRedefine/>
    <w:qFormat/>
    <w:uiPriority w:val="0"/>
    <w:pPr>
      <w:widowControl/>
      <w:pBdr>
        <w:top w:val="single" w:color="auto" w:sz="4" w:space="0"/>
        <w:bottom w:val="single" w:color="auto" w:sz="4" w:space="0"/>
      </w:pBdr>
      <w:shd w:val="clear" w:color="000000" w:fill="CCFFFF"/>
      <w:spacing w:before="100" w:beforeAutospacing="1" w:after="100" w:afterAutospacing="1"/>
      <w:jc w:val="center"/>
      <w:textAlignment w:val="center"/>
    </w:pPr>
    <w:rPr>
      <w:b/>
      <w:bCs/>
      <w:color w:val="000000"/>
      <w:kern w:val="0"/>
      <w:sz w:val="20"/>
    </w:rPr>
  </w:style>
  <w:style w:type="paragraph" w:customStyle="1" w:styleId="538">
    <w:name w:val="Char1 Char Char Char Char Char Char Char Char Char"/>
    <w:basedOn w:val="1"/>
    <w:autoRedefine/>
    <w:qFormat/>
    <w:uiPriority w:val="0"/>
    <w:rPr>
      <w:rFonts w:ascii="Tahoma" w:hAnsi="Tahoma"/>
      <w:sz w:val="24"/>
    </w:rPr>
  </w:style>
  <w:style w:type="paragraph" w:customStyle="1" w:styleId="539">
    <w:name w:val="a1"/>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540">
    <w:name w:val="_Style 64"/>
    <w:basedOn w:val="24"/>
    <w:autoRedefine/>
    <w:qFormat/>
    <w:uiPriority w:val="0"/>
    <w:rPr>
      <w:rFonts w:ascii="宋体" w:hAnsi="宋体"/>
      <w:b/>
      <w:sz w:val="24"/>
      <w:shd w:val="clear" w:color="auto" w:fill="auto"/>
    </w:rPr>
  </w:style>
  <w:style w:type="paragraph" w:customStyle="1" w:styleId="541">
    <w:name w:val="Char Char Char Char Char Char1"/>
    <w:basedOn w:val="1"/>
    <w:autoRedefine/>
    <w:qFormat/>
    <w:uiPriority w:val="0"/>
    <w:rPr>
      <w:rFonts w:ascii="Tahoma" w:hAnsi="Tahoma"/>
      <w:sz w:val="24"/>
    </w:rPr>
  </w:style>
  <w:style w:type="paragraph" w:customStyle="1" w:styleId="542">
    <w:name w:val="正文列表3"/>
    <w:basedOn w:val="1"/>
    <w:autoRedefine/>
    <w:qFormat/>
    <w:uiPriority w:val="0"/>
    <w:pPr>
      <w:tabs>
        <w:tab w:val="left" w:pos="420"/>
      </w:tabs>
      <w:ind w:left="420" w:hanging="420"/>
    </w:pPr>
    <w:rPr>
      <w:szCs w:val="24"/>
    </w:rPr>
  </w:style>
  <w:style w:type="paragraph" w:customStyle="1" w:styleId="543">
    <w:name w:val="8"/>
    <w:basedOn w:val="1"/>
    <w:autoRedefine/>
    <w:qFormat/>
    <w:uiPriority w:val="0"/>
    <w:pPr>
      <w:widowControl/>
      <w:spacing w:after="160" w:line="240" w:lineRule="exact"/>
      <w:jc w:val="left"/>
    </w:pPr>
    <w:rPr>
      <w:rFonts w:ascii="Verdana" w:hAnsi="Verdana"/>
      <w:kern w:val="0"/>
      <w:lang w:eastAsia="en-US"/>
    </w:rPr>
  </w:style>
  <w:style w:type="paragraph" w:customStyle="1" w:styleId="544">
    <w:name w:val="Char Char"/>
    <w:basedOn w:val="1"/>
    <w:autoRedefine/>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545">
    <w:name w:val="标题一ZDY"/>
    <w:basedOn w:val="3"/>
    <w:autoRedefine/>
    <w:qFormat/>
    <w:uiPriority w:val="0"/>
    <w:pPr>
      <w:spacing w:beforeLines="50" w:after="60" w:line="480" w:lineRule="auto"/>
      <w:jc w:val="center"/>
    </w:pPr>
    <w:rPr>
      <w:rFonts w:ascii="宋体" w:hAnsi="宋体"/>
      <w:bCs w:val="0"/>
      <w:kern w:val="2"/>
      <w:sz w:val="28"/>
      <w:szCs w:val="20"/>
    </w:rPr>
  </w:style>
  <w:style w:type="paragraph" w:customStyle="1" w:styleId="546">
    <w:name w:val="xl3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547">
    <w:name w:val="pa-0"/>
    <w:basedOn w:val="1"/>
    <w:autoRedefine/>
    <w:qFormat/>
    <w:uiPriority w:val="0"/>
    <w:pPr>
      <w:widowControl/>
      <w:spacing w:before="100" w:beforeAutospacing="1" w:after="100" w:afterAutospacing="1" w:line="360" w:lineRule="atLeast"/>
      <w:ind w:firstLine="480"/>
    </w:pPr>
    <w:rPr>
      <w:rFonts w:ascii="宋体" w:hAnsi="宋体" w:cs="宋体"/>
      <w:kern w:val="0"/>
      <w:sz w:val="24"/>
      <w:szCs w:val="24"/>
    </w:rPr>
  </w:style>
  <w:style w:type="paragraph" w:customStyle="1" w:styleId="548">
    <w:name w:val="scfbrieftext"/>
    <w:basedOn w:val="1"/>
    <w:autoRedefine/>
    <w:qFormat/>
    <w:uiPriority w:val="0"/>
    <w:pPr>
      <w:widowControl/>
      <w:jc w:val="left"/>
    </w:pPr>
    <w:rPr>
      <w:rFonts w:ascii="Arial" w:hAnsi="Arial"/>
      <w:kern w:val="0"/>
      <w:sz w:val="22"/>
      <w:lang w:eastAsia="en-US"/>
    </w:rPr>
  </w:style>
  <w:style w:type="paragraph" w:customStyle="1" w:styleId="549">
    <w:name w:val="Char Char Char Char Char Char1 Char"/>
    <w:basedOn w:val="1"/>
    <w:autoRedefine/>
    <w:qFormat/>
    <w:uiPriority w:val="0"/>
    <w:pPr>
      <w:widowControl/>
      <w:spacing w:after="160" w:line="240" w:lineRule="exact"/>
      <w:jc w:val="left"/>
    </w:pPr>
    <w:rPr>
      <w:rFonts w:ascii="Verdana" w:hAnsi="Verdana"/>
      <w:kern w:val="0"/>
      <w:lang w:eastAsia="en-US"/>
    </w:rPr>
  </w:style>
  <w:style w:type="paragraph" w:customStyle="1" w:styleId="550">
    <w:name w:val="加点"/>
    <w:basedOn w:val="1"/>
    <w:autoRedefine/>
    <w:qFormat/>
    <w:uiPriority w:val="0"/>
    <w:pPr>
      <w:spacing w:line="360" w:lineRule="auto"/>
    </w:pPr>
    <w:rPr>
      <w:rFonts w:eastAsia="楷体_GB2312"/>
      <w:sz w:val="24"/>
    </w:rPr>
  </w:style>
  <w:style w:type="paragraph" w:customStyle="1" w:styleId="551">
    <w:name w:val="a2"/>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552">
    <w:name w:val="xl31"/>
    <w:basedOn w:val="1"/>
    <w:autoRedefine/>
    <w:qFormat/>
    <w:uiPriority w:val="0"/>
    <w:pPr>
      <w:widowControl/>
      <w:pBdr>
        <w:top w:val="single" w:color="auto" w:sz="4" w:space="0"/>
        <w:left w:val="single" w:color="auto" w:sz="4" w:space="0"/>
      </w:pBdr>
      <w:spacing w:before="100" w:beforeAutospacing="1" w:after="100" w:afterAutospacing="1"/>
      <w:jc w:val="center"/>
    </w:pPr>
    <w:rPr>
      <w:rFonts w:ascii="宋体" w:hAnsi="宋体" w:cs="宋体"/>
      <w:kern w:val="0"/>
      <w:sz w:val="24"/>
      <w:szCs w:val="24"/>
    </w:rPr>
  </w:style>
  <w:style w:type="paragraph" w:customStyle="1" w:styleId="553">
    <w:name w:val="ººÒÇÏ¸µÈÏß¼ò9BOLD"/>
    <w:basedOn w:val="1"/>
    <w:autoRedefine/>
    <w:qFormat/>
    <w:uiPriority w:val="0"/>
    <w:pPr>
      <w:overflowPunct w:val="0"/>
      <w:autoSpaceDE w:val="0"/>
      <w:autoSpaceDN w:val="0"/>
      <w:adjustRightInd w:val="0"/>
      <w:spacing w:line="240" w:lineRule="atLeast"/>
      <w:textAlignment w:val="baseline"/>
    </w:pPr>
    <w:rPr>
      <w:rFonts w:ascii="汉仪细等线简" w:eastAsia="汉仪细等线简"/>
      <w:b/>
      <w:kern w:val="0"/>
      <w:sz w:val="18"/>
    </w:rPr>
  </w:style>
  <w:style w:type="paragraph" w:customStyle="1" w:styleId="554">
    <w:name w:val="样式 标题 2 + 右侧:  1 字符"/>
    <w:basedOn w:val="5"/>
    <w:autoRedefine/>
    <w:qFormat/>
    <w:uiPriority w:val="0"/>
    <w:pPr>
      <w:keepLines w:val="0"/>
      <w:widowControl/>
      <w:snapToGrid w:val="0"/>
      <w:spacing w:before="0" w:after="0" w:line="360" w:lineRule="auto"/>
      <w:ind w:right="100" w:rightChars="100"/>
      <w:jc w:val="left"/>
    </w:pPr>
    <w:rPr>
      <w:bCs w:val="0"/>
      <w:sz w:val="28"/>
      <w:szCs w:val="20"/>
    </w:rPr>
  </w:style>
  <w:style w:type="paragraph" w:customStyle="1" w:styleId="555">
    <w:name w:val="标题二ZDY"/>
    <w:basedOn w:val="5"/>
    <w:autoRedefine/>
    <w:qFormat/>
    <w:uiPriority w:val="0"/>
    <w:pPr>
      <w:tabs>
        <w:tab w:val="left" w:pos="1476"/>
      </w:tabs>
      <w:spacing w:beforeLines="50" w:after="0" w:line="360" w:lineRule="auto"/>
    </w:pPr>
    <w:rPr>
      <w:rFonts w:ascii="宋体" w:hAnsi="宋体" w:eastAsia="宋体"/>
      <w:bCs w:val="0"/>
      <w:szCs w:val="20"/>
    </w:rPr>
  </w:style>
  <w:style w:type="paragraph" w:customStyle="1" w:styleId="556">
    <w:name w:val="样式 标题 2 + (符号) 宋体"/>
    <w:basedOn w:val="5"/>
    <w:autoRedefine/>
    <w:qFormat/>
    <w:uiPriority w:val="0"/>
    <w:pPr>
      <w:adjustRightInd w:val="0"/>
      <w:spacing w:before="100" w:beforeAutospacing="1" w:after="100" w:afterAutospacing="1" w:line="440" w:lineRule="exact"/>
      <w:textAlignment w:val="baseline"/>
    </w:pPr>
    <w:rPr>
      <w:rFonts w:ascii="宋体" w:eastAsia="宋体"/>
      <w:kern w:val="44"/>
      <w:szCs w:val="20"/>
    </w:rPr>
  </w:style>
  <w:style w:type="paragraph" w:customStyle="1" w:styleId="557">
    <w:name w:val="勾"/>
    <w:basedOn w:val="1"/>
    <w:autoRedefine/>
    <w:qFormat/>
    <w:uiPriority w:val="0"/>
    <w:pPr>
      <w:tabs>
        <w:tab w:val="left" w:pos="900"/>
      </w:tabs>
      <w:spacing w:line="360" w:lineRule="auto"/>
      <w:ind w:left="900" w:hanging="360"/>
    </w:pPr>
    <w:rPr>
      <w:sz w:val="24"/>
    </w:rPr>
  </w:style>
  <w:style w:type="paragraph" w:customStyle="1" w:styleId="558">
    <w:name w:val="标题3"/>
    <w:basedOn w:val="6"/>
    <w:autoRedefine/>
    <w:qFormat/>
    <w:uiPriority w:val="0"/>
    <w:pPr>
      <w:keepLines w:val="0"/>
      <w:widowControl/>
      <w:spacing w:before="240" w:after="120" w:line="240" w:lineRule="auto"/>
      <w:jc w:val="left"/>
      <w:outlineLvl w:val="9"/>
    </w:pPr>
    <w:rPr>
      <w:rFonts w:ascii="宋体" w:hAnsi="宋体"/>
      <w:kern w:val="0"/>
      <w:sz w:val="28"/>
      <w:szCs w:val="28"/>
      <w:lang w:val="pt-BR"/>
    </w:rPr>
  </w:style>
  <w:style w:type="paragraph" w:customStyle="1" w:styleId="559">
    <w:name w:val="xl97"/>
    <w:basedOn w:val="1"/>
    <w:autoRedefine/>
    <w:qFormat/>
    <w:uiPriority w:val="0"/>
    <w:pPr>
      <w:widowControl/>
      <w:pBdr>
        <w:top w:val="single" w:color="auto" w:sz="4" w:space="0"/>
        <w:left w:val="single" w:color="auto" w:sz="4" w:space="0"/>
        <w:bottom w:val="single" w:color="auto" w:sz="4" w:space="0"/>
      </w:pBdr>
      <w:shd w:val="clear" w:color="000000" w:fill="CCFFFF"/>
      <w:spacing w:before="100" w:beforeAutospacing="1" w:after="100" w:afterAutospacing="1"/>
      <w:jc w:val="center"/>
      <w:textAlignment w:val="center"/>
    </w:pPr>
    <w:rPr>
      <w:rFonts w:ascii="宋体" w:hAnsi="宋体" w:cs="宋体"/>
      <w:b/>
      <w:bCs/>
      <w:kern w:val="0"/>
      <w:sz w:val="20"/>
    </w:rPr>
  </w:style>
  <w:style w:type="paragraph" w:customStyle="1" w:styleId="560">
    <w:name w:val="Char Char11"/>
    <w:basedOn w:val="1"/>
    <w:autoRedefine/>
    <w:qFormat/>
    <w:uiPriority w:val="0"/>
    <w:pPr>
      <w:widowControl/>
      <w:spacing w:after="160" w:line="240" w:lineRule="exact"/>
      <w:jc w:val="left"/>
    </w:pPr>
    <w:rPr>
      <w:rFonts w:ascii="Verdana" w:hAnsi="Verdana"/>
      <w:kern w:val="0"/>
      <w:sz w:val="20"/>
      <w:lang w:eastAsia="en-US"/>
    </w:rPr>
  </w:style>
  <w:style w:type="paragraph" w:customStyle="1" w:styleId="561">
    <w:name w:val="P1"/>
    <w:autoRedefine/>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20"/>
      <w:sz w:val="24"/>
      <w:lang w:val="en-GB" w:eastAsia="zh-TW" w:bidi="ar-SA"/>
    </w:rPr>
  </w:style>
  <w:style w:type="paragraph" w:customStyle="1" w:styleId="562">
    <w:name w:val="Char Char6 Char Char Char Char"/>
    <w:basedOn w:val="24"/>
    <w:autoRedefine/>
    <w:qFormat/>
    <w:uiPriority w:val="0"/>
    <w:rPr>
      <w:rFonts w:ascii="宋体" w:hAnsi="宋体"/>
      <w:b/>
      <w:sz w:val="24"/>
      <w:shd w:val="clear" w:color="auto" w:fill="auto"/>
    </w:rPr>
  </w:style>
  <w:style w:type="paragraph" w:customStyle="1" w:styleId="563">
    <w:name w:val="默认段落字体 Para"/>
    <w:basedOn w:val="1"/>
    <w:autoRedefine/>
    <w:qFormat/>
    <w:uiPriority w:val="0"/>
  </w:style>
  <w:style w:type="paragraph" w:customStyle="1" w:styleId="564">
    <w:name w:val="本文項目"/>
    <w:basedOn w:val="1"/>
    <w:autoRedefine/>
    <w:qFormat/>
    <w:uiPriority w:val="0"/>
    <w:pPr>
      <w:tabs>
        <w:tab w:val="left" w:pos="360"/>
      </w:tabs>
      <w:autoSpaceDE w:val="0"/>
      <w:autoSpaceDN w:val="0"/>
      <w:adjustRightInd w:val="0"/>
      <w:spacing w:line="360" w:lineRule="auto"/>
      <w:ind w:left="360" w:hanging="360"/>
      <w:textAlignment w:val="baseline"/>
    </w:pPr>
    <w:rPr>
      <w:kern w:val="0"/>
      <w:sz w:val="24"/>
      <w:szCs w:val="24"/>
      <w:lang w:eastAsia="zh-TW"/>
    </w:rPr>
  </w:style>
  <w:style w:type="paragraph" w:customStyle="1" w:styleId="565">
    <w:name w:val="xl65"/>
    <w:basedOn w:val="1"/>
    <w:autoRedefine/>
    <w:qFormat/>
    <w:uiPriority w:val="0"/>
    <w:pPr>
      <w:widowControl/>
      <w:shd w:val="clear" w:color="auto" w:fill="FFFF00"/>
      <w:spacing w:before="100" w:beforeAutospacing="1" w:after="100" w:afterAutospacing="1"/>
      <w:jc w:val="left"/>
    </w:pPr>
    <w:rPr>
      <w:rFonts w:ascii="宋体" w:hAnsi="宋体"/>
      <w:kern w:val="0"/>
      <w:sz w:val="20"/>
    </w:rPr>
  </w:style>
  <w:style w:type="paragraph" w:customStyle="1" w:styleId="566">
    <w:name w:val="xl118"/>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567">
    <w:name w:val="xl89"/>
    <w:basedOn w:val="1"/>
    <w:autoRedefine/>
    <w:qFormat/>
    <w:uiPriority w:val="0"/>
    <w:pPr>
      <w:widowControl/>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568">
    <w:name w:val="百姓X"/>
    <w:basedOn w:val="1"/>
    <w:autoRedefine/>
    <w:qFormat/>
    <w:uiPriority w:val="0"/>
    <w:pPr>
      <w:spacing w:before="120" w:after="120" w:line="360" w:lineRule="auto"/>
      <w:ind w:firstLine="539"/>
    </w:pPr>
    <w:rPr>
      <w:sz w:val="24"/>
    </w:rPr>
  </w:style>
  <w:style w:type="paragraph" w:customStyle="1" w:styleId="569">
    <w:name w:val="font7"/>
    <w:basedOn w:val="1"/>
    <w:autoRedefine/>
    <w:qFormat/>
    <w:uiPriority w:val="0"/>
    <w:pPr>
      <w:widowControl/>
      <w:spacing w:before="100" w:beforeAutospacing="1" w:after="100" w:afterAutospacing="1"/>
      <w:jc w:val="left"/>
    </w:pPr>
    <w:rPr>
      <w:kern w:val="0"/>
      <w:sz w:val="20"/>
    </w:rPr>
  </w:style>
  <w:style w:type="paragraph" w:customStyle="1" w:styleId="570">
    <w:name w:val="Heading 8"/>
    <w:basedOn w:val="1"/>
    <w:autoRedefine/>
    <w:qFormat/>
    <w:uiPriority w:val="0"/>
    <w:pPr>
      <w:widowControl/>
      <w:tabs>
        <w:tab w:val="left" w:pos="1440"/>
      </w:tabs>
      <w:autoSpaceDE w:val="0"/>
      <w:autoSpaceDN w:val="0"/>
      <w:ind w:left="1440" w:hanging="1440"/>
      <w:jc w:val="left"/>
    </w:pPr>
    <w:rPr>
      <w:kern w:val="24"/>
      <w:sz w:val="20"/>
    </w:rPr>
  </w:style>
  <w:style w:type="paragraph" w:customStyle="1" w:styleId="571">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rPr>
  </w:style>
  <w:style w:type="paragraph" w:customStyle="1" w:styleId="572">
    <w:name w:val="p18"/>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573">
    <w:name w:val="标题 四 ZDY"/>
    <w:basedOn w:val="5"/>
    <w:autoRedefine/>
    <w:qFormat/>
    <w:uiPriority w:val="0"/>
    <w:pPr>
      <w:tabs>
        <w:tab w:val="left" w:pos="1476"/>
      </w:tabs>
      <w:spacing w:beforeLines="50" w:after="0" w:line="360" w:lineRule="auto"/>
    </w:pPr>
    <w:rPr>
      <w:rFonts w:ascii="宋体" w:hAnsi="宋体" w:eastAsia="宋体"/>
      <w:bCs w:val="0"/>
      <w:spacing w:val="20"/>
      <w:sz w:val="28"/>
      <w:szCs w:val="20"/>
    </w:rPr>
  </w:style>
  <w:style w:type="paragraph" w:customStyle="1" w:styleId="574">
    <w:name w:val="图例编号"/>
    <w:basedOn w:val="72"/>
    <w:next w:val="72"/>
    <w:autoRedefine/>
    <w:qFormat/>
    <w:uiPriority w:val="0"/>
    <w:pPr>
      <w:tabs>
        <w:tab w:val="left" w:pos="454"/>
      </w:tabs>
      <w:spacing w:after="0" w:line="300" w:lineRule="auto"/>
      <w:ind w:left="454" w:hanging="454" w:firstLineChars="0"/>
      <w:jc w:val="center"/>
    </w:pPr>
    <w:rPr>
      <w:rFonts w:eastAsia="楷体_GB2312"/>
      <w:sz w:val="24"/>
      <w:szCs w:val="20"/>
    </w:rPr>
  </w:style>
  <w:style w:type="paragraph" w:customStyle="1" w:styleId="575">
    <w:name w:val="样式 标题 4b4bulletblbbPIM 4H4h4sect 1.2.3.4Ref Heading 1r..."/>
    <w:basedOn w:val="7"/>
    <w:autoRedefine/>
    <w:qFormat/>
    <w:uiPriority w:val="0"/>
    <w:pPr>
      <w:snapToGrid/>
      <w:spacing w:before="0" w:after="100"/>
      <w:ind w:left="0"/>
      <w:jc w:val="both"/>
    </w:pPr>
    <w:rPr>
      <w:rFonts w:ascii="宋体" w:hAnsi="宋体"/>
      <w:b/>
      <w:color w:val="auto"/>
      <w:kern w:val="2"/>
      <w:szCs w:val="20"/>
    </w:rPr>
  </w:style>
  <w:style w:type="paragraph" w:customStyle="1" w:styleId="576">
    <w:name w:val="_Style 82"/>
    <w:basedOn w:val="1"/>
    <w:autoRedefine/>
    <w:qFormat/>
    <w:uiPriority w:val="0"/>
    <w:rPr>
      <w:rFonts w:ascii="宋体" w:hAnsi="宋体"/>
      <w:b/>
      <w:sz w:val="24"/>
    </w:rPr>
  </w:style>
  <w:style w:type="paragraph" w:customStyle="1" w:styleId="577">
    <w:name w:val="编号6"/>
    <w:basedOn w:val="1"/>
    <w:autoRedefine/>
    <w:qFormat/>
    <w:uiPriority w:val="0"/>
    <w:pPr>
      <w:tabs>
        <w:tab w:val="left" w:pos="1050"/>
      </w:tabs>
      <w:spacing w:line="500" w:lineRule="exact"/>
      <w:ind w:left="1050" w:right="-155" w:rightChars="-74" w:hanging="1050"/>
    </w:pPr>
    <w:rPr>
      <w:rFonts w:ascii="仿宋_GB2312" w:hAnsi="ˎ̥" w:eastAsia="仿宋_GB2312"/>
      <w:sz w:val="30"/>
      <w:szCs w:val="30"/>
    </w:rPr>
  </w:style>
  <w:style w:type="paragraph" w:customStyle="1" w:styleId="578">
    <w:name w:val="样式5"/>
    <w:autoRedefine/>
    <w:qFormat/>
    <w:uiPriority w:val="0"/>
    <w:pPr>
      <w:spacing w:line="500" w:lineRule="exact"/>
      <w:jc w:val="center"/>
      <w:textAlignment w:val="center"/>
    </w:pPr>
    <w:rPr>
      <w:rFonts w:ascii="Times New Roman" w:hAnsi="Times New Roman" w:eastAsia="宋体" w:cs="Times New Roman"/>
      <w:b/>
      <w:bCs/>
      <w:kern w:val="44"/>
      <w:sz w:val="30"/>
      <w:szCs w:val="44"/>
      <w:lang w:val="en-US" w:eastAsia="zh-CN" w:bidi="ar-SA"/>
    </w:rPr>
  </w:style>
  <w:style w:type="paragraph" w:customStyle="1" w:styleId="579">
    <w:name w:val="公司地址"/>
    <w:basedOn w:val="1"/>
    <w:autoRedefine/>
    <w:qFormat/>
    <w:uiPriority w:val="0"/>
    <w:pPr>
      <w:spacing w:after="80"/>
      <w:jc w:val="center"/>
    </w:pPr>
    <w:rPr>
      <w:sz w:val="18"/>
    </w:rPr>
  </w:style>
  <w:style w:type="paragraph" w:customStyle="1" w:styleId="580">
    <w:name w:val="正文文字缩进"/>
    <w:basedOn w:val="1"/>
    <w:autoRedefine/>
    <w:qFormat/>
    <w:uiPriority w:val="0"/>
    <w:pPr>
      <w:widowControl/>
      <w:spacing w:line="351" w:lineRule="atLeast"/>
      <w:ind w:firstLine="357"/>
      <w:textAlignment w:val="baseline"/>
    </w:pPr>
    <w:rPr>
      <w:color w:val="000000"/>
      <w:kern w:val="0"/>
      <w:u w:color="000000"/>
    </w:rPr>
  </w:style>
  <w:style w:type="paragraph" w:customStyle="1" w:styleId="581">
    <w:name w:val="7"/>
    <w:basedOn w:val="1"/>
    <w:autoRedefine/>
    <w:qFormat/>
    <w:uiPriority w:val="0"/>
    <w:pPr>
      <w:autoSpaceDE w:val="0"/>
      <w:autoSpaceDN w:val="0"/>
      <w:adjustRightInd w:val="0"/>
      <w:spacing w:line="270" w:lineRule="atLeast"/>
      <w:jc w:val="left"/>
    </w:pPr>
    <w:rPr>
      <w:rFonts w:ascii="宋体"/>
      <w:kern w:val="0"/>
      <w:sz w:val="18"/>
    </w:rPr>
  </w:style>
  <w:style w:type="paragraph" w:customStyle="1" w:styleId="582">
    <w:name w:val="样式 表格正文"/>
    <w:basedOn w:val="1"/>
    <w:autoRedefine/>
    <w:qFormat/>
    <w:uiPriority w:val="0"/>
    <w:pPr>
      <w:spacing w:beforeLines="10" w:afterLines="10" w:line="200" w:lineRule="exact"/>
      <w:jc w:val="left"/>
    </w:pPr>
    <w:rPr>
      <w:rFonts w:ascii="Arial" w:hAnsi="Arial" w:cs="宋体"/>
      <w:sz w:val="15"/>
      <w:szCs w:val="15"/>
    </w:rPr>
  </w:style>
  <w:style w:type="paragraph" w:customStyle="1" w:styleId="583">
    <w:name w:val="xl2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584">
    <w:name w:val="style22"/>
    <w:basedOn w:val="1"/>
    <w:autoRedefine/>
    <w:qFormat/>
    <w:uiPriority w:val="0"/>
    <w:pPr>
      <w:widowControl/>
      <w:spacing w:before="100" w:beforeAutospacing="1" w:after="100" w:afterAutospacing="1"/>
      <w:jc w:val="left"/>
    </w:pPr>
    <w:rPr>
      <w:rFonts w:ascii="Arial" w:hAnsi="Arial"/>
      <w:kern w:val="0"/>
      <w:sz w:val="24"/>
    </w:rPr>
  </w:style>
  <w:style w:type="paragraph" w:customStyle="1" w:styleId="585">
    <w:name w:val="标题  4"/>
    <w:basedOn w:val="1"/>
    <w:autoRedefine/>
    <w:qFormat/>
    <w:uiPriority w:val="0"/>
    <w:pPr>
      <w:adjustRightInd w:val="0"/>
      <w:snapToGrid w:val="0"/>
      <w:spacing w:line="360" w:lineRule="auto"/>
      <w:ind w:firstLine="420"/>
    </w:pPr>
    <w:rPr>
      <w:kern w:val="0"/>
      <w:sz w:val="24"/>
      <w:szCs w:val="24"/>
    </w:rPr>
  </w:style>
  <w:style w:type="paragraph" w:customStyle="1" w:styleId="586">
    <w:name w:val="Char Char Char Char Char Char Char Char Char1 Char Char Char Char Char Char1 Char Char Char Char Char Char Char Char Char Char Char Char Char Char Char Char Char Char Char Char Char Char Char Char Char Char Char Char Char Char Char"/>
    <w:basedOn w:val="1"/>
    <w:autoRedefine/>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587">
    <w:name w:val="xl38"/>
    <w:basedOn w:val="1"/>
    <w:autoRedefine/>
    <w:qFormat/>
    <w:uiPriority w:val="0"/>
    <w:pPr>
      <w:widowControl/>
      <w:pBdr>
        <w:bottom w:val="single" w:color="auto" w:sz="4" w:space="0"/>
      </w:pBdr>
      <w:spacing w:before="100" w:beforeAutospacing="1" w:after="100" w:afterAutospacing="1"/>
      <w:jc w:val="center"/>
    </w:pPr>
    <w:rPr>
      <w:rFonts w:ascii="宋体" w:hAnsi="宋体" w:cs="宋体"/>
      <w:kern w:val="0"/>
      <w:sz w:val="24"/>
      <w:szCs w:val="24"/>
    </w:rPr>
  </w:style>
  <w:style w:type="paragraph" w:customStyle="1" w:styleId="588">
    <w:name w:val="版权页资料信息"/>
    <w:autoRedefine/>
    <w:qFormat/>
    <w:uiPriority w:val="0"/>
    <w:pPr>
      <w:tabs>
        <w:tab w:val="right" w:pos="945"/>
        <w:tab w:val="left" w:pos="1155"/>
      </w:tabs>
      <w:spacing w:line="300" w:lineRule="auto"/>
    </w:pPr>
    <w:rPr>
      <w:rFonts w:ascii="宋体" w:hAnsi="Times New Roman" w:eastAsia="宋体" w:cs="Times New Roman"/>
      <w:sz w:val="24"/>
      <w:lang w:val="en-US" w:eastAsia="zh-CN" w:bidi="ar-SA"/>
    </w:rPr>
  </w:style>
  <w:style w:type="paragraph" w:customStyle="1" w:styleId="589">
    <w:name w:val="xl42"/>
    <w:basedOn w:val="1"/>
    <w:autoRedefine/>
    <w:qFormat/>
    <w:uiPriority w:val="0"/>
    <w:pPr>
      <w:widowControl/>
      <w:adjustRightInd w:val="0"/>
      <w:snapToGrid w:val="0"/>
      <w:spacing w:before="100" w:beforeAutospacing="1" w:after="100" w:afterAutospacing="1"/>
      <w:jc w:val="center"/>
    </w:pPr>
    <w:rPr>
      <w:rFonts w:ascii="宋体" w:hAnsi="宋体"/>
      <w:kern w:val="0"/>
      <w:sz w:val="24"/>
      <w:szCs w:val="24"/>
    </w:rPr>
  </w:style>
  <w:style w:type="paragraph" w:customStyle="1" w:styleId="590">
    <w:name w:val="author"/>
    <w:basedOn w:val="7"/>
    <w:autoRedefine/>
    <w:qFormat/>
    <w:uiPriority w:val="0"/>
    <w:pPr>
      <w:keepNext w:val="0"/>
      <w:keepLines w:val="0"/>
      <w:adjustRightInd w:val="0"/>
      <w:snapToGrid/>
      <w:spacing w:beforeLines="50" w:after="120" w:line="240" w:lineRule="auto"/>
      <w:ind w:left="426" w:right="74" w:hanging="425"/>
      <w:jc w:val="center"/>
      <w:textAlignment w:val="baseline"/>
      <w:outlineLvl w:val="9"/>
    </w:pPr>
    <w:rPr>
      <w:rFonts w:ascii="Arial" w:hAnsi="Arial"/>
      <w:b/>
      <w:color w:val="auto"/>
      <w:szCs w:val="20"/>
    </w:rPr>
  </w:style>
  <w:style w:type="paragraph" w:customStyle="1" w:styleId="591">
    <w:name w:val="xl80"/>
    <w:basedOn w:val="1"/>
    <w:autoRedefine/>
    <w:qFormat/>
    <w:uiPriority w:val="0"/>
    <w:pPr>
      <w:widowControl/>
      <w:spacing w:before="100" w:beforeAutospacing="1" w:after="100" w:afterAutospacing="1"/>
      <w:jc w:val="left"/>
    </w:pPr>
    <w:rPr>
      <w:rFonts w:ascii="宋体" w:hAnsi="宋体"/>
      <w:kern w:val="0"/>
      <w:sz w:val="20"/>
    </w:rPr>
  </w:style>
  <w:style w:type="paragraph" w:customStyle="1" w:styleId="592">
    <w:name w:val="Char Char 字元 字元 字元 Char Char Char Char"/>
    <w:basedOn w:val="1"/>
    <w:autoRedefine/>
    <w:qFormat/>
    <w:uiPriority w:val="0"/>
    <w:pPr>
      <w:adjustRightInd w:val="0"/>
      <w:spacing w:line="360" w:lineRule="auto"/>
    </w:pPr>
    <w:rPr>
      <w:kern w:val="0"/>
      <w:sz w:val="24"/>
    </w:rPr>
  </w:style>
  <w:style w:type="paragraph" w:customStyle="1" w:styleId="593">
    <w:name w:val="正文2"/>
    <w:basedOn w:val="1"/>
    <w:autoRedefine/>
    <w:qFormat/>
    <w:uiPriority w:val="0"/>
    <w:pPr>
      <w:widowControl/>
      <w:tabs>
        <w:tab w:val="left" w:pos="1378"/>
      </w:tabs>
      <w:spacing w:line="360" w:lineRule="auto"/>
      <w:ind w:left="1378" w:hanging="420"/>
    </w:pPr>
    <w:rPr>
      <w:rFonts w:ascii="宋体"/>
      <w:kern w:val="16"/>
      <w:sz w:val="24"/>
    </w:rPr>
  </w:style>
  <w:style w:type="paragraph" w:customStyle="1" w:styleId="594">
    <w:name w:val="默认段落字体 Para Char Char Char Char Char Char Char Char Char Char"/>
    <w:basedOn w:val="1"/>
    <w:autoRedefine/>
    <w:qFormat/>
    <w:uiPriority w:val="0"/>
    <w:rPr>
      <w:rFonts w:ascii="Tahoma" w:hAnsi="Tahoma"/>
      <w:sz w:val="24"/>
    </w:rPr>
  </w:style>
  <w:style w:type="paragraph" w:customStyle="1" w:styleId="595">
    <w:name w:val="标书正文1"/>
    <w:basedOn w:val="1"/>
    <w:autoRedefine/>
    <w:qFormat/>
    <w:uiPriority w:val="0"/>
    <w:pPr>
      <w:tabs>
        <w:tab w:val="left" w:pos="5730"/>
        <w:tab w:val="left" w:pos="8280"/>
      </w:tabs>
      <w:adjustRightInd w:val="0"/>
      <w:snapToGrid w:val="0"/>
      <w:spacing w:line="360" w:lineRule="auto"/>
    </w:pPr>
    <w:rPr>
      <w:rFonts w:ascii="黑体" w:hAnsi="宋体" w:eastAsia="黑体"/>
      <w:b/>
      <w:sz w:val="24"/>
      <w:szCs w:val="24"/>
    </w:rPr>
  </w:style>
  <w:style w:type="paragraph" w:customStyle="1" w:styleId="596">
    <w:name w:val="Char1 Char Char Char Char Char Char Char Char Char Char Char Char"/>
    <w:basedOn w:val="1"/>
    <w:autoRedefine/>
    <w:qFormat/>
    <w:uiPriority w:val="0"/>
    <w:pPr>
      <w:widowControl/>
      <w:spacing w:after="160" w:line="240" w:lineRule="exact"/>
      <w:jc w:val="left"/>
    </w:pPr>
    <w:rPr>
      <w:rFonts w:ascii="Verdana" w:hAnsi="Verdana"/>
      <w:kern w:val="0"/>
      <w:sz w:val="20"/>
      <w:lang w:eastAsia="en-US"/>
    </w:rPr>
  </w:style>
  <w:style w:type="paragraph" w:customStyle="1" w:styleId="597">
    <w:name w:val="1 Char Char Char Char"/>
    <w:basedOn w:val="1"/>
    <w:autoRedefine/>
    <w:qFormat/>
    <w:uiPriority w:val="0"/>
    <w:rPr>
      <w:rFonts w:ascii="Tahoma" w:hAnsi="Tahoma"/>
      <w:sz w:val="24"/>
    </w:rPr>
  </w:style>
  <w:style w:type="paragraph" w:customStyle="1" w:styleId="598">
    <w:name w:val="xl98"/>
    <w:basedOn w:val="1"/>
    <w:autoRedefine/>
    <w:qFormat/>
    <w:uiPriority w:val="0"/>
    <w:pPr>
      <w:widowControl/>
      <w:pBdr>
        <w:top w:val="single" w:color="auto" w:sz="4" w:space="0"/>
        <w:bottom w:val="single" w:color="auto" w:sz="4" w:space="0"/>
      </w:pBdr>
      <w:shd w:val="clear" w:color="000000" w:fill="33CCCC"/>
      <w:spacing w:before="100" w:beforeAutospacing="1" w:after="100" w:afterAutospacing="1"/>
      <w:jc w:val="center"/>
      <w:textAlignment w:val="center"/>
    </w:pPr>
    <w:rPr>
      <w:rFonts w:ascii="宋体" w:hAnsi="宋体" w:cs="宋体"/>
      <w:b/>
      <w:bCs/>
      <w:color w:val="000000"/>
      <w:kern w:val="0"/>
      <w:sz w:val="22"/>
      <w:szCs w:val="22"/>
    </w:rPr>
  </w:style>
  <w:style w:type="paragraph" w:customStyle="1" w:styleId="599">
    <w:name w:val="xl35"/>
    <w:basedOn w:val="1"/>
    <w:autoRedefine/>
    <w:qFormat/>
    <w:uiPriority w:val="0"/>
    <w:pPr>
      <w:widowControl/>
      <w:spacing w:before="100" w:beforeAutospacing="1" w:after="100" w:afterAutospacing="1"/>
      <w:jc w:val="center"/>
      <w:textAlignment w:val="center"/>
    </w:pPr>
    <w:rPr>
      <w:rFonts w:ascii="Arial Unicode MS" w:hAnsi="Arial Unicode MS" w:eastAsia="Arial Unicode MS"/>
      <w:kern w:val="0"/>
      <w:sz w:val="24"/>
      <w:szCs w:val="18"/>
    </w:rPr>
  </w:style>
  <w:style w:type="paragraph" w:customStyle="1" w:styleId="600">
    <w:name w:val="Char3"/>
    <w:basedOn w:val="1"/>
    <w:autoRedefine/>
    <w:qFormat/>
    <w:uiPriority w:val="0"/>
    <w:rPr>
      <w:rFonts w:ascii="仿宋_GB2312" w:eastAsia="仿宋_GB2312"/>
      <w:b/>
      <w:sz w:val="32"/>
      <w:szCs w:val="32"/>
    </w:rPr>
  </w:style>
  <w:style w:type="paragraph" w:customStyle="1" w:styleId="601">
    <w:name w:val="表文字"/>
    <w:autoRedefine/>
    <w:qFormat/>
    <w:uiPriority w:val="0"/>
    <w:rPr>
      <w:rFonts w:ascii="宋体" w:hAnsi="Times New Roman" w:eastAsia="宋体" w:cs="Times New Roman"/>
      <w:kern w:val="2"/>
      <w:lang w:val="en-US" w:eastAsia="zh-CN" w:bidi="ar-SA"/>
    </w:rPr>
  </w:style>
  <w:style w:type="paragraph" w:customStyle="1" w:styleId="602">
    <w:name w:val="Char Char2 Char Char Char Char"/>
    <w:basedOn w:val="1"/>
    <w:autoRedefine/>
    <w:qFormat/>
    <w:uiPriority w:val="0"/>
    <w:pPr>
      <w:widowControl/>
      <w:spacing w:after="160" w:line="240" w:lineRule="exact"/>
      <w:jc w:val="left"/>
    </w:pPr>
    <w:rPr>
      <w:rFonts w:ascii="宋体" w:hAnsi="宋体"/>
      <w:b/>
      <w:sz w:val="24"/>
    </w:rPr>
  </w:style>
  <w:style w:type="paragraph" w:customStyle="1" w:styleId="603">
    <w:name w:val="font1"/>
    <w:basedOn w:val="1"/>
    <w:autoRedefine/>
    <w:qFormat/>
    <w:uiPriority w:val="0"/>
    <w:pPr>
      <w:widowControl/>
      <w:spacing w:before="100" w:beforeAutospacing="1" w:after="100" w:afterAutospacing="1"/>
      <w:jc w:val="left"/>
    </w:pPr>
    <w:rPr>
      <w:rFonts w:hint="eastAsia" w:ascii="宋体" w:hAnsi="宋体"/>
      <w:kern w:val="0"/>
      <w:sz w:val="24"/>
    </w:rPr>
  </w:style>
  <w:style w:type="paragraph" w:customStyle="1" w:styleId="604">
    <w:name w:val="正文1"/>
    <w:autoRedefine/>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605">
    <w:name w:val="xl50"/>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right"/>
      <w:textAlignment w:val="center"/>
    </w:pPr>
    <w:rPr>
      <w:rFonts w:ascii="宋体" w:hAnsi="宋体"/>
      <w:kern w:val="0"/>
      <w:sz w:val="20"/>
    </w:rPr>
  </w:style>
  <w:style w:type="paragraph" w:customStyle="1" w:styleId="606">
    <w:name w:val="Table Heading"/>
    <w:autoRedefine/>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607">
    <w:name w:val="Char Char1 Char Char Char Char Char Char Char Char Char Char Char Char Char Char Char Char Char Char Char Char Char Char Char Char Char Char Char Char Char Char Char Char Char Char Char"/>
    <w:basedOn w:val="1"/>
    <w:autoRedefine/>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608">
    <w:name w:val="图片"/>
    <w:basedOn w:val="451"/>
    <w:next w:val="451"/>
    <w:autoRedefine/>
    <w:qFormat/>
    <w:uiPriority w:val="0"/>
    <w:pPr>
      <w:keepNext/>
    </w:pPr>
  </w:style>
  <w:style w:type="paragraph" w:customStyle="1" w:styleId="609">
    <w:name w:val="font12"/>
    <w:basedOn w:val="1"/>
    <w:autoRedefine/>
    <w:qFormat/>
    <w:uiPriority w:val="0"/>
    <w:pPr>
      <w:widowControl/>
      <w:spacing w:before="100" w:beforeAutospacing="1" w:after="100" w:afterAutospacing="1"/>
      <w:jc w:val="left"/>
    </w:pPr>
    <w:rPr>
      <w:b/>
      <w:kern w:val="0"/>
      <w:sz w:val="24"/>
    </w:rPr>
  </w:style>
  <w:style w:type="paragraph" w:customStyle="1" w:styleId="610">
    <w:name w:val="xl85"/>
    <w:basedOn w:val="1"/>
    <w:autoRedefine/>
    <w:qFormat/>
    <w:uiPriority w:val="0"/>
    <w:pPr>
      <w:widowControl/>
      <w:pBdr>
        <w:top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611">
    <w:name w:val="表文"/>
    <w:autoRedefine/>
    <w:qFormat/>
    <w:uiPriority w:val="0"/>
    <w:pPr>
      <w:spacing w:before="62" w:after="62"/>
      <w:jc w:val="center"/>
    </w:pPr>
    <w:rPr>
      <w:rFonts w:ascii="Times New Roman" w:hAnsi="Times New Roman" w:eastAsia="仿宋_GB2312" w:cs="Times New Roman"/>
      <w:sz w:val="24"/>
      <w:lang w:val="en-US" w:eastAsia="zh-CN" w:bidi="ar-SA"/>
    </w:rPr>
  </w:style>
  <w:style w:type="paragraph" w:customStyle="1" w:styleId="612">
    <w:name w:val="xl32"/>
    <w:basedOn w:val="1"/>
    <w:autoRedefine/>
    <w:qFormat/>
    <w:uiPriority w:val="0"/>
    <w:pPr>
      <w:widowControl/>
      <w:pBdr>
        <w:top w:val="single" w:color="auto" w:sz="4" w:space="0"/>
      </w:pBdr>
      <w:spacing w:before="100" w:beforeAutospacing="1" w:after="100" w:afterAutospacing="1"/>
      <w:jc w:val="center"/>
    </w:pPr>
    <w:rPr>
      <w:rFonts w:ascii="宋体" w:hAnsi="宋体" w:cs="宋体"/>
      <w:kern w:val="0"/>
      <w:sz w:val="24"/>
      <w:szCs w:val="24"/>
    </w:rPr>
  </w:style>
  <w:style w:type="paragraph" w:customStyle="1" w:styleId="613">
    <w:name w:val="xl86"/>
    <w:basedOn w:val="1"/>
    <w:autoRedefine/>
    <w:qFormat/>
    <w:uiPriority w:val="0"/>
    <w:pPr>
      <w:widowControl/>
      <w:pBdr>
        <w:top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614">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rPr>
  </w:style>
  <w:style w:type="paragraph" w:customStyle="1" w:styleId="615">
    <w:name w:val="xl72"/>
    <w:basedOn w:val="1"/>
    <w:autoRedefine/>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jc w:val="center"/>
    </w:pPr>
    <w:rPr>
      <w:rFonts w:ascii="宋体" w:hAnsi="宋体"/>
      <w:kern w:val="0"/>
      <w:sz w:val="20"/>
    </w:rPr>
  </w:style>
  <w:style w:type="paragraph" w:customStyle="1" w:styleId="616">
    <w:name w:val="样式 标题 1Heading 0 + Arial 段前: 7.75 磅 段后: 7.75 磅 行距: 固定值 22 磅"/>
    <w:basedOn w:val="3"/>
    <w:autoRedefine/>
    <w:qFormat/>
    <w:uiPriority w:val="0"/>
    <w:pPr>
      <w:tabs>
        <w:tab w:val="left" w:pos="425"/>
      </w:tabs>
      <w:spacing w:before="155" w:after="155" w:line="440" w:lineRule="exact"/>
      <w:ind w:left="425" w:hanging="425"/>
    </w:pPr>
    <w:rPr>
      <w:rFonts w:ascii="Arial" w:hAnsi="Arial" w:eastAsia="黑体"/>
      <w:bCs w:val="0"/>
      <w:sz w:val="32"/>
      <w:szCs w:val="20"/>
    </w:rPr>
  </w:style>
  <w:style w:type="paragraph" w:customStyle="1" w:styleId="617">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left"/>
    </w:pPr>
    <w:rPr>
      <w:rFonts w:ascii="宋体" w:hAnsi="宋体" w:cs="宋体"/>
      <w:b/>
      <w:bCs/>
      <w:i/>
      <w:iCs/>
      <w:kern w:val="0"/>
      <w:sz w:val="24"/>
      <w:szCs w:val="24"/>
    </w:rPr>
  </w:style>
  <w:style w:type="paragraph" w:customStyle="1" w:styleId="618">
    <w:name w:val="样式 Arial 行距: 多倍行距 1.2 字行 首行缩进:  2 字符"/>
    <w:basedOn w:val="1"/>
    <w:autoRedefine/>
    <w:qFormat/>
    <w:uiPriority w:val="0"/>
    <w:pPr>
      <w:spacing w:line="288" w:lineRule="auto"/>
      <w:ind w:firstLine="420" w:firstLineChars="200"/>
    </w:pPr>
    <w:rPr>
      <w:rFonts w:ascii="Arial" w:hAnsi="Arial" w:cs="宋体"/>
      <w:sz w:val="20"/>
    </w:rPr>
  </w:style>
  <w:style w:type="paragraph" w:customStyle="1" w:styleId="619">
    <w:name w:val="默认段落字体 Para Char Char Char Char Char Char Char Char Char1 Char Char Char Char Char Char Char Char"/>
    <w:basedOn w:val="24"/>
    <w:autoRedefine/>
    <w:qFormat/>
    <w:uiPriority w:val="0"/>
    <w:rPr>
      <w:rFonts w:ascii="Tahoma" w:hAnsi="Tahoma"/>
      <w:sz w:val="24"/>
    </w:rPr>
  </w:style>
  <w:style w:type="paragraph" w:customStyle="1" w:styleId="620">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21">
    <w:name w:val="xl41"/>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622">
    <w:name w:val="CM9"/>
    <w:basedOn w:val="252"/>
    <w:next w:val="252"/>
    <w:autoRedefine/>
    <w:qFormat/>
    <w:uiPriority w:val="0"/>
    <w:pPr>
      <w:autoSpaceDE w:val="0"/>
      <w:autoSpaceDN w:val="0"/>
      <w:adjustRightInd w:val="0"/>
      <w:spacing w:line="300" w:lineRule="atLeast"/>
    </w:pPr>
    <w:rPr>
      <w:rFonts w:ascii="Arial Black" w:hAnsi="Arial Black" w:eastAsia="宋体"/>
      <w:color w:val="auto"/>
      <w:sz w:val="20"/>
      <w:lang w:eastAsia="zh-CN"/>
    </w:rPr>
  </w:style>
  <w:style w:type="paragraph" w:customStyle="1" w:styleId="623">
    <w:name w:val="表题"/>
    <w:autoRedefine/>
    <w:qFormat/>
    <w:uiPriority w:val="0"/>
    <w:pPr>
      <w:keepNext/>
      <w:keepLines/>
      <w:spacing w:line="360" w:lineRule="auto"/>
      <w:ind w:left="1134"/>
      <w:jc w:val="center"/>
    </w:pPr>
    <w:rPr>
      <w:rFonts w:ascii="Arial" w:hAnsi="Arial" w:eastAsia="黑体" w:cs="Times New Roman"/>
      <w:lang w:val="en-US" w:eastAsia="zh-CN" w:bidi="ar-SA"/>
    </w:rPr>
  </w:style>
  <w:style w:type="paragraph" w:customStyle="1" w:styleId="624">
    <w:name w:val="temp"/>
    <w:basedOn w:val="1"/>
    <w:autoRedefine/>
    <w:qFormat/>
    <w:uiPriority w:val="0"/>
    <w:pPr>
      <w:spacing w:line="0" w:lineRule="atLeast"/>
      <w:jc w:val="center"/>
    </w:pPr>
    <w:rPr>
      <w:rFonts w:ascii="Arial" w:hAnsi="Arial" w:eastAsia="楷体_GB2312"/>
      <w:sz w:val="14"/>
    </w:rPr>
  </w:style>
  <w:style w:type="paragraph" w:customStyle="1" w:styleId="625">
    <w:name w:val="样式 首行缩进:  0.74 厘米"/>
    <w:basedOn w:val="1"/>
    <w:autoRedefine/>
    <w:qFormat/>
    <w:uiPriority w:val="0"/>
    <w:pPr>
      <w:spacing w:line="360" w:lineRule="auto"/>
      <w:ind w:firstLine="200" w:firstLineChars="200"/>
    </w:pPr>
    <w:rPr>
      <w:rFonts w:cs="宋体"/>
      <w:sz w:val="24"/>
    </w:rPr>
  </w:style>
  <w:style w:type="paragraph" w:customStyle="1" w:styleId="626">
    <w:name w:val="Char Char5 Char Char Char Char Char Char Char Char"/>
    <w:basedOn w:val="1"/>
    <w:autoRedefine/>
    <w:qFormat/>
    <w:uiPriority w:val="0"/>
  </w:style>
  <w:style w:type="paragraph" w:customStyle="1" w:styleId="627">
    <w:name w:val="font0"/>
    <w:basedOn w:val="1"/>
    <w:autoRedefine/>
    <w:qFormat/>
    <w:uiPriority w:val="0"/>
    <w:pPr>
      <w:widowControl/>
      <w:spacing w:before="100" w:beforeAutospacing="1" w:after="100" w:afterAutospacing="1"/>
      <w:jc w:val="left"/>
    </w:pPr>
    <w:rPr>
      <w:rFonts w:hint="eastAsia" w:ascii="宋体"/>
      <w:kern w:val="0"/>
      <w:sz w:val="24"/>
      <w:szCs w:val="24"/>
    </w:rPr>
  </w:style>
  <w:style w:type="paragraph" w:customStyle="1" w:styleId="628">
    <w:name w:val="xl112"/>
    <w:basedOn w:val="1"/>
    <w:autoRedefine/>
    <w:qFormat/>
    <w:uiPriority w:val="0"/>
    <w:pPr>
      <w:widowControl/>
      <w:pBdr>
        <w:bottom w:val="single" w:color="auto" w:sz="4" w:space="0"/>
      </w:pBdr>
      <w:spacing w:before="100" w:beforeAutospacing="1" w:after="100" w:afterAutospacing="1"/>
      <w:jc w:val="left"/>
    </w:pPr>
    <w:rPr>
      <w:rFonts w:ascii="宋体" w:hAnsi="宋体" w:cs="宋体"/>
      <w:kern w:val="0"/>
      <w:sz w:val="24"/>
      <w:szCs w:val="24"/>
    </w:rPr>
  </w:style>
  <w:style w:type="paragraph" w:customStyle="1" w:styleId="629">
    <w:name w:val="contentnoteheader"/>
    <w:basedOn w:val="1"/>
    <w:autoRedefine/>
    <w:qFormat/>
    <w:uiPriority w:val="0"/>
    <w:pPr>
      <w:widowControl/>
      <w:spacing w:before="30" w:after="100" w:afterAutospacing="1"/>
      <w:ind w:left="90"/>
      <w:jc w:val="left"/>
    </w:pPr>
    <w:rPr>
      <w:rFonts w:ascii="Arial Unicode MS" w:hAnsi="Arial Unicode MS"/>
      <w:b/>
      <w:color w:val="990000"/>
      <w:kern w:val="0"/>
      <w:sz w:val="18"/>
    </w:rPr>
  </w:style>
  <w:style w:type="paragraph" w:customStyle="1" w:styleId="630">
    <w:name w:val="正文1.2"/>
    <w:basedOn w:val="1"/>
    <w:autoRedefine/>
    <w:qFormat/>
    <w:uiPriority w:val="0"/>
    <w:pPr>
      <w:spacing w:line="288" w:lineRule="auto"/>
      <w:jc w:val="left"/>
    </w:pPr>
    <w:rPr>
      <w:rFonts w:ascii="宋体"/>
      <w:kern w:val="0"/>
      <w:sz w:val="28"/>
      <w:lang w:eastAsia="en-US"/>
    </w:rPr>
  </w:style>
  <w:style w:type="paragraph" w:customStyle="1" w:styleId="631">
    <w:name w:val="list1"/>
    <w:basedOn w:val="492"/>
    <w:autoRedefine/>
    <w:qFormat/>
    <w:uiPriority w:val="0"/>
    <w:pPr>
      <w:ind w:left="1242" w:hanging="397"/>
    </w:pPr>
    <w:rPr>
      <w:rFonts w:ascii="宋体" w:eastAsia="宋体"/>
      <w:color w:val="000000"/>
      <w:kern w:val="2"/>
      <w:sz w:val="24"/>
    </w:rPr>
  </w:style>
  <w:style w:type="paragraph" w:customStyle="1" w:styleId="632">
    <w:name w:val="Definition List"/>
    <w:basedOn w:val="1"/>
    <w:next w:val="500"/>
    <w:autoRedefine/>
    <w:qFormat/>
    <w:uiPriority w:val="0"/>
    <w:pPr>
      <w:widowControl/>
      <w:ind w:left="360"/>
      <w:jc w:val="left"/>
    </w:pPr>
    <w:rPr>
      <w:snapToGrid w:val="0"/>
      <w:kern w:val="0"/>
      <w:sz w:val="24"/>
      <w:lang w:eastAsia="en-US"/>
    </w:rPr>
  </w:style>
  <w:style w:type="paragraph" w:customStyle="1" w:styleId="633">
    <w:name w:val="列出段落2"/>
    <w:basedOn w:val="1"/>
    <w:autoRedefine/>
    <w:qFormat/>
    <w:uiPriority w:val="0"/>
    <w:pPr>
      <w:ind w:firstLine="420" w:firstLineChars="200"/>
    </w:pPr>
    <w:rPr>
      <w:szCs w:val="24"/>
    </w:rPr>
  </w:style>
  <w:style w:type="paragraph" w:customStyle="1" w:styleId="634">
    <w:name w:val="tableheading"/>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635">
    <w:name w:val="标题 4宋体"/>
    <w:basedOn w:val="7"/>
    <w:autoRedefine/>
    <w:qFormat/>
    <w:uiPriority w:val="0"/>
    <w:pPr>
      <w:keepLines w:val="0"/>
      <w:tabs>
        <w:tab w:val="left" w:pos="864"/>
      </w:tabs>
      <w:autoSpaceDE w:val="0"/>
      <w:autoSpaceDN w:val="0"/>
      <w:adjustRightInd w:val="0"/>
      <w:snapToGrid/>
      <w:spacing w:before="0" w:after="0"/>
      <w:ind w:left="864" w:hanging="864"/>
    </w:pPr>
    <w:rPr>
      <w:rFonts w:ascii="宋体" w:hAnsi="宋体"/>
      <w:b/>
      <w:szCs w:val="20"/>
    </w:rPr>
  </w:style>
  <w:style w:type="paragraph" w:customStyle="1" w:styleId="636">
    <w:name w:val="特点反白字"/>
    <w:autoRedefine/>
    <w:qFormat/>
    <w:uiPriority w:val="0"/>
    <w:pPr>
      <w:autoSpaceDE w:val="0"/>
      <w:autoSpaceDN w:val="0"/>
      <w:adjustRightInd w:val="0"/>
      <w:ind w:left="198"/>
      <w:jc w:val="both"/>
    </w:pPr>
    <w:rPr>
      <w:rFonts w:ascii="汉鼎简中等线Arial" w:hAnsi="Times New Roman" w:eastAsia="汉鼎简中等线Arial" w:cs="Times New Roman"/>
      <w:color w:val="FFFFFF"/>
      <w:sz w:val="16"/>
      <w:szCs w:val="16"/>
      <w:lang w:val="en-US" w:eastAsia="en-US" w:bidi="ar-SA"/>
    </w:rPr>
  </w:style>
  <w:style w:type="paragraph" w:customStyle="1" w:styleId="637">
    <w:name w:val="CM93"/>
    <w:basedOn w:val="1"/>
    <w:next w:val="1"/>
    <w:autoRedefine/>
    <w:qFormat/>
    <w:uiPriority w:val="0"/>
    <w:pPr>
      <w:autoSpaceDE w:val="0"/>
      <w:autoSpaceDN w:val="0"/>
      <w:adjustRightInd w:val="0"/>
      <w:spacing w:line="273" w:lineRule="atLeast"/>
      <w:jc w:val="left"/>
    </w:pPr>
    <w:rPr>
      <w:rFonts w:ascii="EPKJJF+DFPHeiW5" w:eastAsia="EPKJJF+DFPHeiW5"/>
      <w:kern w:val="0"/>
      <w:sz w:val="24"/>
    </w:rPr>
  </w:style>
  <w:style w:type="paragraph" w:customStyle="1" w:styleId="638">
    <w:name w:val="Char Char25 Char Char"/>
    <w:basedOn w:val="24"/>
    <w:autoRedefine/>
    <w:qFormat/>
    <w:uiPriority w:val="0"/>
    <w:rPr>
      <w:rFonts w:ascii="宋体" w:hAnsi="宋体"/>
      <w:b/>
      <w:sz w:val="24"/>
      <w:shd w:val="clear" w:color="auto" w:fill="auto"/>
    </w:rPr>
  </w:style>
  <w:style w:type="paragraph" w:customStyle="1" w:styleId="639">
    <w:name w:val="xl49"/>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640">
    <w:name w:val="正文文字缩进 2"/>
    <w:basedOn w:val="1"/>
    <w:autoRedefine/>
    <w:qFormat/>
    <w:uiPriority w:val="0"/>
    <w:pPr>
      <w:widowControl/>
      <w:spacing w:line="351" w:lineRule="atLeast"/>
      <w:ind w:firstLine="419"/>
      <w:textAlignment w:val="baseline"/>
    </w:pPr>
    <w:rPr>
      <w:color w:val="000000"/>
      <w:kern w:val="0"/>
      <w:u w:color="000000"/>
    </w:rPr>
  </w:style>
  <w:style w:type="paragraph" w:customStyle="1" w:styleId="641">
    <w:name w:val="正文 A"/>
    <w:autoRedefine/>
    <w:qFormat/>
    <w:uiPriority w:val="0"/>
    <w:pPr>
      <w:widowControl w:val="0"/>
      <w:jc w:val="both"/>
    </w:pPr>
    <w:rPr>
      <w:rFonts w:ascii="Calibri" w:hAnsi="Arial Unicode MS" w:eastAsia="Arial Unicode MS" w:cs="黑体"/>
      <w:color w:val="000000"/>
      <w:kern w:val="2"/>
      <w:sz w:val="21"/>
      <w:szCs w:val="21"/>
      <w:u w:color="000000"/>
      <w:lang w:val="en-US" w:eastAsia="zh-CN" w:bidi="ar-SA"/>
    </w:rPr>
  </w:style>
  <w:style w:type="paragraph" w:customStyle="1" w:styleId="642">
    <w:name w:val="xl119"/>
    <w:basedOn w:val="1"/>
    <w:autoRedefine/>
    <w:qFormat/>
    <w:uiPriority w:val="0"/>
    <w:pPr>
      <w:widowControl/>
      <w:pBdr>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0"/>
    </w:rPr>
  </w:style>
  <w:style w:type="paragraph" w:customStyle="1" w:styleId="643">
    <w:name w:val="Table"/>
    <w:basedOn w:val="1"/>
    <w:autoRedefine/>
    <w:qFormat/>
    <w:uiPriority w:val="0"/>
    <w:pPr>
      <w:snapToGrid w:val="0"/>
      <w:spacing w:before="20" w:after="20"/>
      <w:ind w:left="2268" w:right="709"/>
      <w:jc w:val="center"/>
    </w:pPr>
    <w:rPr>
      <w:rFonts w:ascii="Arial" w:hAnsi="Arial" w:eastAsia="2OcuAe"/>
      <w:spacing w:val="2"/>
      <w:kern w:val="0"/>
      <w:sz w:val="18"/>
    </w:rPr>
  </w:style>
  <w:style w:type="paragraph" w:customStyle="1" w:styleId="644">
    <w:name w:val="标书表格字体格式"/>
    <w:next w:val="137"/>
    <w:autoRedefine/>
    <w:qFormat/>
    <w:uiPriority w:val="0"/>
    <w:pPr>
      <w:jc w:val="center"/>
    </w:pPr>
    <w:rPr>
      <w:rFonts w:ascii="Times New Roman" w:hAnsi="Times New Roman" w:eastAsia="宋体" w:cs="Times New Roman"/>
      <w:kern w:val="2"/>
      <w:sz w:val="21"/>
      <w:lang w:val="en-US" w:eastAsia="zh-CN" w:bidi="ar-SA"/>
    </w:rPr>
  </w:style>
  <w:style w:type="paragraph" w:customStyle="1" w:styleId="645">
    <w:name w:val="xl73"/>
    <w:basedOn w:val="1"/>
    <w:autoRedefine/>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jc w:val="center"/>
    </w:pPr>
    <w:rPr>
      <w:rFonts w:ascii="宋体" w:hAnsi="宋体"/>
      <w:kern w:val="0"/>
      <w:sz w:val="20"/>
    </w:rPr>
  </w:style>
  <w:style w:type="paragraph" w:customStyle="1" w:styleId="646">
    <w:name w:val="纯文本1"/>
    <w:basedOn w:val="1"/>
    <w:autoRedefine/>
    <w:qFormat/>
    <w:uiPriority w:val="99"/>
    <w:pPr>
      <w:ind w:firstLine="560" w:firstLineChars="200"/>
    </w:pPr>
    <w:rPr>
      <w:rFonts w:ascii="宋体" w:hAnsi="宋体"/>
      <w:sz w:val="24"/>
    </w:rPr>
  </w:style>
  <w:style w:type="paragraph" w:customStyle="1" w:styleId="647">
    <w:name w:val="xl48"/>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648">
    <w:name w:val="123"/>
    <w:basedOn w:val="1"/>
    <w:autoRedefine/>
    <w:qFormat/>
    <w:uiPriority w:val="0"/>
    <w:pPr>
      <w:spacing w:before="120"/>
      <w:ind w:firstLine="425"/>
    </w:pPr>
  </w:style>
  <w:style w:type="paragraph" w:customStyle="1" w:styleId="649">
    <w:name w:val="Char Char1 Char Char Char Char1"/>
    <w:basedOn w:val="1"/>
    <w:autoRedefine/>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650">
    <w:name w:val="xl83"/>
    <w:basedOn w:val="1"/>
    <w:autoRedefine/>
    <w:qFormat/>
    <w:uiPriority w:val="0"/>
    <w:pPr>
      <w:widowControl/>
      <w:pBdr>
        <w:top w:val="single" w:color="auto" w:sz="4" w:space="0"/>
        <w:bottom w:val="single" w:color="auto" w:sz="4" w:space="0"/>
      </w:pBdr>
      <w:shd w:val="clear" w:color="auto" w:fill="CCFFFF"/>
      <w:spacing w:before="100" w:beforeAutospacing="1" w:after="100" w:afterAutospacing="1"/>
      <w:jc w:val="center"/>
      <w:textAlignment w:val="center"/>
    </w:pPr>
    <w:rPr>
      <w:rFonts w:ascii="黑体" w:hAnsi="宋体" w:eastAsia="黑体" w:cs="宋体"/>
      <w:b/>
      <w:bCs/>
      <w:kern w:val="0"/>
      <w:sz w:val="22"/>
      <w:szCs w:val="22"/>
    </w:rPr>
  </w:style>
  <w:style w:type="paragraph" w:customStyle="1" w:styleId="651">
    <w:name w:val="Char1 Char Char Char Char Char Char"/>
    <w:basedOn w:val="1"/>
    <w:autoRedefine/>
    <w:qFormat/>
    <w:uiPriority w:val="0"/>
    <w:rPr>
      <w:rFonts w:ascii="Tahoma" w:hAnsi="Tahoma"/>
      <w:sz w:val="24"/>
    </w:rPr>
  </w:style>
  <w:style w:type="paragraph" w:customStyle="1" w:styleId="652">
    <w:name w:val="表2"/>
    <w:basedOn w:val="1"/>
    <w:autoRedefine/>
    <w:qFormat/>
    <w:uiPriority w:val="0"/>
    <w:pPr>
      <w:widowControl/>
      <w:tabs>
        <w:tab w:val="left" w:pos="6234"/>
      </w:tabs>
      <w:jc w:val="left"/>
    </w:pPr>
    <w:rPr>
      <w:rFonts w:ascii="宋体" w:hAnsi="宋体"/>
      <w:iCs/>
      <w:kern w:val="0"/>
    </w:rPr>
  </w:style>
  <w:style w:type="paragraph" w:customStyle="1" w:styleId="653">
    <w:name w:val="xl92"/>
    <w:basedOn w:val="1"/>
    <w:autoRedefine/>
    <w:qFormat/>
    <w:uiPriority w:val="0"/>
    <w:pPr>
      <w:widowControl/>
      <w:pBdr>
        <w:left w:val="single" w:color="auto" w:sz="4" w:space="0"/>
        <w:bottom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654">
    <w:name w:val="普通正文"/>
    <w:basedOn w:val="1"/>
    <w:autoRedefine/>
    <w:qFormat/>
    <w:uiPriority w:val="0"/>
    <w:pPr>
      <w:snapToGrid w:val="0"/>
      <w:spacing w:before="120" w:after="120" w:line="360" w:lineRule="atLeast"/>
      <w:ind w:firstLine="425"/>
    </w:pPr>
    <w:rPr>
      <w:kern w:val="21"/>
    </w:rPr>
  </w:style>
  <w:style w:type="paragraph" w:customStyle="1" w:styleId="655">
    <w:name w:val="样式 宋体 小四 行距: 1.5 倍行距"/>
    <w:basedOn w:val="1"/>
    <w:autoRedefine/>
    <w:qFormat/>
    <w:uiPriority w:val="0"/>
    <w:pPr>
      <w:spacing w:line="360" w:lineRule="auto"/>
      <w:ind w:firstLine="480" w:firstLineChars="200"/>
    </w:pPr>
    <w:rPr>
      <w:rFonts w:ascii="宋体" w:hAnsi="宋体"/>
      <w:color w:val="000000"/>
      <w:sz w:val="24"/>
    </w:rPr>
  </w:style>
  <w:style w:type="paragraph" w:customStyle="1" w:styleId="656">
    <w:name w:val="CM140"/>
    <w:basedOn w:val="1"/>
    <w:next w:val="1"/>
    <w:autoRedefine/>
    <w:qFormat/>
    <w:uiPriority w:val="0"/>
    <w:pPr>
      <w:autoSpaceDE w:val="0"/>
      <w:autoSpaceDN w:val="0"/>
      <w:adjustRightInd w:val="0"/>
      <w:spacing w:after="543"/>
      <w:jc w:val="left"/>
    </w:pPr>
    <w:rPr>
      <w:rFonts w:ascii="EPKJJF+DFPHeiW5" w:eastAsia="EPKJJF+DFPHeiW5"/>
      <w:kern w:val="0"/>
      <w:sz w:val="24"/>
    </w:rPr>
  </w:style>
  <w:style w:type="paragraph" w:customStyle="1" w:styleId="657">
    <w:name w:val="xl61"/>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kern w:val="0"/>
      <w:sz w:val="20"/>
    </w:rPr>
  </w:style>
  <w:style w:type="paragraph" w:customStyle="1" w:styleId="658">
    <w:name w:val="特别说明"/>
    <w:basedOn w:val="1"/>
    <w:autoRedefine/>
    <w:qFormat/>
    <w:uiPriority w:val="0"/>
    <w:pPr>
      <w:widowControl/>
      <w:tabs>
        <w:tab w:val="left" w:pos="720"/>
      </w:tabs>
      <w:spacing w:before="120" w:after="120" w:line="360" w:lineRule="auto"/>
      <w:ind w:left="720" w:hanging="720"/>
      <w:jc w:val="left"/>
    </w:pPr>
    <w:rPr>
      <w:rFonts w:ascii="仿宋体" w:eastAsia="仿宋体"/>
      <w:b/>
      <w:i/>
      <w:kern w:val="0"/>
      <w:sz w:val="24"/>
    </w:rPr>
  </w:style>
  <w:style w:type="paragraph" w:customStyle="1" w:styleId="659">
    <w:name w:val="Char Char2 Char Char"/>
    <w:basedOn w:val="1"/>
    <w:autoRedefine/>
    <w:qFormat/>
    <w:uiPriority w:val="0"/>
    <w:pPr>
      <w:widowControl/>
      <w:spacing w:after="160" w:line="240" w:lineRule="exact"/>
      <w:jc w:val="left"/>
    </w:pPr>
    <w:rPr>
      <w:rFonts w:ascii="宋体" w:hAnsi="宋体"/>
      <w:b/>
      <w:sz w:val="24"/>
    </w:rPr>
  </w:style>
  <w:style w:type="paragraph" w:customStyle="1" w:styleId="660">
    <w:name w:val="样式 宋体 小四 段前: 6 磅 段后: 6 磅 行距: 1.5 倍行距"/>
    <w:basedOn w:val="1"/>
    <w:autoRedefine/>
    <w:qFormat/>
    <w:uiPriority w:val="0"/>
    <w:pPr>
      <w:spacing w:line="360" w:lineRule="auto"/>
    </w:pPr>
    <w:rPr>
      <w:rFonts w:ascii="宋体" w:hAnsi="宋体"/>
      <w:sz w:val="24"/>
    </w:rPr>
  </w:style>
  <w:style w:type="paragraph" w:customStyle="1" w:styleId="661">
    <w:name w:val="普文W"/>
    <w:basedOn w:val="40"/>
    <w:autoRedefine/>
    <w:qFormat/>
    <w:uiPriority w:val="0"/>
    <w:pPr>
      <w:spacing w:before="120" w:after="120" w:line="360" w:lineRule="auto"/>
    </w:pPr>
  </w:style>
  <w:style w:type="paragraph" w:customStyle="1" w:styleId="662">
    <w:name w:val="样式 正文文字 + 左侧:  2 字符 首行缩进:  2 字符"/>
    <w:basedOn w:val="1"/>
    <w:autoRedefine/>
    <w:qFormat/>
    <w:uiPriority w:val="0"/>
    <w:pPr>
      <w:spacing w:line="360" w:lineRule="auto"/>
      <w:ind w:left="480" w:leftChars="200" w:firstLine="480" w:firstLineChars="200"/>
    </w:pPr>
  </w:style>
  <w:style w:type="paragraph" w:customStyle="1" w:styleId="663">
    <w:name w:val="标书正文样式"/>
    <w:basedOn w:val="1"/>
    <w:autoRedefine/>
    <w:qFormat/>
    <w:uiPriority w:val="0"/>
    <w:pPr>
      <w:spacing w:after="100" w:afterAutospacing="1" w:line="360" w:lineRule="auto"/>
      <w:ind w:firstLine="480" w:firstLineChars="200"/>
    </w:pPr>
    <w:rPr>
      <w:sz w:val="24"/>
    </w:rPr>
  </w:style>
  <w:style w:type="paragraph" w:customStyle="1" w:styleId="664">
    <w:name w:val="Char Char2 Char Char Char"/>
    <w:basedOn w:val="24"/>
    <w:autoRedefine/>
    <w:qFormat/>
    <w:uiPriority w:val="0"/>
  </w:style>
  <w:style w:type="paragraph" w:customStyle="1" w:styleId="665">
    <w:name w:val="xl114"/>
    <w:basedOn w:val="1"/>
    <w:autoRedefine/>
    <w:qFormat/>
    <w:uiPriority w:val="0"/>
    <w:pPr>
      <w:widowControl/>
      <w:pBdr>
        <w:top w:val="single" w:color="auto" w:sz="4" w:space="0"/>
        <w:left w:val="single" w:color="auto" w:sz="4" w:space="0"/>
        <w:right w:val="single" w:color="auto" w:sz="4" w:space="0"/>
      </w:pBdr>
      <w:shd w:val="pct10" w:color="000000" w:fill="33CCCC"/>
      <w:spacing w:before="100" w:beforeAutospacing="1" w:after="100" w:afterAutospacing="1"/>
      <w:jc w:val="left"/>
      <w:textAlignment w:val="center"/>
    </w:pPr>
    <w:rPr>
      <w:rFonts w:ascii="黑体" w:hAnsi="宋体" w:eastAsia="黑体" w:cs="宋体"/>
      <w:kern w:val="0"/>
      <w:sz w:val="24"/>
      <w:szCs w:val="24"/>
    </w:rPr>
  </w:style>
  <w:style w:type="paragraph" w:customStyle="1" w:styleId="666">
    <w:name w:val="答复"/>
    <w:basedOn w:val="11"/>
    <w:next w:val="1"/>
    <w:autoRedefine/>
    <w:qFormat/>
    <w:uiPriority w:val="0"/>
    <w:pPr>
      <w:ind w:firstLine="0" w:firstLineChars="0"/>
    </w:pPr>
    <w:rPr>
      <w:b/>
      <w:spacing w:val="20"/>
    </w:rPr>
  </w:style>
  <w:style w:type="paragraph" w:customStyle="1" w:styleId="667">
    <w:name w:val="xl101"/>
    <w:basedOn w:val="1"/>
    <w:autoRedefine/>
    <w:qFormat/>
    <w:uiPriority w:val="0"/>
    <w:pPr>
      <w:widowControl/>
      <w:pBdr>
        <w:right w:val="single" w:color="auto" w:sz="4" w:space="0"/>
      </w:pBdr>
      <w:spacing w:before="100" w:beforeAutospacing="1" w:after="100" w:afterAutospacing="1"/>
      <w:jc w:val="center"/>
    </w:pPr>
    <w:rPr>
      <w:rFonts w:ascii="宋体" w:hAnsi="宋体" w:cs="宋体"/>
      <w:kern w:val="0"/>
      <w:sz w:val="20"/>
    </w:rPr>
  </w:style>
  <w:style w:type="paragraph" w:customStyle="1" w:styleId="668">
    <w:name w:val="Char1 Char Char Char"/>
    <w:basedOn w:val="1"/>
    <w:autoRedefine/>
    <w:qFormat/>
    <w:uiPriority w:val="0"/>
    <w:rPr>
      <w:rFonts w:ascii="Tahoma" w:hAnsi="Tahoma"/>
      <w:sz w:val="24"/>
    </w:rPr>
  </w:style>
  <w:style w:type="paragraph" w:customStyle="1" w:styleId="669">
    <w:name w:val="xl29"/>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70">
    <w:name w:val="CM36"/>
    <w:basedOn w:val="252"/>
    <w:next w:val="252"/>
    <w:autoRedefine/>
    <w:qFormat/>
    <w:uiPriority w:val="0"/>
    <w:pPr>
      <w:autoSpaceDE w:val="0"/>
      <w:autoSpaceDN w:val="0"/>
      <w:adjustRightInd w:val="0"/>
      <w:spacing w:after="933"/>
    </w:pPr>
    <w:rPr>
      <w:rFonts w:ascii="HYDaHeiJ" w:eastAsia="HYDaHeiJ"/>
      <w:color w:val="auto"/>
      <w:lang w:eastAsia="zh-CN"/>
    </w:rPr>
  </w:style>
  <w:style w:type="paragraph" w:customStyle="1" w:styleId="671">
    <w:name w:val="p"/>
    <w:basedOn w:val="1"/>
    <w:autoRedefine/>
    <w:qFormat/>
    <w:uiPriority w:val="0"/>
    <w:pPr>
      <w:widowControl/>
      <w:spacing w:before="60" w:after="60" w:line="420" w:lineRule="atLeast"/>
      <w:ind w:firstLine="480"/>
      <w:jc w:val="left"/>
    </w:pPr>
    <w:rPr>
      <w:rFonts w:ascii="宋体" w:hAnsi="宋体"/>
      <w:color w:val="000000"/>
      <w:kern w:val="0"/>
      <w:sz w:val="24"/>
    </w:rPr>
  </w:style>
  <w:style w:type="paragraph" w:customStyle="1" w:styleId="672">
    <w:name w:val="Char1 Char Char Char1"/>
    <w:basedOn w:val="1"/>
    <w:autoRedefine/>
    <w:qFormat/>
    <w:uiPriority w:val="0"/>
    <w:pPr>
      <w:widowControl/>
      <w:spacing w:after="160" w:line="240" w:lineRule="exact"/>
      <w:jc w:val="left"/>
    </w:pPr>
    <w:rPr>
      <w:rFonts w:ascii="Verdana" w:hAnsi="Verdana" w:eastAsia="仿宋_GB2312"/>
      <w:kern w:val="0"/>
      <w:sz w:val="28"/>
      <w:lang w:eastAsia="en-US"/>
    </w:rPr>
  </w:style>
  <w:style w:type="paragraph" w:customStyle="1" w:styleId="673">
    <w:name w:val="font10"/>
    <w:basedOn w:val="1"/>
    <w:autoRedefine/>
    <w:qFormat/>
    <w:uiPriority w:val="0"/>
    <w:pPr>
      <w:widowControl/>
      <w:spacing w:before="100" w:beforeAutospacing="1" w:after="100" w:afterAutospacing="1"/>
      <w:jc w:val="left"/>
    </w:pPr>
    <w:rPr>
      <w:rFonts w:hint="eastAsia" w:ascii="宋体" w:hAnsi="宋体"/>
      <w:b/>
      <w:kern w:val="0"/>
      <w:sz w:val="24"/>
    </w:rPr>
  </w:style>
  <w:style w:type="paragraph" w:customStyle="1" w:styleId="674">
    <w:name w:val="表格正文"/>
    <w:basedOn w:val="1"/>
    <w:autoRedefine/>
    <w:qFormat/>
    <w:uiPriority w:val="0"/>
    <w:rPr>
      <w:rFonts w:ascii="Arial" w:hAnsi="Arial"/>
      <w:sz w:val="18"/>
      <w:szCs w:val="24"/>
    </w:rPr>
  </w:style>
  <w:style w:type="paragraph" w:customStyle="1" w:styleId="675">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lang w:eastAsia="en-US"/>
    </w:rPr>
  </w:style>
  <w:style w:type="paragraph" w:customStyle="1" w:styleId="676">
    <w:name w:val="Char1 Char Char Char Char Char Char Char Char Char Char Char"/>
    <w:basedOn w:val="1"/>
    <w:autoRedefine/>
    <w:qFormat/>
    <w:uiPriority w:val="0"/>
    <w:pPr>
      <w:widowControl/>
      <w:spacing w:after="160" w:line="240" w:lineRule="exact"/>
      <w:jc w:val="left"/>
    </w:pPr>
    <w:rPr>
      <w:rFonts w:ascii="Verdana" w:hAnsi="Verdana"/>
      <w:kern w:val="0"/>
      <w:sz w:val="20"/>
      <w:lang w:eastAsia="en-US"/>
    </w:rPr>
  </w:style>
  <w:style w:type="paragraph" w:customStyle="1" w:styleId="677">
    <w:name w:val="CM12"/>
    <w:basedOn w:val="252"/>
    <w:next w:val="252"/>
    <w:autoRedefine/>
    <w:qFormat/>
    <w:uiPriority w:val="0"/>
    <w:pPr>
      <w:autoSpaceDE w:val="0"/>
      <w:autoSpaceDN w:val="0"/>
      <w:adjustRightInd w:val="0"/>
    </w:pPr>
    <w:rPr>
      <w:rFonts w:ascii="HYDaHeiJ" w:eastAsia="HYDaHeiJ"/>
      <w:color w:val="auto"/>
      <w:lang w:eastAsia="zh-CN"/>
    </w:rPr>
  </w:style>
  <w:style w:type="paragraph" w:customStyle="1" w:styleId="678">
    <w:name w:val="font9"/>
    <w:basedOn w:val="1"/>
    <w:autoRedefine/>
    <w:qFormat/>
    <w:uiPriority w:val="0"/>
    <w:pPr>
      <w:widowControl/>
      <w:spacing w:before="100" w:beforeAutospacing="1" w:after="100" w:afterAutospacing="1"/>
      <w:jc w:val="left"/>
    </w:pPr>
    <w:rPr>
      <w:rFonts w:hint="eastAsia" w:ascii="宋体" w:hAnsi="宋体"/>
      <w:b/>
      <w:i/>
      <w:kern w:val="0"/>
      <w:sz w:val="20"/>
    </w:rPr>
  </w:style>
  <w:style w:type="paragraph" w:customStyle="1" w:styleId="679">
    <w:name w:val="符合标题4"/>
    <w:basedOn w:val="1"/>
    <w:autoRedefine/>
    <w:qFormat/>
    <w:uiPriority w:val="0"/>
    <w:pPr>
      <w:widowControl/>
      <w:tabs>
        <w:tab w:val="left" w:pos="360"/>
      </w:tabs>
      <w:spacing w:before="50" w:line="360" w:lineRule="auto"/>
      <w:ind w:left="300" w:hanging="420"/>
      <w:jc w:val="left"/>
    </w:pPr>
    <w:rPr>
      <w:rFonts w:ascii="宋体" w:hAnsi="宋体"/>
      <w:kern w:val="0"/>
    </w:rPr>
  </w:style>
  <w:style w:type="paragraph" w:customStyle="1" w:styleId="680">
    <w:name w:val="1st Layer"/>
    <w:basedOn w:val="1"/>
    <w:autoRedefine/>
    <w:qFormat/>
    <w:uiPriority w:val="0"/>
    <w:pPr>
      <w:tabs>
        <w:tab w:val="left" w:pos="780"/>
      </w:tabs>
      <w:autoSpaceDE w:val="0"/>
      <w:autoSpaceDN w:val="0"/>
      <w:adjustRightInd w:val="0"/>
      <w:spacing w:line="312" w:lineRule="exact"/>
      <w:ind w:left="629" w:hanging="209"/>
      <w:textAlignment w:val="baseline"/>
    </w:pPr>
    <w:rPr>
      <w:kern w:val="24"/>
    </w:rPr>
  </w:style>
  <w:style w:type="paragraph" w:customStyle="1" w:styleId="681">
    <w:name w:val="样式07"/>
    <w:basedOn w:val="1"/>
    <w:autoRedefine/>
    <w:qFormat/>
    <w:uiPriority w:val="0"/>
    <w:pPr>
      <w:tabs>
        <w:tab w:val="left" w:pos="1370"/>
      </w:tabs>
      <w:spacing w:beforeLines="50" w:afterLines="50" w:line="300" w:lineRule="auto"/>
      <w:ind w:left="1370" w:hanging="425"/>
    </w:pPr>
    <w:rPr>
      <w:b/>
      <w:sz w:val="24"/>
      <w:szCs w:val="24"/>
    </w:rPr>
  </w:style>
  <w:style w:type="paragraph" w:customStyle="1" w:styleId="682">
    <w:name w:val="Part Label"/>
    <w:basedOn w:val="1"/>
    <w:autoRedefine/>
    <w:qFormat/>
    <w:uiPriority w:val="0"/>
    <w:pPr>
      <w:widowControl/>
      <w:pBdr>
        <w:top w:val="single" w:color="auto" w:sz="6" w:space="1"/>
        <w:left w:val="single" w:color="auto" w:sz="6" w:space="1"/>
      </w:pBdr>
      <w:shd w:val="solid" w:color="auto" w:fill="auto"/>
      <w:spacing w:line="360" w:lineRule="exact"/>
      <w:ind w:left="907" w:right="7412"/>
      <w:jc w:val="center"/>
    </w:pPr>
    <w:rPr>
      <w:rFonts w:ascii="仿宋体" w:hAnsi="Arial" w:eastAsia="仿宋体"/>
      <w:color w:val="FFFFFF"/>
      <w:spacing w:val="-16"/>
      <w:kern w:val="0"/>
      <w:position w:val="4"/>
      <w:sz w:val="26"/>
      <w:lang w:eastAsia="en-US"/>
    </w:rPr>
  </w:style>
  <w:style w:type="paragraph" w:customStyle="1" w:styleId="683">
    <w:name w:val="Char Char26 Char Char Char Char1"/>
    <w:basedOn w:val="1"/>
    <w:autoRedefine/>
    <w:qFormat/>
    <w:uiPriority w:val="0"/>
  </w:style>
  <w:style w:type="paragraph" w:customStyle="1" w:styleId="684">
    <w:name w:val="xl102"/>
    <w:basedOn w:val="1"/>
    <w:autoRedefine/>
    <w:qFormat/>
    <w:uiPriority w:val="0"/>
    <w:pPr>
      <w:widowControl/>
      <w:spacing w:before="100" w:beforeAutospacing="1" w:after="100" w:afterAutospacing="1"/>
      <w:jc w:val="center"/>
    </w:pPr>
    <w:rPr>
      <w:rFonts w:ascii="宋体" w:hAnsi="宋体" w:cs="宋体"/>
      <w:kern w:val="0"/>
      <w:sz w:val="20"/>
    </w:rPr>
  </w:style>
  <w:style w:type="paragraph" w:customStyle="1" w:styleId="685">
    <w:name w:val="章"/>
    <w:basedOn w:val="337"/>
    <w:next w:val="1"/>
    <w:autoRedefine/>
    <w:qFormat/>
    <w:uiPriority w:val="0"/>
    <w:pPr>
      <w:tabs>
        <w:tab w:val="left" w:pos="360"/>
      </w:tabs>
    </w:pPr>
  </w:style>
  <w:style w:type="paragraph" w:customStyle="1" w:styleId="686">
    <w:name w:val="xl103"/>
    <w:basedOn w:val="1"/>
    <w:autoRedefine/>
    <w:qFormat/>
    <w:uiPriority w:val="0"/>
    <w:pPr>
      <w:widowControl/>
      <w:pBdr>
        <w:top w:val="single" w:color="auto" w:sz="4" w:space="0"/>
        <w:left w:val="single" w:color="auto" w:sz="4" w:space="0"/>
        <w:bottom w:val="single" w:color="auto" w:sz="4" w:space="0"/>
      </w:pBdr>
      <w:shd w:val="clear" w:color="000000" w:fill="33CCCC"/>
      <w:spacing w:before="100" w:beforeAutospacing="1" w:after="100" w:afterAutospacing="1"/>
      <w:jc w:val="left"/>
      <w:textAlignment w:val="center"/>
    </w:pPr>
    <w:rPr>
      <w:rFonts w:ascii="宋体" w:hAnsi="宋体" w:cs="宋体"/>
      <w:b/>
      <w:bCs/>
      <w:color w:val="000000"/>
      <w:kern w:val="0"/>
      <w:sz w:val="22"/>
      <w:szCs w:val="22"/>
    </w:rPr>
  </w:style>
  <w:style w:type="paragraph" w:customStyle="1" w:styleId="687">
    <w:name w:val="xl36"/>
    <w:basedOn w:val="1"/>
    <w:autoRedefine/>
    <w:qFormat/>
    <w:uiPriority w:val="0"/>
    <w:pPr>
      <w:widowControl/>
      <w:pBdr>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88">
    <w:name w:val="xl66"/>
    <w:basedOn w:val="1"/>
    <w:autoRedefine/>
    <w:qFormat/>
    <w:uiPriority w:val="0"/>
    <w:pPr>
      <w:widowControl/>
      <w:pBdr>
        <w:top w:val="single" w:color="auto" w:sz="4" w:space="0"/>
        <w:left w:val="single" w:color="auto" w:sz="4" w:space="0"/>
      </w:pBdr>
      <w:shd w:val="clear" w:color="auto" w:fill="FFFF00"/>
      <w:spacing w:before="100" w:beforeAutospacing="1" w:after="100" w:afterAutospacing="1"/>
      <w:jc w:val="right"/>
    </w:pPr>
    <w:rPr>
      <w:kern w:val="0"/>
      <w:sz w:val="20"/>
    </w:rPr>
  </w:style>
  <w:style w:type="paragraph" w:customStyle="1" w:styleId="689">
    <w:name w:val="Char Char Char Char1 Char Char"/>
    <w:basedOn w:val="24"/>
    <w:autoRedefine/>
    <w:qFormat/>
    <w:uiPriority w:val="0"/>
    <w:rPr>
      <w:rFonts w:ascii="宋体" w:hAnsi="宋体"/>
      <w:b/>
      <w:sz w:val="24"/>
      <w:shd w:val="clear" w:color="auto" w:fill="auto"/>
    </w:rPr>
  </w:style>
  <w:style w:type="paragraph" w:customStyle="1" w:styleId="690">
    <w:name w:val="符号悬挂缩进"/>
    <w:basedOn w:val="1"/>
    <w:autoRedefine/>
    <w:qFormat/>
    <w:uiPriority w:val="0"/>
    <w:pPr>
      <w:tabs>
        <w:tab w:val="left" w:pos="0"/>
      </w:tabs>
      <w:spacing w:line="360" w:lineRule="auto"/>
    </w:pPr>
    <w:rPr>
      <w:rFonts w:ascii="宋体"/>
      <w:snapToGrid w:val="0"/>
      <w:kern w:val="0"/>
      <w:sz w:val="24"/>
    </w:rPr>
  </w:style>
  <w:style w:type="paragraph" w:customStyle="1" w:styleId="691">
    <w:name w:val="xl60"/>
    <w:basedOn w:val="1"/>
    <w:autoRedefine/>
    <w:qFormat/>
    <w:uiPriority w:val="0"/>
    <w:pPr>
      <w:widowControl/>
      <w:pBdr>
        <w:right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692">
    <w:name w:val="numbers"/>
    <w:basedOn w:val="1"/>
    <w:autoRedefine/>
    <w:qFormat/>
    <w:uiPriority w:val="0"/>
    <w:pPr>
      <w:tabs>
        <w:tab w:val="left" w:pos="792"/>
      </w:tabs>
      <w:adjustRightInd w:val="0"/>
      <w:spacing w:before="120" w:after="120" w:line="360" w:lineRule="auto"/>
      <w:ind w:left="792" w:hanging="432"/>
      <w:jc w:val="left"/>
      <w:textAlignment w:val="baseline"/>
    </w:pPr>
    <w:rPr>
      <w:rFonts w:ascii="宋体"/>
      <w:kern w:val="0"/>
      <w:sz w:val="24"/>
    </w:rPr>
  </w:style>
  <w:style w:type="paragraph" w:customStyle="1" w:styleId="693">
    <w:name w:val="paragraph1"/>
    <w:basedOn w:val="1"/>
    <w:autoRedefine/>
    <w:qFormat/>
    <w:uiPriority w:val="0"/>
    <w:pPr>
      <w:spacing w:afterLines="30" w:line="360" w:lineRule="auto"/>
      <w:ind w:firstLine="480" w:firstLineChars="200"/>
    </w:pPr>
    <w:rPr>
      <w:sz w:val="24"/>
      <w:szCs w:val="24"/>
    </w:rPr>
  </w:style>
  <w:style w:type="paragraph" w:customStyle="1" w:styleId="694">
    <w:name w:val="xl62"/>
    <w:basedOn w:val="1"/>
    <w:autoRedefine/>
    <w:qFormat/>
    <w:uiPriority w:val="0"/>
    <w:pPr>
      <w:widowControl/>
      <w:shd w:val="clear" w:color="auto" w:fill="FFFF00"/>
      <w:spacing w:before="100" w:beforeAutospacing="1" w:after="100" w:afterAutospacing="1"/>
      <w:jc w:val="center"/>
    </w:pPr>
    <w:rPr>
      <w:rFonts w:ascii="宋体" w:hAnsi="宋体"/>
      <w:kern w:val="0"/>
      <w:sz w:val="20"/>
    </w:rPr>
  </w:style>
  <w:style w:type="paragraph" w:customStyle="1" w:styleId="695">
    <w:name w:val="列表项"/>
    <w:basedOn w:val="1"/>
    <w:autoRedefine/>
    <w:qFormat/>
    <w:uiPriority w:val="0"/>
    <w:pPr>
      <w:tabs>
        <w:tab w:val="left" w:pos="1020"/>
      </w:tabs>
      <w:spacing w:line="400" w:lineRule="exact"/>
    </w:pPr>
    <w:rPr>
      <w:rFonts w:eastAsia="楷体_GB2312"/>
      <w:sz w:val="24"/>
      <w:szCs w:val="24"/>
    </w:rPr>
  </w:style>
  <w:style w:type="paragraph" w:customStyle="1" w:styleId="696">
    <w:name w:val="xl56"/>
    <w:basedOn w:val="1"/>
    <w:autoRedefine/>
    <w:qFormat/>
    <w:uiPriority w:val="0"/>
    <w:pPr>
      <w:widowControl/>
      <w:shd w:val="clear" w:color="auto" w:fill="FFFF00"/>
      <w:spacing w:before="100" w:beforeAutospacing="1" w:after="100" w:afterAutospacing="1"/>
      <w:jc w:val="left"/>
    </w:pPr>
    <w:rPr>
      <w:rFonts w:ascii="宋体" w:hAnsi="宋体"/>
      <w:b/>
      <w:i/>
      <w:kern w:val="0"/>
      <w:sz w:val="20"/>
    </w:rPr>
  </w:style>
  <w:style w:type="paragraph" w:customStyle="1" w:styleId="697">
    <w:name w:val="Char Char1 Char Char Char Char Char Char Char Char Char Char Char Char Char Char Char1"/>
    <w:basedOn w:val="1"/>
    <w:autoRedefine/>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698">
    <w:name w:val="xl95"/>
    <w:basedOn w:val="1"/>
    <w:autoRedefine/>
    <w:qFormat/>
    <w:uiPriority w:val="0"/>
    <w:pPr>
      <w:widowControl/>
      <w:pBdr>
        <w:top w:val="single" w:color="auto" w:sz="4" w:space="0"/>
        <w:left w:val="single" w:color="auto" w:sz="4" w:space="0"/>
        <w:bottom w:val="single" w:color="auto" w:sz="4" w:space="0"/>
      </w:pBdr>
      <w:shd w:val="clear" w:color="000000" w:fill="CCFFFF"/>
      <w:spacing w:before="100" w:beforeAutospacing="1" w:after="100" w:afterAutospacing="1"/>
      <w:jc w:val="center"/>
      <w:textAlignment w:val="center"/>
    </w:pPr>
    <w:rPr>
      <w:rFonts w:ascii="宋体" w:hAnsi="宋体" w:cs="宋体"/>
      <w:b/>
      <w:bCs/>
      <w:color w:val="000000"/>
      <w:kern w:val="0"/>
      <w:sz w:val="20"/>
    </w:rPr>
  </w:style>
  <w:style w:type="paragraph" w:customStyle="1" w:styleId="699">
    <w:name w:val="正文（首行缩进两字）"/>
    <w:basedOn w:val="1"/>
    <w:next w:val="1"/>
    <w:autoRedefine/>
    <w:qFormat/>
    <w:uiPriority w:val="0"/>
    <w:pPr>
      <w:widowControl/>
      <w:ind w:firstLine="420"/>
    </w:pPr>
    <w:rPr>
      <w:color w:val="000000"/>
      <w:sz w:val="24"/>
    </w:rPr>
  </w:style>
  <w:style w:type="paragraph" w:customStyle="1" w:styleId="700">
    <w:name w:val="正文11"/>
    <w:basedOn w:val="1"/>
    <w:autoRedefine/>
    <w:qFormat/>
    <w:uiPriority w:val="0"/>
    <w:pPr>
      <w:tabs>
        <w:tab w:val="left" w:pos="3055"/>
      </w:tabs>
      <w:spacing w:line="360" w:lineRule="auto"/>
      <w:ind w:firstLine="480"/>
    </w:pPr>
    <w:rPr>
      <w:rFonts w:ascii="宋体" w:hAnsi="宋体"/>
      <w:sz w:val="24"/>
    </w:rPr>
  </w:style>
  <w:style w:type="paragraph" w:customStyle="1" w:styleId="701">
    <w:name w:val="CM28"/>
    <w:basedOn w:val="252"/>
    <w:next w:val="252"/>
    <w:autoRedefine/>
    <w:qFormat/>
    <w:uiPriority w:val="0"/>
    <w:pPr>
      <w:autoSpaceDE w:val="0"/>
      <w:autoSpaceDN w:val="0"/>
      <w:adjustRightInd w:val="0"/>
      <w:spacing w:after="825"/>
    </w:pPr>
    <w:rPr>
      <w:rFonts w:ascii="HYDaHeiJ" w:eastAsia="HYDaHeiJ"/>
      <w:color w:val="auto"/>
      <w:lang w:eastAsia="zh-CN"/>
    </w:rPr>
  </w:style>
  <w:style w:type="paragraph" w:customStyle="1" w:styleId="702">
    <w:name w:val="xl77"/>
    <w:basedOn w:val="1"/>
    <w:autoRedefine/>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703">
    <w:name w:val="Char Char Char Char Char Char1 Char1"/>
    <w:basedOn w:val="1"/>
    <w:autoRedefine/>
    <w:qFormat/>
    <w:uiPriority w:val="0"/>
    <w:pPr>
      <w:widowControl/>
      <w:spacing w:after="160" w:line="240" w:lineRule="exact"/>
      <w:jc w:val="left"/>
    </w:pPr>
    <w:rPr>
      <w:rFonts w:ascii="Verdana" w:hAnsi="Verdana"/>
      <w:kern w:val="0"/>
      <w:lang w:eastAsia="en-US"/>
    </w:rPr>
  </w:style>
  <w:style w:type="paragraph" w:customStyle="1" w:styleId="704">
    <w:name w:val="CM30"/>
    <w:basedOn w:val="252"/>
    <w:next w:val="252"/>
    <w:autoRedefine/>
    <w:qFormat/>
    <w:uiPriority w:val="0"/>
    <w:pPr>
      <w:autoSpaceDE w:val="0"/>
      <w:autoSpaceDN w:val="0"/>
      <w:adjustRightInd w:val="0"/>
      <w:spacing w:after="550"/>
    </w:pPr>
    <w:rPr>
      <w:rFonts w:ascii="HYDaHeiJ" w:eastAsia="HYDaHeiJ"/>
      <w:color w:val="auto"/>
      <w:lang w:eastAsia="zh-CN"/>
    </w:rPr>
  </w:style>
  <w:style w:type="character" w:customStyle="1" w:styleId="705">
    <w:name w:val="font61"/>
    <w:basedOn w:val="76"/>
    <w:autoRedefine/>
    <w:qFormat/>
    <w:uiPriority w:val="0"/>
    <w:rPr>
      <w:rFonts w:hint="eastAsia" w:ascii="宋体" w:hAnsi="宋体" w:eastAsia="宋体" w:cs="宋体"/>
      <w:color w:val="000000"/>
      <w:sz w:val="22"/>
      <w:szCs w:val="22"/>
      <w:u w:val="none"/>
    </w:rPr>
  </w:style>
  <w:style w:type="paragraph" w:customStyle="1" w:styleId="706">
    <w:name w:val="正文格式"/>
    <w:autoRedefine/>
    <w:qFormat/>
    <w:uiPriority w:val="99"/>
    <w:pPr>
      <w:spacing w:line="360" w:lineRule="auto"/>
      <w:ind w:firstLine="200" w:firstLineChars="200"/>
    </w:pPr>
    <w:rPr>
      <w:rFonts w:ascii="宋体" w:hAnsi="宋体" w:eastAsia="宋体" w:cs="Times New Roman"/>
      <w:kern w:val="2"/>
      <w:sz w:val="28"/>
      <w:szCs w:val="22"/>
      <w:lang w:val="en-US" w:eastAsia="zh-CN" w:bidi="ar-SA"/>
    </w:rPr>
  </w:style>
  <w:style w:type="paragraph" w:customStyle="1" w:styleId="707">
    <w:name w:val="常用顶格样式"/>
    <w:basedOn w:val="1"/>
    <w:autoRedefine/>
    <w:qFormat/>
    <w:uiPriority w:val="0"/>
    <w:pPr>
      <w:widowControl/>
      <w:spacing w:line="360" w:lineRule="auto"/>
      <w:ind w:firstLine="480" w:firstLineChars="200"/>
      <w:jc w:val="left"/>
    </w:pPr>
    <w:rPr>
      <w:rFonts w:ascii="宋体" w:hAnsi="宋体" w:eastAsiaTheme="minorEastAsia" w:cstheme="minorBidi"/>
      <w:sz w:val="24"/>
      <w:szCs w:val="22"/>
    </w:rPr>
  </w:style>
  <w:style w:type="paragraph" w:customStyle="1" w:styleId="708">
    <w:name w:val="_Style 13"/>
    <w:basedOn w:val="32"/>
    <w:next w:val="73"/>
    <w:autoRedefine/>
    <w:unhideWhenUsed/>
    <w:qFormat/>
    <w:uiPriority w:val="99"/>
    <w:pPr>
      <w:ind w:firstLine="420" w:firstLineChars="200"/>
    </w:pPr>
    <w:rPr>
      <w:szCs w:val="24"/>
    </w:rPr>
  </w:style>
  <w:style w:type="character" w:customStyle="1" w:styleId="709">
    <w:name w:val="NormalCharacter"/>
    <w:link w:val="1"/>
    <w:autoRedefine/>
    <w:qFormat/>
    <w:uiPriority w:val="0"/>
    <w:rPr>
      <w:rFonts w:ascii="Times New Roman" w:hAnsi="Times New Roman" w:eastAsia="宋体" w:cs="Times New Roman"/>
      <w:kern w:val="2"/>
      <w:sz w:val="21"/>
      <w:lang w:val="en-US" w:eastAsia="zh-CN" w:bidi="ar-SA"/>
    </w:rPr>
  </w:style>
  <w:style w:type="paragraph" w:customStyle="1" w:styleId="710">
    <w:name w:val="UserStyle_6"/>
    <w:basedOn w:val="1"/>
    <w:next w:val="1"/>
    <w:autoRedefine/>
    <w:qFormat/>
    <w:uiPriority w:val="0"/>
    <w:pPr>
      <w:spacing w:line="280" w:lineRule="atLeast"/>
      <w:jc w:val="left"/>
      <w:textAlignment w:val="baseline"/>
    </w:pPr>
    <w:rPr>
      <w:kern w:val="0"/>
      <w:sz w:val="24"/>
      <w:szCs w:val="24"/>
      <w:lang w:val="en-US" w:eastAsia="zh-CN" w:bidi="ar-SA"/>
    </w:rPr>
  </w:style>
  <w:style w:type="paragraph" w:customStyle="1" w:styleId="711">
    <w:name w:val="UserStyle_0"/>
    <w:basedOn w:val="1"/>
    <w:autoRedefine/>
    <w:qFormat/>
    <w:uiPriority w:val="0"/>
    <w:pPr>
      <w:jc w:val="both"/>
      <w:textAlignment w:val="baseline"/>
    </w:pPr>
    <w:rPr>
      <w:rFonts w:ascii="宋体" w:hAnsi="宋体" w:eastAsia="宋体"/>
      <w:kern w:val="2"/>
      <w:sz w:val="21"/>
      <w:lang w:val="zh-CN" w:eastAsia="zh-CN" w:bidi="zh-CN"/>
    </w:rPr>
  </w:style>
  <w:style w:type="paragraph" w:customStyle="1" w:styleId="712">
    <w:name w:val="WPSOffice手动目录 1"/>
    <w:autoRedefine/>
    <w:qFormat/>
    <w:uiPriority w:val="0"/>
    <w:pPr>
      <w:ind w:leftChars="0"/>
    </w:pPr>
    <w:rPr>
      <w:rFonts w:ascii="Times New Roman" w:hAnsi="Times New Roman" w:eastAsia="宋体" w:cs="Times New Roman"/>
      <w:sz w:val="20"/>
      <w:szCs w:val="20"/>
    </w:rPr>
  </w:style>
  <w:style w:type="paragraph" w:customStyle="1" w:styleId="713">
    <w:name w:val="3级"/>
    <w:basedOn w:val="128"/>
    <w:autoRedefine/>
    <w:qFormat/>
    <w:uiPriority w:val="0"/>
    <w:pPr>
      <w:numPr>
        <w:ilvl w:val="0"/>
        <w:numId w:val="1"/>
      </w:numPr>
      <w:ind w:firstLineChars="0"/>
      <w:outlineLvl w:val="2"/>
    </w:pPr>
    <w:rPr>
      <w:rFonts w:ascii="宋体" w:hAnsi="宋体"/>
      <w:color w:val="000000"/>
      <w:szCs w:val="21"/>
    </w:rPr>
  </w:style>
  <w:style w:type="paragraph" w:customStyle="1" w:styleId="714">
    <w:name w:val="Indent Normal"/>
    <w:autoRedefine/>
    <w:qFormat/>
    <w:uiPriority w:val="0"/>
    <w:pPr>
      <w:widowControl w:val="0"/>
      <w:spacing w:line="360" w:lineRule="auto"/>
      <w:ind w:firstLine="150" w:firstLineChars="150"/>
    </w:pPr>
    <w:rPr>
      <w:rFonts w:ascii="Times New Roman" w:hAnsi="Times New Roman" w:eastAsia="宋体" w:cs="Times New Roman"/>
      <w:kern w:val="2"/>
      <w:sz w:val="24"/>
      <w:szCs w:val="24"/>
      <w:lang w:val="en-US" w:eastAsia="zh-CN" w:bidi="ar-SA"/>
    </w:rPr>
  </w:style>
  <w:style w:type="paragraph" w:customStyle="1" w:styleId="715">
    <w:name w:val="1"/>
    <w:autoRedefine/>
    <w:qFormat/>
    <w:uiPriority w:val="0"/>
    <w:pPr>
      <w:widowControl w:val="0"/>
      <w:spacing w:line="360" w:lineRule="auto"/>
      <w:ind w:firstLine="0" w:firstLineChars="0"/>
    </w:pPr>
    <w:rPr>
      <w:rFonts w:ascii="Times New Roman" w:hAnsi="Times New Roman" w:eastAsia="宋体" w:cs="Times New Roman"/>
      <w:kern w:val="2"/>
      <w:sz w:val="21"/>
      <w:szCs w:val="24"/>
      <w:lang w:val="en-US" w:eastAsia="zh-CN" w:bidi="ar-SA"/>
    </w:rPr>
  </w:style>
  <w:style w:type="character" w:customStyle="1" w:styleId="716">
    <w:name w:val="font81"/>
    <w:basedOn w:val="76"/>
    <w:autoRedefine/>
    <w:qFormat/>
    <w:uiPriority w:val="0"/>
    <w:rPr>
      <w:rFonts w:hint="eastAsia" w:ascii="宋体" w:hAnsi="宋体" w:eastAsia="宋体" w:cs="宋体"/>
      <w:color w:val="000000"/>
      <w:sz w:val="16"/>
      <w:szCs w:val="16"/>
      <w:u w:val="none"/>
    </w:rPr>
  </w:style>
  <w:style w:type="character" w:customStyle="1" w:styleId="717">
    <w:name w:val="font71"/>
    <w:basedOn w:val="76"/>
    <w:autoRedefine/>
    <w:qFormat/>
    <w:uiPriority w:val="0"/>
    <w:rPr>
      <w:rFonts w:hint="eastAsia" w:ascii="宋体" w:hAnsi="宋体" w:eastAsia="宋体" w:cs="宋体"/>
      <w:color w:val="000000"/>
      <w:sz w:val="20"/>
      <w:szCs w:val="20"/>
      <w:u w:val="none"/>
    </w:rPr>
  </w:style>
  <w:style w:type="paragraph" w:customStyle="1" w:styleId="718">
    <w:name w:val="Table Paragraph"/>
    <w:basedOn w:val="1"/>
    <w:autoRedefine/>
    <w:qFormat/>
    <w:uiPriority w:val="1"/>
    <w:rPr>
      <w:rFonts w:ascii="宋体" w:hAnsi="宋体" w:eastAsia="宋体" w:cs="宋体"/>
      <w:lang w:val="zh-CN" w:eastAsia="zh-CN" w:bidi="zh-CN"/>
    </w:rPr>
  </w:style>
  <w:style w:type="character" w:customStyle="1" w:styleId="719">
    <w:name w:val="layui-layer-tabnow"/>
    <w:basedOn w:val="76"/>
    <w:autoRedefine/>
    <w:qFormat/>
    <w:uiPriority w:val="0"/>
    <w:rPr>
      <w:bdr w:val="single" w:color="CCCCCC" w:sz="6" w:space="0"/>
      <w:shd w:val="clear" w:fill="FFFFFF"/>
    </w:rPr>
  </w:style>
  <w:style w:type="character" w:customStyle="1" w:styleId="720">
    <w:name w:val="first-child"/>
    <w:basedOn w:val="76"/>
    <w:autoRedefine/>
    <w:qFormat/>
    <w:uiPriority w:val="0"/>
  </w:style>
  <w:style w:type="paragraph" w:customStyle="1" w:styleId="721">
    <w:name w:val="标题 11"/>
    <w:basedOn w:val="1"/>
    <w:autoRedefine/>
    <w:qFormat/>
    <w:uiPriority w:val="1"/>
    <w:pPr>
      <w:spacing w:before="35"/>
      <w:ind w:left="813" w:right="845"/>
      <w:jc w:val="center"/>
      <w:outlineLvl w:val="1"/>
    </w:pPr>
    <w:rPr>
      <w:sz w:val="36"/>
      <w:szCs w:val="36"/>
    </w:rPr>
  </w:style>
  <w:style w:type="table" w:customStyle="1" w:styleId="722">
    <w:name w:val="Table Normal"/>
    <w:autoRedefine/>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D3537D-1A08-4DDF-87AC-FFE2F52698A4}">
  <ds:schemaRefs/>
</ds:datastoreItem>
</file>

<file path=docProps/app.xml><?xml version="1.0" encoding="utf-8"?>
<Properties xmlns="http://schemas.openxmlformats.org/officeDocument/2006/extended-properties" xmlns:vt="http://schemas.openxmlformats.org/officeDocument/2006/docPropsVTypes">
  <Template>Normal.dotm</Template>
  <Pages>90</Pages>
  <Words>40692</Words>
  <Characters>42593</Characters>
  <Lines>347</Lines>
  <Paragraphs>97</Paragraphs>
  <TotalTime>17</TotalTime>
  <ScaleCrop>false</ScaleCrop>
  <LinksUpToDate>false</LinksUpToDate>
  <CharactersWithSpaces>45012</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2019-02-14T08:17:00Z</dcterms:created>
  <dc:creator>sdf</dc:creator>
  <cp:lastModifiedBy>时光无声、</cp:lastModifiedBy>
  <cp:lastPrinted>2021-04-28T06:54:00Z</cp:lastPrinted>
  <dcterms:modified xsi:type="dcterms:W3CDTF">2024-04-07T07:40:41Z</dcterms:modified>
  <dc:title>烟台市政府采购</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EB7BB120B3794369AEE9D81A65037D4B_13</vt:lpwstr>
  </property>
</Properties>
</file>