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18AE34">
      <w:pPr>
        <w:tabs>
          <w:tab w:val="left" w:pos="0"/>
          <w:tab w:val="left" w:pos="180"/>
          <w:tab w:val="left" w:pos="360"/>
        </w:tabs>
        <w:spacing w:line="600" w:lineRule="exact"/>
        <w:jc w:val="center"/>
        <w:outlineLvl w:val="0"/>
        <w:rPr>
          <w:rFonts w:hint="eastAsia" w:ascii="宋体" w:hAnsi="宋体"/>
          <w:b/>
          <w:bCs/>
          <w:highlight w:val="none"/>
        </w:rPr>
      </w:pPr>
      <w:r>
        <w:rPr>
          <w:rFonts w:hint="eastAsia" w:ascii="宋体" w:hAnsi="宋体"/>
          <w:b/>
          <w:sz w:val="36"/>
          <w:szCs w:val="36"/>
          <w:highlight w:val="none"/>
        </w:rPr>
        <w:t>项目说明</w:t>
      </w:r>
    </w:p>
    <w:p w14:paraId="4FCA92A3">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4"/>
          <w:szCs w:val="24"/>
          <w:highlight w:val="none"/>
          <w:lang w:val="en-US" w:eastAsia="zh-CN"/>
        </w:rPr>
      </w:pPr>
      <w:bookmarkStart w:id="0" w:name="_Toc499564661"/>
      <w:r>
        <w:rPr>
          <w:rFonts w:hint="eastAsia" w:ascii="宋体" w:hAnsi="宋体" w:eastAsia="宋体" w:cs="宋体"/>
          <w:b/>
          <w:bCs/>
          <w:sz w:val="24"/>
          <w:szCs w:val="24"/>
          <w:highlight w:val="none"/>
          <w:lang w:val="en-US" w:eastAsia="zh-CN"/>
        </w:rPr>
        <w:t>一、项目概况</w:t>
      </w:r>
    </w:p>
    <w:p w14:paraId="61C2A75B">
      <w:pPr>
        <w:pStyle w:val="3"/>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1、项目名称：</w:t>
      </w:r>
      <w:r>
        <w:rPr>
          <w:rFonts w:hint="eastAsia" w:ascii="宋体" w:hAnsi="宋体" w:cs="宋体"/>
          <w:sz w:val="24"/>
          <w:szCs w:val="24"/>
          <w:highlight w:val="none"/>
          <w:lang w:val="en-US" w:eastAsia="zh-CN"/>
        </w:rPr>
        <w:t>聊城市茌平区人民医院血液透析机及过滤机租赁服务采购项目</w:t>
      </w:r>
      <w:r>
        <w:rPr>
          <w:rFonts w:hint="eastAsia" w:ascii="宋体" w:hAnsi="宋体" w:eastAsia="宋体" w:cs="宋体"/>
          <w:sz w:val="24"/>
          <w:szCs w:val="24"/>
          <w:highlight w:val="none"/>
          <w:lang w:val="en-US" w:eastAsia="zh-CN"/>
        </w:rPr>
        <w:t>2、服务期限：自合同签订之日起1年。</w:t>
      </w:r>
    </w:p>
    <w:p w14:paraId="6E74E17B">
      <w:pPr>
        <w:pStyle w:val="3"/>
        <w:spacing w:line="360" w:lineRule="auto"/>
        <w:ind w:firstLine="480" w:firstLineChars="200"/>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3、服务内容：</w:t>
      </w:r>
      <w:r>
        <w:rPr>
          <w:rFonts w:hint="eastAsia" w:ascii="宋体" w:hAnsi="宋体" w:cs="宋体"/>
          <w:sz w:val="24"/>
          <w:szCs w:val="24"/>
          <w:highlight w:val="none"/>
          <w:lang w:val="en-US" w:eastAsia="zh-CN"/>
        </w:rPr>
        <w:t xml:space="preserve"> 租赁血液透析滤过机10台和血液透析机11台，由成交供应商提供机器并提供相关服务。</w:t>
      </w:r>
    </w:p>
    <w:p w14:paraId="3C4D8424">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w:t>
      </w:r>
      <w:r>
        <w:rPr>
          <w:rFonts w:hint="eastAsia" w:ascii="宋体" w:hAnsi="宋体" w:cs="宋体"/>
          <w:b/>
          <w:bCs/>
          <w:sz w:val="24"/>
          <w:szCs w:val="24"/>
          <w:highlight w:val="none"/>
          <w:lang w:val="en-US" w:eastAsia="zh-CN"/>
        </w:rPr>
        <w:t>项目要求</w:t>
      </w:r>
    </w:p>
    <w:p w14:paraId="7AED2D0A">
      <w:pPr>
        <w:pStyle w:val="8"/>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t xml:space="preserve">   一）设备参数要求</w:t>
      </w:r>
    </w:p>
    <w:p w14:paraId="3E0D7225">
      <w:pPr>
        <w:rPr>
          <w:rFonts w:hint="eastAsia"/>
          <w:lang w:val="en-US" w:eastAsia="zh-CN"/>
        </w:rPr>
      </w:pPr>
      <w:r>
        <w:rPr>
          <w:rFonts w:hint="eastAsia"/>
          <w:lang w:val="en-US" w:eastAsia="zh-CN"/>
        </w:rPr>
        <w:t>血液透析滤过机、血液透析机参数</w:t>
      </w:r>
    </w:p>
    <w:tbl>
      <w:tblPr>
        <w:tblStyle w:val="6"/>
        <w:tblW w:w="10325" w:type="dxa"/>
        <w:tblInd w:w="-5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8421"/>
        <w:gridCol w:w="750"/>
      </w:tblGrid>
      <w:tr w14:paraId="0C94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4" w:type="dxa"/>
            <w:noWrap w:val="0"/>
            <w:vAlign w:val="center"/>
          </w:tcPr>
          <w:p w14:paraId="03A21598">
            <w:pPr>
              <w:pStyle w:val="2"/>
              <w:spacing w:line="240" w:lineRule="auto"/>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机器名称</w:t>
            </w:r>
          </w:p>
        </w:tc>
        <w:tc>
          <w:tcPr>
            <w:tcW w:w="8421" w:type="dxa"/>
            <w:noWrap w:val="0"/>
            <w:vAlign w:val="center"/>
          </w:tcPr>
          <w:p w14:paraId="16399AA5">
            <w:pPr>
              <w:pStyle w:val="2"/>
              <w:spacing w:line="240" w:lineRule="auto"/>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机器参数要求</w:t>
            </w:r>
          </w:p>
        </w:tc>
        <w:tc>
          <w:tcPr>
            <w:tcW w:w="750" w:type="dxa"/>
            <w:noWrap w:val="0"/>
            <w:vAlign w:val="center"/>
          </w:tcPr>
          <w:p w14:paraId="445F505B">
            <w:pPr>
              <w:pStyle w:val="2"/>
              <w:spacing w:line="240" w:lineRule="auto"/>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数量</w:t>
            </w:r>
          </w:p>
        </w:tc>
      </w:tr>
      <w:tr w14:paraId="50ABF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154" w:type="dxa"/>
            <w:noWrap w:val="0"/>
            <w:vAlign w:val="center"/>
          </w:tcPr>
          <w:p w14:paraId="4B412713">
            <w:pPr>
              <w:pStyle w:val="2"/>
              <w:spacing w:line="240" w:lineRule="auto"/>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血液透析滤过机</w:t>
            </w:r>
          </w:p>
        </w:tc>
        <w:tc>
          <w:tcPr>
            <w:tcW w:w="8421" w:type="dxa"/>
            <w:noWrap w:val="0"/>
            <w:vAlign w:val="center"/>
          </w:tcPr>
          <w:p w14:paraId="74402A07">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一、一般规格和要求</w:t>
            </w:r>
          </w:p>
          <w:p w14:paraId="46961FA3">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1、具有碳酸盐/醋酸盐/单超透析多种透析模式，适用各种配方透析液；可用碳酸盐干粉。</w:t>
            </w:r>
          </w:p>
          <w:p w14:paraId="594D0A3B">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2、肝素泵可设定停泵时间，显示累积量，可作大剂量追加给药。</w:t>
            </w:r>
          </w:p>
          <w:p w14:paraId="232D43CB">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3、≥10.1英寸彩色液晶显示屏幕，显示器可实现大角度旋转，中文界面，发生提示或报警时，具有在线辅助、指导功能，可实时显示治疗过程参数和曲线。</w:t>
            </w:r>
          </w:p>
          <w:p w14:paraId="03C7367F">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4、具备固定及自由设定的钠曲线，实现个体化透析治疗。</w:t>
            </w:r>
          </w:p>
          <w:p w14:paraId="3068F79E">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5、具备固定及自由设定的可调超滤曲线，实现个体化透析治疗配方。</w:t>
            </w:r>
          </w:p>
          <w:p w14:paraId="2EC10929">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6、超滤系统为双容量平衡腔超滤控制系统，精密容积式脱水控制，透析液连续提供，能达到零超滤。</w:t>
            </w:r>
          </w:p>
          <w:p w14:paraId="09865F85">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7、透析液温度控制在34-39℃，可实时监测及可调，并有超温保护。</w:t>
            </w:r>
          </w:p>
          <w:p w14:paraId="40517316">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8、清洗消毒程序：进行化学/热/脱钙多种消毒清洗程序；化学热消毒（80℃以上）除钙、除脂和消毒程序一体进行，消毒时间≤40分钟；进入实质消毒阶段后机器自动进行强制冲洗，以确保无药液残留，透析液吸管可联机清洗消毒。</w:t>
            </w:r>
          </w:p>
          <w:p w14:paraId="5C0C0D8F">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9、可设定自动开、关机时间，自动预冲及选择自动消毒程序。</w:t>
            </w:r>
          </w:p>
          <w:p w14:paraId="09A64BD2">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10、具有六个以上专用CPU控制，增加机器安全性。</w:t>
            </w:r>
          </w:p>
          <w:p w14:paraId="2B709CF5">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11、有内置维修和故障诊断软件。</w:t>
            </w:r>
          </w:p>
          <w:p w14:paraId="564EA003">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12、有数字化信息网络接口，RS232或RS422接口，可直接联网远程诊断和维修，方便治疗信息传递。</w:t>
            </w:r>
          </w:p>
          <w:p w14:paraId="0BCBD9F4">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13、标配有2个透析液内毒素过滤器接口。</w:t>
            </w:r>
          </w:p>
          <w:p w14:paraId="53F6099B">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★14、标配实时透析尿素氮清除率监测装置，该装置可实时测量并图形显示清除率K值、Kt/V值和血浆钠值；终身无需更换任何耗材。</w:t>
            </w:r>
          </w:p>
          <w:p w14:paraId="23E0091C">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15、标配碳酸氢盐干粉自动配置系统，可在线自动配制超纯透析液和置换液。</w:t>
            </w:r>
          </w:p>
          <w:p w14:paraId="4B8170B3">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16、直接的用户使用引导系统，发生提示或报警时在线辅助、指导功能。</w:t>
            </w:r>
          </w:p>
          <w:p w14:paraId="347D13C4">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★17、HDF时可自动设定置换液速率以匹配有效血流量。</w:t>
            </w:r>
          </w:p>
          <w:p w14:paraId="6622016C">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18、可根据血流量，自动调节透析液流量，可预先设定。</w:t>
            </w:r>
          </w:p>
          <w:p w14:paraId="4DC82E4A">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19、自动连接测试功能：保证体外循环、肝素注射器、透析液系统连接正确。</w:t>
            </w:r>
          </w:p>
          <w:p w14:paraId="60FB6F4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20、多个漏液传感器系统：体外循环或机器内部有泄漏时自动报警，保证治疗安全性。</w:t>
            </w:r>
          </w:p>
          <w:p w14:paraId="7F636120">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21、自动的管路扭结和凝血报警；治疗开始后自动监测体外循环管路各接口和透析液接口连接正确无泄漏。</w:t>
            </w:r>
          </w:p>
          <w:p w14:paraId="48FCF613">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22、HD；前或后稀释HDF，前或后稀释HF五种治疗模式可随时灵活转换。</w:t>
            </w:r>
          </w:p>
          <w:p w14:paraId="5D5F9851">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23、配有用户卡和病人卡，便于中心管理。</w:t>
            </w:r>
          </w:p>
          <w:p w14:paraId="5A14747E">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24、标配在线血压监测组件，监测数据可在屏幕显示，可观察血压的图表趋势。</w:t>
            </w:r>
          </w:p>
          <w:p w14:paraId="60835FC5">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★25、治疗中每≤13.5分钟进行一次密闭压力衡定测试，保证治疗安全性。</w:t>
            </w:r>
          </w:p>
          <w:p w14:paraId="5B0C0B24">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26、“紧急按钮”，遇患者急性并发症，一键做到：停超滤，降低血流量到100ml/min， 自动测量血压，自动补液。</w:t>
            </w:r>
          </w:p>
          <w:p w14:paraId="36BE8BAE">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27、可进行24小时缓慢持续治疗，应用于急性肾脏替代治疗。</w:t>
            </w:r>
          </w:p>
          <w:p w14:paraId="62B7F024">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二、主要技术参数要求</w:t>
            </w:r>
          </w:p>
          <w:p w14:paraId="2A11C62E">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1、血泵：有效血流量0,30～600ml/min。</w:t>
            </w:r>
          </w:p>
          <w:p w14:paraId="23534CEC">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2、肝素泵0-9.9ml/h可选用多种尺寸的注射器，可设关泵时间。</w:t>
            </w:r>
          </w:p>
          <w:p w14:paraId="4127E370">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3、静脉压力监测范围 -80mmHg～+400mmHg,精确度≤±8mmHg，分辨度≤10mmHg；</w:t>
            </w:r>
          </w:p>
          <w:p w14:paraId="24A9323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4、动脉压力监测范围 -200mmHg～+200Hg, 精确度≤±8mmHg,分辨度≤10mmHg</w:t>
            </w:r>
          </w:p>
          <w:p w14:paraId="2336587D">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5、双重空气监测，具有高灵敏度；</w:t>
            </w:r>
          </w:p>
          <w:p w14:paraId="24C8E26B">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★6、超滤率为0～4000ml/h 连续可调，可显示超滤目标，超滤时间，超滤速率，超滤量等4项数值，精度≤±1%；可实现零超滤。</w:t>
            </w:r>
          </w:p>
          <w:p w14:paraId="3843314A">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7、跨膜压监测范围-80～+400mmHg，分辨度≤10mmHg；有跨膜压自动跟踪报警功能。</w:t>
            </w:r>
          </w:p>
          <w:p w14:paraId="23010BAD">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★8、透析液流量范围：0-800ml/min。</w:t>
            </w:r>
          </w:p>
          <w:p w14:paraId="00F91C8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9、后备电池: 标配内置电池, 保证机器停电后连续工作时间≥15分钟,并且不丢失数据;同时压力监测，漏血和气泡检测正常工作。</w:t>
            </w:r>
          </w:p>
          <w:p w14:paraId="5A78AF9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10、置换液生成系统：  联机式自产置换液，包括置换液泵壹只；置换液流量为0-599ml/min）；精度为10%。</w:t>
            </w:r>
          </w:p>
        </w:tc>
        <w:tc>
          <w:tcPr>
            <w:tcW w:w="750" w:type="dxa"/>
            <w:noWrap w:val="0"/>
            <w:vAlign w:val="center"/>
          </w:tcPr>
          <w:p w14:paraId="359F2ECC">
            <w:pPr>
              <w:pStyle w:val="2"/>
              <w:spacing w:line="240" w:lineRule="auto"/>
              <w:jc w:val="center"/>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11台</w:t>
            </w:r>
          </w:p>
        </w:tc>
      </w:tr>
      <w:tr w14:paraId="4630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1154" w:type="dxa"/>
            <w:noWrap w:val="0"/>
            <w:vAlign w:val="center"/>
          </w:tcPr>
          <w:p w14:paraId="0EDC80F6">
            <w:pPr>
              <w:pStyle w:val="2"/>
              <w:spacing w:line="240" w:lineRule="auto"/>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血液透析机</w:t>
            </w:r>
          </w:p>
        </w:tc>
        <w:tc>
          <w:tcPr>
            <w:tcW w:w="8421" w:type="dxa"/>
            <w:noWrap w:val="0"/>
            <w:vAlign w:val="center"/>
          </w:tcPr>
          <w:p w14:paraId="36F44EE9">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一、一般规格及要求</w:t>
            </w:r>
          </w:p>
          <w:p w14:paraId="08FE5E1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1、具有碳酸盐/醋酸盐/单超透析多种透析模式，适用各种配方透析液；可用碳酸盐干粉/浓缩液/也可连接中心供液系统。</w:t>
            </w:r>
          </w:p>
          <w:p w14:paraId="4B438DA6">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2、屏幕尺寸≥10英寸，中文操作系统和界面，可实时显示治疗过程参数。</w:t>
            </w:r>
          </w:p>
          <w:p w14:paraId="3AEBBD95">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3、可进行可调钠曲线治疗，具有多种可选择的线性/梯级自动调整程序，实现个体化透析并保证病人安全；且可单独使用或与超滤程序组合使用。</w:t>
            </w:r>
          </w:p>
          <w:p w14:paraId="29DF0126">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4、可进行可调超滤曲线模式治疗，具有多种可选择的线性/梯型自动调整程序，实现个体化透析并保证病人安全；且可单独使用或与可调钠程序组合使用。</w:t>
            </w:r>
          </w:p>
          <w:p w14:paraId="2A8E5627">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5、密闭式容量平衡腔超滤控制系统，透析液连续提供，能达到零超滤。</w:t>
            </w:r>
          </w:p>
          <w:p w14:paraId="36523F23">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6、透析液温度控制在35℃～39℃，可调，有超温保护功能。</w:t>
            </w:r>
          </w:p>
          <w:p w14:paraId="7EC521A1">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7、电导度控制及保护：具备电导度监测、显示及超限报警功能。</w:t>
            </w:r>
          </w:p>
          <w:p w14:paraId="6ADD2061">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8、透析液配制为容积式连续配制方式，能使用多种不同透析液配方。</w:t>
            </w:r>
          </w:p>
          <w:p w14:paraId="0319779A">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9、具备碳酸氢盐干粉自动配制系统，可行超纯透析。</w:t>
            </w:r>
          </w:p>
          <w:p w14:paraId="6130C30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清洗消毒程序：可进行化学/热/脱钙多种消毒清洗程序。化学热消毒（80℃以上）除钙、除脂和消毒程序一体化进行；在进入实质消毒阶段后机器自动进行强制冲洗，以确保无药液残留；热化学消毒时间≤30分钟。</w:t>
            </w:r>
          </w:p>
          <w:p w14:paraId="1BCC1937">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11、透析液吸管可联机清洗消毒。</w:t>
            </w:r>
          </w:p>
          <w:p w14:paraId="5B49EAA2">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12、全功能数字化自检，包括所有显示、控制、监测、水路等系统, 自检不可跳过。</w:t>
            </w:r>
          </w:p>
          <w:p w14:paraId="7D1A5E51">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13、可使用通用型血路管和透析器等耗材。</w:t>
            </w:r>
          </w:p>
          <w:p w14:paraId="5A25B953">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14、有内置维修和故障诊断程序，具有治疗三色信号灯，便于临床观察患者治疗状态。</w:t>
            </w:r>
          </w:p>
          <w:p w14:paraId="2C66665F">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15、肝素泵可设定停泵时间，可作大剂量追加给药。</w:t>
            </w:r>
          </w:p>
          <w:p w14:paraId="7B7AD5DF">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16、可设定自动开、关机时间，自动预冲及选择自动消毒程序。</w:t>
            </w:r>
          </w:p>
          <w:p w14:paraId="4129BC7A">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17、具有动、静脉压力监测功能。</w:t>
            </w:r>
          </w:p>
          <w:p w14:paraId="3157DFFC">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18、标配有透析液内毒素过滤器接口，可使用透析液滤过器（耗材）实现对透析液进行超纯滤过，提高治疗预后。</w:t>
            </w:r>
          </w:p>
          <w:p w14:paraId="7168B635">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19、可实现软硬件升级，完全的水电路分离设计，单独水路控制系统，增加机器的安全性。</w:t>
            </w:r>
          </w:p>
          <w:p w14:paraId="103E3EFF">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20、有数字化计算机信息网络接口，RS232C或RS422接口。</w:t>
            </w:r>
          </w:p>
          <w:p w14:paraId="0A8E5C9B">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★21、治疗中，具备密闭性循环压力衡定测试功能，测试间隔≤13.5分钟，保证治疗安全性。</w:t>
            </w:r>
          </w:p>
          <w:p w14:paraId="3E26400C">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★22、血泵管路可调：根据需要采用不同直径透析管路。血泵管径≥3-9mm可调，方便各种管路的使用。可符合极低体重患者的使用。</w:t>
            </w:r>
          </w:p>
          <w:p w14:paraId="735FEDE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23、空气探测器采用超声探测原理，具有高灵敏度和安全性，并具备静脉壶液面自动调整功能。</w:t>
            </w:r>
          </w:p>
          <w:p w14:paraId="6AEBFADC">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24、具有安全灵敏的漏血探测器，可分辨真假漏血。</w:t>
            </w:r>
          </w:p>
          <w:p w14:paraId="2677D50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25、随机设置内置不间断电源，断电时可自动切换并可维持血泵正常运转及监测显示所有治疗数据和报警监测工作≥15分钟。</w:t>
            </w:r>
          </w:p>
          <w:p w14:paraId="716E90D8">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二、主要技术参数要求</w:t>
            </w:r>
          </w:p>
          <w:p w14:paraId="4E32D5AA">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（1）、血液监测部分</w:t>
            </w:r>
          </w:p>
          <w:p w14:paraId="2A1C3E93">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★1、血泵：血流量指示：0，15—600ml/min，可显示有效血流量，精度≤±10%。</w:t>
            </w:r>
          </w:p>
          <w:p w14:paraId="718970E6">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2、血泵：血泵管径可调，方便各种管路的使用。</w:t>
            </w:r>
          </w:p>
          <w:p w14:paraId="722B76A1">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3、肝素泵：范围：0—10ml/h，可设定关泵时间。</w:t>
            </w:r>
          </w:p>
          <w:p w14:paraId="10441DEE">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4、静脉压力监测范围：-60mmHg～＋500mmHg，精确度≤±10mmHg 分辨率≤20mmHg。 </w:t>
            </w:r>
          </w:p>
          <w:p w14:paraId="40DD725F">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5、动脉压力监测范围：-300mmHg～＋280mmHg，精确度≤±10mmHg 分辨率≤20mmHg。</w:t>
            </w:r>
          </w:p>
          <w:p w14:paraId="17F65929">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（2）、透析液监测部分</w:t>
            </w:r>
          </w:p>
          <w:p w14:paraId="468B0A7D">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1、超滤率：0—4000ml/h，可调，精度：≤±1%。</w:t>
            </w:r>
          </w:p>
          <w:p w14:paraId="2C530445">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2、透析液温度：35℃—39℃，连续可调，有精确数字读数。</w:t>
            </w:r>
          </w:p>
          <w:p w14:paraId="585931F7">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3、透析液系统：透析液流速300-799ml/min。</w:t>
            </w:r>
          </w:p>
          <w:p w14:paraId="64C9A5FA">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4、跨膜压监视器：范围－60mmHg～＋500mmHg。</w:t>
            </w:r>
          </w:p>
          <w:p w14:paraId="0D0399AA">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5、漏血探测器：光学检测，要求≤0.5ml/min。</w:t>
            </w:r>
          </w:p>
          <w:p w14:paraId="1595DCFF">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（3）电源</w:t>
            </w:r>
          </w:p>
          <w:p w14:paraId="6FFD4B54">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1、后备电池: 标配内置电池,保证机器停电后连续工作时间≥15分钟,并且不丢失数据;同时压力监测，漏血和气泡检测正常工作。</w:t>
            </w:r>
          </w:p>
          <w:p w14:paraId="33679FEB">
            <w:pPr>
              <w:pStyle w:val="2"/>
              <w:spacing w:line="240" w:lineRule="auto"/>
              <w:jc w:val="left"/>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★2、电源供应：交流电压220V（±10%）/50Hz下连续工作，能抗电磁冲击，电磁干扰。</w:t>
            </w:r>
            <w:bookmarkStart w:id="1" w:name="_GoBack"/>
            <w:bookmarkEnd w:id="1"/>
          </w:p>
        </w:tc>
        <w:tc>
          <w:tcPr>
            <w:tcW w:w="750" w:type="dxa"/>
            <w:noWrap w:val="0"/>
            <w:vAlign w:val="center"/>
          </w:tcPr>
          <w:p w14:paraId="40413AD5">
            <w:pPr>
              <w:pStyle w:val="2"/>
              <w:spacing w:line="240" w:lineRule="auto"/>
              <w:jc w:val="center"/>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10台</w:t>
            </w:r>
          </w:p>
        </w:tc>
      </w:tr>
      <w:bookmarkEnd w:id="0"/>
    </w:tbl>
    <w:p w14:paraId="3BD624F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chineseCountingThousand"/>
      <w:lvlText w:val="%1、"/>
      <w:lvlJc w:val="left"/>
      <w:pPr>
        <w:tabs>
          <w:tab w:val="left" w:pos="420"/>
        </w:tabs>
        <w:ind w:left="420" w:hanging="420"/>
      </w:pPr>
      <w:rPr>
        <w:lang w:val="en-US"/>
      </w:rPr>
    </w:lvl>
    <w:lvl w:ilvl="1" w:tentative="0">
      <w:start w:val="1"/>
      <w:numFmt w:val="none"/>
      <w:suff w:val="nothing"/>
      <w:lvlText w:val=""/>
      <w:lvlJc w:val="left"/>
      <w:pPr>
        <w:ind w:left="0" w:firstLine="0"/>
      </w:pPr>
    </w:lvl>
    <w:lvl w:ilvl="2" w:tentative="0">
      <w:start w:val="1"/>
      <w:numFmt w:val="none"/>
      <w:pStyle w:val="2"/>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0Njc0Mjk5Y2JkMGY4OGE3ZjhmYWI4OGMxNjZhYTMifQ=="/>
  </w:docVars>
  <w:rsids>
    <w:rsidRoot w:val="00000000"/>
    <w:rsid w:val="00DA53A3"/>
    <w:rsid w:val="00F759C5"/>
    <w:rsid w:val="02ED3765"/>
    <w:rsid w:val="037F370B"/>
    <w:rsid w:val="041C121A"/>
    <w:rsid w:val="067551DE"/>
    <w:rsid w:val="06A607BF"/>
    <w:rsid w:val="06E11B93"/>
    <w:rsid w:val="07051A32"/>
    <w:rsid w:val="07AD3D7D"/>
    <w:rsid w:val="07FE7921"/>
    <w:rsid w:val="0827579C"/>
    <w:rsid w:val="083E6B94"/>
    <w:rsid w:val="09277541"/>
    <w:rsid w:val="0968623E"/>
    <w:rsid w:val="0A357BD9"/>
    <w:rsid w:val="0A5B589A"/>
    <w:rsid w:val="0D514D30"/>
    <w:rsid w:val="0DED0EDC"/>
    <w:rsid w:val="0E581B09"/>
    <w:rsid w:val="0FE73C1F"/>
    <w:rsid w:val="114F3A4B"/>
    <w:rsid w:val="12585AE3"/>
    <w:rsid w:val="12AF7DE6"/>
    <w:rsid w:val="14481ABF"/>
    <w:rsid w:val="14513504"/>
    <w:rsid w:val="14526B25"/>
    <w:rsid w:val="15F539DC"/>
    <w:rsid w:val="1692774A"/>
    <w:rsid w:val="16BF62CC"/>
    <w:rsid w:val="177B5218"/>
    <w:rsid w:val="17DD521C"/>
    <w:rsid w:val="1A846666"/>
    <w:rsid w:val="1B9073D6"/>
    <w:rsid w:val="1BC7637F"/>
    <w:rsid w:val="1C282471"/>
    <w:rsid w:val="1D1F12C6"/>
    <w:rsid w:val="1E1F7498"/>
    <w:rsid w:val="201828D9"/>
    <w:rsid w:val="206309DB"/>
    <w:rsid w:val="20810359"/>
    <w:rsid w:val="210636BE"/>
    <w:rsid w:val="21DF28F7"/>
    <w:rsid w:val="21FF5C31"/>
    <w:rsid w:val="22721ADB"/>
    <w:rsid w:val="22FB097B"/>
    <w:rsid w:val="244A1F01"/>
    <w:rsid w:val="2691349C"/>
    <w:rsid w:val="2ACB6AE5"/>
    <w:rsid w:val="2B022C02"/>
    <w:rsid w:val="2B085A72"/>
    <w:rsid w:val="2B6E5185"/>
    <w:rsid w:val="2C9B298B"/>
    <w:rsid w:val="2CC740E2"/>
    <w:rsid w:val="2D47664E"/>
    <w:rsid w:val="2F4D74EE"/>
    <w:rsid w:val="305138D4"/>
    <w:rsid w:val="30ED16D9"/>
    <w:rsid w:val="31BE38ED"/>
    <w:rsid w:val="32007163"/>
    <w:rsid w:val="32351B74"/>
    <w:rsid w:val="340E26E5"/>
    <w:rsid w:val="3420614F"/>
    <w:rsid w:val="347F782C"/>
    <w:rsid w:val="356869EB"/>
    <w:rsid w:val="35AC170D"/>
    <w:rsid w:val="36281A9A"/>
    <w:rsid w:val="38376972"/>
    <w:rsid w:val="383E6347"/>
    <w:rsid w:val="387917DD"/>
    <w:rsid w:val="39C85F89"/>
    <w:rsid w:val="3B297F1E"/>
    <w:rsid w:val="3C1227D0"/>
    <w:rsid w:val="3CA33604"/>
    <w:rsid w:val="3D892661"/>
    <w:rsid w:val="3DE5616A"/>
    <w:rsid w:val="3E7A3317"/>
    <w:rsid w:val="3E9C27D9"/>
    <w:rsid w:val="3F2E1C8C"/>
    <w:rsid w:val="3F4F580C"/>
    <w:rsid w:val="3FD75791"/>
    <w:rsid w:val="400A2DC7"/>
    <w:rsid w:val="401D4A77"/>
    <w:rsid w:val="41026F1B"/>
    <w:rsid w:val="416E5309"/>
    <w:rsid w:val="43C431C2"/>
    <w:rsid w:val="44291B28"/>
    <w:rsid w:val="48972F7E"/>
    <w:rsid w:val="490E0833"/>
    <w:rsid w:val="499263F2"/>
    <w:rsid w:val="4A2C135E"/>
    <w:rsid w:val="4C314321"/>
    <w:rsid w:val="4C961B0B"/>
    <w:rsid w:val="4D1952F5"/>
    <w:rsid w:val="4DFE2C77"/>
    <w:rsid w:val="4E072664"/>
    <w:rsid w:val="4EE61510"/>
    <w:rsid w:val="4FA679C5"/>
    <w:rsid w:val="524C0ADB"/>
    <w:rsid w:val="52761E31"/>
    <w:rsid w:val="52E97229"/>
    <w:rsid w:val="52EA49F5"/>
    <w:rsid w:val="55E3081B"/>
    <w:rsid w:val="568862F1"/>
    <w:rsid w:val="57602DD4"/>
    <w:rsid w:val="5838051C"/>
    <w:rsid w:val="5B036225"/>
    <w:rsid w:val="5CE30DF8"/>
    <w:rsid w:val="5E233B47"/>
    <w:rsid w:val="5EAF5CC6"/>
    <w:rsid w:val="5EC52DEF"/>
    <w:rsid w:val="5F007B36"/>
    <w:rsid w:val="5F3A1CDF"/>
    <w:rsid w:val="60C74977"/>
    <w:rsid w:val="619D2829"/>
    <w:rsid w:val="61F7347D"/>
    <w:rsid w:val="62A2505D"/>
    <w:rsid w:val="63C7579C"/>
    <w:rsid w:val="649F153A"/>
    <w:rsid w:val="65223976"/>
    <w:rsid w:val="65463566"/>
    <w:rsid w:val="658E5F6B"/>
    <w:rsid w:val="65F06A2D"/>
    <w:rsid w:val="66E50294"/>
    <w:rsid w:val="67376C97"/>
    <w:rsid w:val="67683339"/>
    <w:rsid w:val="67CC6096"/>
    <w:rsid w:val="691E61CF"/>
    <w:rsid w:val="6AAE38C2"/>
    <w:rsid w:val="6B714531"/>
    <w:rsid w:val="6B7378B5"/>
    <w:rsid w:val="6CFF49AF"/>
    <w:rsid w:val="6D99499F"/>
    <w:rsid w:val="6DFF790A"/>
    <w:rsid w:val="6E3C7468"/>
    <w:rsid w:val="6F2C6766"/>
    <w:rsid w:val="72242BA0"/>
    <w:rsid w:val="72EF23FC"/>
    <w:rsid w:val="731F2F41"/>
    <w:rsid w:val="73C541CA"/>
    <w:rsid w:val="75625EB3"/>
    <w:rsid w:val="767137CE"/>
    <w:rsid w:val="7671462C"/>
    <w:rsid w:val="769D3B33"/>
    <w:rsid w:val="774E74E1"/>
    <w:rsid w:val="78A90C08"/>
    <w:rsid w:val="79DB03AC"/>
    <w:rsid w:val="79DE4F94"/>
    <w:rsid w:val="7A3A13D5"/>
    <w:rsid w:val="7C1E485E"/>
    <w:rsid w:val="7CF5118C"/>
    <w:rsid w:val="7D1F6064"/>
    <w:rsid w:val="7F925C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3"/>
    <w:basedOn w:val="1"/>
    <w:next w:val="1"/>
    <w:qFormat/>
    <w:uiPriority w:val="0"/>
    <w:pPr>
      <w:keepNext/>
      <w:keepLines/>
      <w:numPr>
        <w:ilvl w:val="2"/>
        <w:numId w:val="1"/>
      </w:numPr>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afterLines="0"/>
    </w:pPr>
  </w:style>
  <w:style w:type="paragraph" w:styleId="4">
    <w:name w:val="Body Text First Indent"/>
    <w:basedOn w:val="3"/>
    <w:qFormat/>
    <w:uiPriority w:val="0"/>
    <w:pPr>
      <w:spacing w:line="312" w:lineRule="auto"/>
      <w:ind w:firstLine="420"/>
    </w:pPr>
    <w:rPr>
      <w:rFonts w:ascii="Times New Roman" w:hAnsi="Times New Roman" w:eastAsia="宋体" w:cs="Times New Roman"/>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7EDCC"/>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2945</Words>
  <Characters>3273</Characters>
  <Lines>0</Lines>
  <Paragraphs>0</Paragraphs>
  <TotalTime>1</TotalTime>
  <ScaleCrop>false</ScaleCrop>
  <LinksUpToDate>false</LinksUpToDate>
  <CharactersWithSpaces>3291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2022-03-23T03:40:00Z</dcterms:created>
  <dc:creator>Administrator</dc:creator>
  <cp:lastModifiedBy>弹弓</cp:lastModifiedBy>
  <dcterms:modified xsi:type="dcterms:W3CDTF">2025-10-23T04:18:26Z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59BEBB813F944C178D0EB9E4D9C62C5F</vt:lpwstr>
  </property>
  <property fmtid="{D5CDD505-2E9C-101B-9397-08002B2CF9AE}" pid="4" name="KSOTemplateDocerSaveRecord">
    <vt:lpwstr>eyJoZGlkIjoiYWQ0Njc0Mjk5Y2JkMGY4OGE3ZjhmYWI4OGMxNjZhYTMiLCJ1c2VySWQiOiIyMTU5MTg4OTAifQ==</vt:lpwstr>
  </property>
</Properties>
</file>