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pPr>
        <w:pStyle w:val="Heading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lang w:val="en-US" w:eastAsia="zh-CN"/>
        </w:rPr>
        <w:t>中标（成交）</w:t>
      </w:r>
      <w:r>
        <w:rPr>
          <w:rFonts w:ascii="华文中宋" w:eastAsia="华文中宋" w:hAnsi="华文中宋" w:hint="eastAsia"/>
        </w:rPr>
        <w:t>结果公告</w:t>
      </w:r>
      <w:bookmarkEnd w:id="0"/>
      <w:bookmarkEnd w:id="1"/>
    </w:p>
    <w:p>
      <w:pPr>
        <w:rPr>
          <w:rFonts w:ascii="黑体" w:eastAsia="黑体" w:hAnsi="黑体" w:hint="eastAsia"/>
          <w:sz w:val="28"/>
          <w:szCs w:val="28"/>
          <w:lang w:eastAsia="zh-CN"/>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sz w:val="28"/>
          <w:szCs w:val="28"/>
        </w:rPr>
        <w:t>项目编号：</w:t>
      </w:r>
      <w:r>
        <w:rPr>
          <w:rFonts w:ascii="黑体" w:eastAsia="黑体" w:hAnsi="黑体" w:hint="eastAsia"/>
          <w:sz w:val="28"/>
          <w:szCs w:val="28"/>
          <w:lang w:eastAsia="zh-CN"/>
        </w:rPr>
        <w:t>LCZFCG-2023-118</w:t>
      </w:r>
    </w:p>
    <w:p>
      <w:pPr>
        <w:rPr>
          <w:rFonts w:ascii="黑体" w:eastAsia="黑体" w:hAnsi="黑体" w:hint="eastAsia"/>
          <w:sz w:val="28"/>
          <w:szCs w:val="28"/>
          <w:lang w:eastAsia="zh-CN"/>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Pr>
          <w:rFonts w:ascii="黑体" w:eastAsia="黑体" w:hAnsi="黑体" w:hint="eastAsia"/>
          <w:sz w:val="28"/>
          <w:szCs w:val="28"/>
          <w:lang w:eastAsia="zh-CN"/>
        </w:rPr>
        <w:t>聊城高新技术产业开发区财政管理部投资评审服务项目</w:t>
      </w:r>
    </w:p>
    <w:p>
      <w:pPr>
        <w:spacing w:beforeLines="0" w:afterLines="0"/>
        <w:rPr>
          <w:rFonts w:ascii="黑体" w:eastAsia="黑体" w:hAnsi="黑体" w:hint="eastAsia"/>
          <w:sz w:val="28"/>
        </w:rPr>
      </w:pPr>
      <w:r>
        <w:rPr>
          <w:rFonts w:ascii="黑体" w:eastAsia="黑体" w:hAnsi="黑体" w:hint="eastAsia"/>
          <w:sz w:val="28"/>
        </w:rPr>
        <w:t>三、中标（成交）信息</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43"/>
        <w:gridCol w:w="1957"/>
        <w:gridCol w:w="3796"/>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612" w:type="dxa"/>
          </w:tcPr>
          <w:p>
            <w:pPr>
              <w:spacing w:beforeLines="0" w:afterLines="0"/>
              <w:rPr>
                <w:rFonts w:ascii="仿宋" w:eastAsia="仿宋" w:hAnsi="仿宋" w:hint="default"/>
                <w:sz w:val="28"/>
                <w:u w:val="none"/>
                <w:vertAlign w:val="baseline"/>
                <w:lang w:val="en-US" w:eastAsia="zh-CN"/>
              </w:rPr>
            </w:pPr>
            <w:r>
              <w:rPr>
                <w:rFonts w:ascii="仿宋" w:eastAsia="仿宋" w:hAnsi="仿宋" w:hint="eastAsia"/>
                <w:sz w:val="28"/>
                <w:u w:val="none"/>
                <w:vertAlign w:val="baseline"/>
                <w:lang w:val="en-US" w:eastAsia="zh-CN"/>
              </w:rPr>
              <w:t>供应商</w:t>
            </w:r>
          </w:p>
        </w:tc>
        <w:tc>
          <w:tcPr>
            <w:tcW w:w="2010" w:type="dxa"/>
          </w:tcPr>
          <w:p>
            <w:pPr>
              <w:spacing w:beforeLines="0" w:afterLines="0"/>
              <w:rPr>
                <w:rFonts w:ascii="仿宋" w:eastAsia="仿宋" w:hAnsi="仿宋" w:hint="default"/>
                <w:sz w:val="28"/>
                <w:u w:val="none"/>
                <w:vertAlign w:val="baseline"/>
                <w:lang w:val="en-US" w:eastAsia="zh-CN"/>
              </w:rPr>
            </w:pPr>
            <w:r>
              <w:rPr>
                <w:rFonts w:ascii="仿宋" w:eastAsia="仿宋" w:hAnsi="仿宋" w:hint="eastAsia"/>
                <w:sz w:val="28"/>
                <w:u w:val="none"/>
                <w:vertAlign w:val="baseline"/>
                <w:lang w:val="en-US" w:eastAsia="zh-CN"/>
              </w:rPr>
              <w:t>供应商地址</w:t>
            </w:r>
          </w:p>
        </w:tc>
        <w:tc>
          <w:tcPr>
            <w:tcW w:w="3900" w:type="dxa"/>
          </w:tcPr>
          <w:p>
            <w:pPr>
              <w:spacing w:beforeLines="0" w:afterLines="0"/>
              <w:rPr>
                <w:rFonts w:ascii="仿宋" w:eastAsia="仿宋" w:hAnsi="仿宋" w:hint="default"/>
                <w:sz w:val="28"/>
                <w:u w:val="none"/>
                <w:vertAlign w:val="baseline"/>
                <w:lang w:val="en-US" w:eastAsia="zh-CN"/>
              </w:rPr>
            </w:pPr>
            <w:r>
              <w:rPr>
                <w:rFonts w:ascii="仿宋" w:eastAsia="仿宋" w:hAnsi="仿宋" w:hint="eastAsia"/>
                <w:sz w:val="28"/>
                <w:u w:val="none"/>
                <w:vertAlign w:val="baseline"/>
                <w:lang w:val="en-US" w:eastAsia="zh-CN"/>
              </w:rPr>
              <w:t>中标金额/折扣率</w:t>
            </w:r>
          </w:p>
        </w:tc>
      </w:tr>
      <w:tr>
        <w:tblPrEx>
          <w:tblW w:w="0" w:type="auto"/>
          <w:tblInd w:w="0" w:type="dxa"/>
          <w:tblCellMar>
            <w:top w:w="0" w:type="dxa"/>
            <w:left w:w="108" w:type="dxa"/>
            <w:bottom w:w="0" w:type="dxa"/>
            <w:right w:w="108" w:type="dxa"/>
          </w:tblCellMar>
        </w:tblPrEx>
        <w:tc>
          <w:tcPr>
            <w:tcW w:w="2612" w:type="dxa"/>
          </w:tcPr>
          <w:p>
            <w:pPr>
              <w:spacing w:beforeLines="0" w:afterLines="0"/>
              <w:rPr>
                <w:rFonts w:ascii="仿宋" w:eastAsia="仿宋" w:hAnsi="仿宋" w:hint="eastAsia"/>
                <w:sz w:val="28"/>
                <w:u w:val="none"/>
                <w:vertAlign w:val="baseline"/>
                <w:lang w:eastAsia="zh-CN"/>
              </w:rPr>
            </w:pPr>
            <w:r>
              <w:rPr>
                <w:rFonts w:ascii="仿宋" w:eastAsia="仿宋" w:hAnsi="仿宋" w:hint="eastAsia"/>
                <w:sz w:val="28"/>
                <w:u w:val="none"/>
                <w:vertAlign w:val="baseline"/>
                <w:lang w:eastAsia="zh-CN"/>
              </w:rPr>
              <w:t>天津中审联工程造价咨询有限公司</w:t>
            </w:r>
          </w:p>
        </w:tc>
        <w:tc>
          <w:tcPr>
            <w:tcW w:w="2010" w:type="dxa"/>
          </w:tcPr>
          <w:p>
            <w:pPr>
              <w:spacing w:beforeLines="0" w:afterLines="0"/>
              <w:rPr>
                <w:rFonts w:ascii="仿宋" w:eastAsia="仿宋" w:hAnsi="仿宋" w:hint="eastAsia"/>
                <w:sz w:val="28"/>
                <w:u w:val="none"/>
                <w:vertAlign w:val="baseline"/>
                <w:lang w:eastAsia="zh-CN"/>
              </w:rPr>
            </w:pPr>
          </w:p>
        </w:tc>
        <w:tc>
          <w:tcPr>
            <w:tcW w:w="3900" w:type="dxa"/>
          </w:tcPr>
          <w:p>
            <w:pPr>
              <w:spacing w:beforeLines="0" w:afterLines="0"/>
              <w:rPr>
                <w:rFonts w:ascii="仿宋" w:eastAsia="仿宋" w:hAnsi="仿宋" w:hint="eastAsia"/>
                <w:sz w:val="28"/>
                <w:u w:val="none"/>
                <w:vertAlign w:val="baseline"/>
                <w:lang w:eastAsia="zh-CN"/>
              </w:rPr>
            </w:pPr>
            <w:r>
              <w:rPr>
                <w:rFonts w:ascii="仿宋" w:eastAsia="仿宋" w:hAnsi="仿宋" w:hint="eastAsia"/>
                <w:sz w:val="28"/>
                <w:u w:val="none"/>
                <w:vertAlign w:val="baseline"/>
                <w:lang w:eastAsia="zh-CN"/>
              </w:rPr>
              <w:t>20</w:t>
            </w:r>
            <w:r>
              <w:rPr>
                <w:rFonts w:ascii="仿宋" w:eastAsia="仿宋" w:hAnsi="仿宋" w:cs="仿宋"/>
                <w:b w:val="0"/>
                <w:i w:val="0"/>
                <w:strike w:val="0"/>
                <w:color w:val="auto"/>
                <w:sz w:val="28"/>
                <w:u w:val="none"/>
              </w:rPr>
              <w:t>%</w:t>
            </w:r>
          </w:p>
        </w:tc>
      </w:tr>
      <w:tr>
        <w:tblPrEx>
          <w:tblW w:w="0" w:type="auto"/>
          <w:tblInd w:w="0" w:type="dxa"/>
          <w:tblCellMar>
            <w:top w:w="0" w:type="dxa"/>
            <w:left w:w="108" w:type="dxa"/>
            <w:bottom w:w="0" w:type="dxa"/>
            <w:right w:w="108" w:type="dxa"/>
          </w:tblCellMar>
        </w:tblPrEx>
        <w:tc>
          <w:tcPr>
            <w:tcW w:w="2612" w:type="dxa"/>
          </w:tcPr>
          <w:p>
            <w:pPr>
              <w:spacing w:beforeLines="0" w:afterLines="0"/>
              <w:rPr>
                <w:rFonts w:ascii="仿宋" w:eastAsia="仿宋" w:hAnsi="仿宋" w:hint="eastAsia"/>
                <w:sz w:val="28"/>
                <w:u w:val="none"/>
                <w:vertAlign w:val="baseline"/>
                <w:lang w:eastAsia="zh-CN"/>
              </w:rPr>
            </w:pPr>
            <w:r>
              <w:rPr>
                <w:rFonts w:ascii="仿宋" w:eastAsia="仿宋" w:hAnsi="仿宋" w:hint="eastAsia"/>
                <w:sz w:val="28"/>
                <w:u w:val="none"/>
                <w:vertAlign w:val="baseline"/>
                <w:lang w:eastAsia="zh-CN"/>
              </w:rPr>
              <w:t>山东正堃项目管理有限公司</w:t>
            </w:r>
          </w:p>
        </w:tc>
        <w:tc>
          <w:tcPr>
            <w:tcW w:w="2010" w:type="dxa"/>
          </w:tcPr>
          <w:p>
            <w:pPr>
              <w:spacing w:beforeLines="0" w:afterLines="0"/>
              <w:rPr>
                <w:rFonts w:ascii="仿宋" w:eastAsia="仿宋" w:hAnsi="仿宋" w:hint="eastAsia"/>
                <w:sz w:val="28"/>
                <w:u w:val="none"/>
                <w:vertAlign w:val="baseline"/>
                <w:lang w:eastAsia="zh-CN"/>
              </w:rPr>
            </w:pPr>
            <w:r>
              <w:rPr>
                <w:rFonts w:ascii="仿宋" w:eastAsia="仿宋" w:hAnsi="仿宋" w:hint="eastAsia"/>
                <w:sz w:val="28"/>
                <w:u w:val="none"/>
                <w:vertAlign w:val="baseline"/>
                <w:lang w:eastAsia="zh-CN"/>
              </w:rPr>
              <w:t>山东省聊城经济技术开发区东昌东路当代国际广场核心商务区9A楼4层</w:t>
            </w:r>
          </w:p>
        </w:tc>
        <w:tc>
          <w:tcPr>
            <w:tcW w:w="3900" w:type="dxa"/>
          </w:tcPr>
          <w:p>
            <w:pPr>
              <w:spacing w:beforeLines="0" w:afterLines="0"/>
              <w:rPr>
                <w:rFonts w:ascii="仿宋" w:eastAsia="仿宋" w:hAnsi="仿宋" w:hint="eastAsia"/>
                <w:sz w:val="28"/>
                <w:u w:val="none"/>
                <w:vertAlign w:val="baseline"/>
                <w:lang w:eastAsia="zh-CN"/>
              </w:rPr>
            </w:pPr>
            <w:r>
              <w:rPr>
                <w:rFonts w:ascii="仿宋" w:eastAsia="仿宋" w:hAnsi="仿宋" w:hint="eastAsia"/>
                <w:sz w:val="28"/>
                <w:u w:val="none"/>
                <w:vertAlign w:val="baseline"/>
                <w:lang w:eastAsia="zh-CN"/>
              </w:rPr>
              <w:t>30</w:t>
            </w:r>
            <w:r>
              <w:rPr>
                <w:rFonts w:ascii="仿宋" w:eastAsia="仿宋" w:hAnsi="仿宋" w:cs="仿宋"/>
                <w:b w:val="0"/>
                <w:i w:val="0"/>
                <w:strike w:val="0"/>
                <w:color w:val="auto"/>
                <w:sz w:val="28"/>
                <w:u w:val="none"/>
              </w:rPr>
              <w:t>%</w:t>
            </w:r>
          </w:p>
        </w:tc>
      </w:tr>
    </w:tbl>
    <w:p>
      <w:pPr>
        <w:spacing w:beforeLines="0" w:afterLines="0"/>
        <w:ind w:firstLine="560" w:firstLineChars="200"/>
        <w:rPr>
          <w:rFonts w:ascii="仿宋" w:eastAsia="仿宋" w:hAnsi="仿宋" w:hint="eastAsia"/>
          <w:sz w:val="28"/>
          <w:u w:val="none"/>
          <w:lang w:eastAsia="zh-CN"/>
        </w:rPr>
      </w:pPr>
    </w:p>
    <w:p>
      <w:pPr>
        <w:rPr>
          <w:rFonts w:ascii="黑体" w:eastAsia="黑体" w:hAnsi="黑体" w:hint="eastAsia"/>
          <w:sz w:val="28"/>
          <w:szCs w:val="28"/>
          <w:highlight w:val="none"/>
        </w:rPr>
      </w:pPr>
      <w:r>
        <w:rPr>
          <w:rFonts w:ascii="黑体" w:eastAsia="黑体" w:hAnsi="黑体" w:hint="eastAsia"/>
          <w:sz w:val="28"/>
          <w:szCs w:val="28"/>
          <w:highlight w:val="none"/>
        </w:rPr>
        <w:t>四、主要标的信息</w:t>
      </w:r>
      <w:bookmarkStart w:id="2" w:name="_GoBack"/>
      <w:bookmarkEnd w:id="2"/>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59"/>
        <w:gridCol w:w="1659"/>
        <w:gridCol w:w="1659"/>
        <w:gridCol w:w="1659"/>
        <w:gridCol w:w="166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标的编号</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标的名称</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规格型号</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数量</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单价(元)</w:t>
            </w:r>
          </w:p>
        </w:tc>
      </w:tr>
      <w:tr>
        <w:tblPrEx>
          <w:tblW w:w="0" w:type="auto"/>
          <w:tblInd w:w="0" w:type="dxa"/>
          <w:tblCellMar>
            <w:top w:w="0" w:type="dxa"/>
            <w:left w:w="108" w:type="dxa"/>
            <w:bottom w:w="0" w:type="dxa"/>
            <w:right w:w="108" w:type="dxa"/>
          </w:tblCellMar>
        </w:tblPrEx>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LCZFCG-2023-118-01</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投资评审服务项目A</w:t>
            </w: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r>
      <w:tr>
        <w:tblPrEx>
          <w:tblW w:w="0" w:type="auto"/>
          <w:tblInd w:w="0" w:type="dxa"/>
          <w:tblCellMar>
            <w:top w:w="0" w:type="dxa"/>
            <w:left w:w="108" w:type="dxa"/>
            <w:bottom w:w="0" w:type="dxa"/>
            <w:right w:w="108" w:type="dxa"/>
          </w:tblCellMar>
        </w:tblPrEx>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LCZFCG-2023-118-02</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投资评审服务项目B</w:t>
            </w: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r>
    </w:tbl>
    <w:p>
      <w:pPr>
        <w:numPr>
          <w:ilvl w:val="0"/>
          <w:numId w:val="2"/>
        </w:numPr>
        <w:rPr>
          <w:rFonts w:ascii="黑体" w:eastAsia="黑体" w:hAnsi="黑体" w:hint="eastAsia"/>
          <w:color w:val="auto"/>
          <w:sz w:val="28"/>
          <w:szCs w:val="28"/>
        </w:rPr>
      </w:pPr>
      <w:r>
        <w:rPr>
          <w:rFonts w:ascii="黑体" w:eastAsia="黑体" w:hAnsi="黑体" w:hint="eastAsia"/>
          <w:color w:val="auto"/>
          <w:sz w:val="28"/>
          <w:szCs w:val="28"/>
        </w:rPr>
        <w:t>评审专家名单：</w:t>
      </w:r>
    </w:p>
    <w:p>
      <w:pPr>
        <w:rPr>
          <w:rFonts w:ascii="仿宋" w:eastAsia="仿宋" w:hAnsi="仿宋" w:hint="eastAsia"/>
          <w:kern w:val="0"/>
          <w:sz w:val="28"/>
          <w:szCs w:val="28"/>
          <w:lang w:val="en-US" w:eastAsia="zh-CN"/>
        </w:rPr>
      </w:pPr>
    </w:p>
    <w:p>
      <w:pPr>
        <w:rPr>
          <w:rFonts w:ascii="黑体" w:eastAsia="黑体" w:hAnsi="黑体"/>
          <w:sz w:val="28"/>
          <w:szCs w:val="28"/>
        </w:rPr>
      </w:pPr>
      <w:r>
        <w:rPr>
          <w:rFonts w:ascii="黑体" w:eastAsia="黑体" w:hAnsi="黑体" w:hint="eastAsia"/>
          <w:sz w:val="28"/>
          <w:szCs w:val="28"/>
        </w:rPr>
        <w:t>六、代理服务收费标准及金额：</w:t>
      </w:r>
    </w:p>
    <w:p>
      <w:pPr>
        <w:rPr>
          <w:rFonts w:ascii="黑体" w:eastAsia="黑体" w:hAnsi="黑体"/>
          <w:sz w:val="28"/>
          <w:szCs w:val="28"/>
        </w:rPr>
      </w:pPr>
      <w:r>
        <w:rPr>
          <w:rFonts w:ascii="黑体" w:eastAsia="黑体" w:hAnsi="黑体" w:hint="eastAsia"/>
          <w:sz w:val="28"/>
          <w:szCs w:val="28"/>
        </w:rPr>
        <w:t>七、公告期限</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pPr>
        <w:rPr>
          <w:rFonts w:ascii="黑体" w:eastAsia="黑体" w:hAnsi="黑体" w:cs="仿宋"/>
          <w:sz w:val="28"/>
          <w:szCs w:val="28"/>
        </w:rPr>
      </w:pPr>
      <w:r>
        <w:rPr>
          <w:rFonts w:ascii="黑体" w:eastAsia="黑体" w:hAnsi="黑体" w:cs="仿宋" w:hint="eastAsia"/>
          <w:sz w:val="28"/>
          <w:szCs w:val="28"/>
        </w:rPr>
        <w:t>八、其他补充事宜</w:t>
      </w:r>
    </w:p>
    <w:p>
      <w:pPr>
        <w:rPr>
          <w:rFonts w:ascii="黑体" w:eastAsia="黑体" w:hAnsi="黑体" w:cs="宋体"/>
          <w:kern w:val="0"/>
          <w:sz w:val="28"/>
          <w:szCs w:val="28"/>
        </w:rPr>
      </w:pPr>
    </w:p>
    <w:p>
      <w:pPr>
        <w:numPr>
          <w:ilvl w:val="0"/>
          <w:numId w:val="3"/>
        </w:numPr>
        <w:rPr>
          <w:rFonts w:ascii="黑体" w:eastAsia="黑体" w:hAnsi="黑体" w:cs="宋体" w:hint="eastAsia"/>
          <w:kern w:val="0"/>
          <w:sz w:val="28"/>
          <w:szCs w:val="28"/>
        </w:rPr>
      </w:pPr>
      <w:r>
        <w:rPr>
          <w:rFonts w:ascii="黑体" w:eastAsia="黑体" w:hAnsi="黑体" w:cs="宋体" w:hint="eastAsia"/>
          <w:kern w:val="0"/>
          <w:sz w:val="28"/>
          <w:szCs w:val="28"/>
        </w:rPr>
        <w:t>凡对本次公告内容提出询问，请按以下方式联系。</w:t>
      </w:r>
    </w:p>
    <w:p>
      <w:pPr>
        <w:spacing w:line="360" w:lineRule="auto"/>
        <w:ind w:left="1129" w:hanging="350" w:leftChars="371" w:hangingChars="125"/>
        <w:jc w:val="left"/>
        <w:rPr>
          <w:rFonts w:ascii="仿宋" w:eastAsia="仿宋" w:hAnsi="仿宋" w:hint="eastAsia"/>
          <w:sz w:val="28"/>
          <w:szCs w:val="28"/>
        </w:rPr>
      </w:pPr>
      <w:bookmarkStart w:id="3" w:name="_Toc28359023"/>
      <w:bookmarkStart w:id="4" w:name="_Toc35393641"/>
      <w:bookmarkStart w:id="5" w:name="_Toc28359100"/>
      <w:bookmarkStart w:id="6" w:name="_Toc35393810"/>
      <w:r>
        <w:rPr>
          <w:rFonts w:ascii="仿宋" w:eastAsia="仿宋" w:hAnsi="仿宋" w:hint="eastAsia"/>
          <w:sz w:val="28"/>
          <w:szCs w:val="28"/>
        </w:rPr>
        <w:t>1.采购人信息</w:t>
      </w:r>
      <w:bookmarkEnd w:id="3"/>
      <w:bookmarkEnd w:id="4"/>
      <w:bookmarkEnd w:id="5"/>
      <w:bookmarkEnd w:id="6"/>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lang w:eastAsia="zh-CN"/>
        </w:rPr>
        <w:t>0635-8507155</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p>
    <w:p>
      <w:pPr>
        <w:spacing w:line="360" w:lineRule="auto"/>
        <w:ind w:left="1129" w:hanging="350" w:leftChars="371" w:hangingChars="125"/>
        <w:jc w:val="left"/>
        <w:rPr>
          <w:rFonts w:ascii="仿宋" w:eastAsia="仿宋" w:hAnsi="仿宋" w:hint="eastAsia"/>
          <w:sz w:val="28"/>
          <w:szCs w:val="28"/>
          <w:lang w:eastAsia="zh-CN"/>
        </w:rPr>
      </w:pPr>
      <w:r>
        <w:rPr>
          <w:rFonts w:ascii="仿宋" w:eastAsia="仿宋" w:hAnsi="仿宋" w:hint="eastAsia"/>
          <w:sz w:val="28"/>
          <w:szCs w:val="28"/>
          <w:lang w:eastAsia="zh-CN"/>
        </w:rPr>
        <w:t>2.采购代理机构信息（如有）</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lang w:eastAsia="zh-CN"/>
        </w:rPr>
        <w:t>山东致德项目管理有限公司</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firstLine="840" w:firstLineChars="30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lang w:eastAsia="zh-CN"/>
        </w:rPr>
        <w:t>山东省聊城市孟达商务中心1号楼6楼60008室</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lang w:eastAsia="zh-CN"/>
        </w:rPr>
        <w:t>17606354448</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hint="eastAsia"/>
          <w:sz w:val="28"/>
          <w:szCs w:val="28"/>
        </w:rPr>
      </w:pPr>
      <w:bookmarkStart w:id="7" w:name="_Toc28359025"/>
      <w:bookmarkStart w:id="8" w:name="_Toc35393643"/>
      <w:bookmarkStart w:id="9" w:name="_Toc28359102"/>
      <w:bookmarkStart w:id="10" w:name="_Toc35393812"/>
      <w:r>
        <w:rPr>
          <w:rFonts w:ascii="仿宋" w:eastAsia="仿宋" w:hAnsi="仿宋" w:hint="eastAsia"/>
          <w:sz w:val="28"/>
          <w:szCs w:val="28"/>
        </w:rPr>
        <w:t>3.项目联系方式</w:t>
      </w:r>
      <w:bookmarkEnd w:id="7"/>
      <w:bookmarkEnd w:id="8"/>
      <w:bookmarkEnd w:id="9"/>
      <w:bookmarkEnd w:id="10"/>
    </w:p>
    <w:p>
      <w:pPr>
        <w:pStyle w:val="PlainText"/>
        <w:spacing w:line="360" w:lineRule="auto"/>
        <w:ind w:firstLine="840" w:firstLineChars="300"/>
        <w:rPr>
          <w:rFonts w:ascii="仿宋" w:eastAsia="仿宋" w:hAnsi="仿宋" w:hint="default"/>
          <w:sz w:val="28"/>
          <w:szCs w:val="28"/>
          <w:lang w:val="en-US"/>
        </w:rPr>
      </w:pPr>
      <w:r>
        <w:rPr>
          <w:rFonts w:ascii="仿宋" w:eastAsia="仿宋" w:hAnsi="仿宋" w:hint="eastAsia"/>
          <w:sz w:val="28"/>
          <w:szCs w:val="28"/>
        </w:rPr>
        <w:t>项目联系人：</w:t>
      </w:r>
      <w:r>
        <w:rPr>
          <w:rFonts w:ascii="仿宋" w:eastAsia="仿宋" w:hAnsi="仿宋" w:hint="eastAsia"/>
          <w:sz w:val="28"/>
          <w:szCs w:val="28"/>
          <w:u w:val="single"/>
          <w:lang w:eastAsia="zh-CN"/>
        </w:rPr>
        <w:t>王科长</w:t>
      </w:r>
      <w:r>
        <w:rPr>
          <w:rFonts w:ascii="仿宋" w:eastAsia="仿宋" w:hAnsi="仿宋" w:hint="eastAsia"/>
          <w:sz w:val="28"/>
          <w:szCs w:val="28"/>
          <w:u w:val="single"/>
          <w:lang w:val="en-US" w:eastAsia="zh-CN"/>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lang w:eastAsia="zh-CN"/>
        </w:rPr>
        <w:t>0635-8507155</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bidi w:val="0"/>
        <w:ind w:firstLine="560" w:firstLineChars="200"/>
        <w:rPr>
          <w:rFonts w:ascii="仿宋" w:eastAsia="仿宋" w:hAnsi="仿宋" w:cstheme="minorBidi" w:hint="eastAsia"/>
          <w:kern w:val="2"/>
          <w:sz w:val="28"/>
          <w:szCs w:val="22"/>
          <w:lang w:val="en-US" w:eastAsia="zh-CN" w:bidi="ar-SA"/>
        </w:rPr>
      </w:pPr>
      <w:r>
        <w:rPr>
          <w:rFonts w:ascii="仿宋" w:eastAsia="仿宋" w:hAnsi="仿宋" w:cstheme="minorBidi" w:hint="eastAsia"/>
          <w:kern w:val="2"/>
          <w:sz w:val="28"/>
          <w:szCs w:val="22"/>
          <w:lang w:val="en-US" w:eastAsia="zh-CN" w:bidi="ar-SA"/>
        </w:rPr>
        <w:t>2.项目联系方式</w:t>
      </w:r>
    </w:p>
    <w:p>
      <w:pPr>
        <w:pStyle w:val="PlainText"/>
        <w:spacing w:beforeLines="0" w:afterLines="0" w:line="360" w:lineRule="auto"/>
        <w:ind w:firstLine="560" w:firstLineChars="200"/>
        <w:rPr>
          <w:rFonts w:ascii="仿宋" w:eastAsia="仿宋" w:hAnsi="仿宋" w:hint="eastAsia"/>
          <w:sz w:val="28"/>
        </w:rPr>
      </w:pPr>
      <w:r>
        <w:rPr>
          <w:rFonts w:ascii="仿宋" w:eastAsia="仿宋" w:hAnsi="仿宋" w:hint="eastAsia"/>
          <w:sz w:val="28"/>
        </w:rPr>
        <w:t>项目联系人：</w:t>
      </w:r>
      <w:r>
        <w:rPr>
          <w:rFonts w:ascii="仿宋" w:eastAsia="仿宋" w:hAnsi="仿宋" w:hint="eastAsia"/>
          <w:sz w:val="28"/>
          <w:u w:val="single"/>
          <w:lang w:eastAsia="zh-CN"/>
        </w:rPr>
        <w:t>王科长</w:t>
      </w:r>
      <w:r>
        <w:rPr>
          <w:rFonts w:ascii="仿宋" w:eastAsia="仿宋" w:hAnsi="仿宋" w:hint="eastAsia"/>
          <w:sz w:val="28"/>
          <w:u w:val="single"/>
        </w:rPr>
        <w:t xml:space="preserve">          </w:t>
      </w:r>
    </w:p>
    <w:p>
      <w:pPr>
        <w:ind w:firstLine="560" w:firstLineChars="200"/>
        <w:rPr>
          <w:rFonts w:ascii="仿宋" w:eastAsia="仿宋" w:hAnsi="仿宋" w:hint="eastAsia"/>
          <w:sz w:val="28"/>
          <w:szCs w:val="28"/>
          <w:u w:val="none"/>
          <w:lang w:val="en-US" w:eastAsia="zh-CN"/>
        </w:rPr>
      </w:pPr>
      <w:r>
        <w:rPr>
          <w:rFonts w:ascii="仿宋" w:eastAsia="仿宋" w:hAnsi="仿宋" w:hint="eastAsia"/>
          <w:sz w:val="28"/>
        </w:rPr>
        <w:t>电　  话：</w:t>
      </w:r>
      <w:r>
        <w:rPr>
          <w:rFonts w:ascii="仿宋" w:eastAsia="仿宋" w:hAnsi="仿宋" w:hint="eastAsia"/>
          <w:sz w:val="28"/>
          <w:u w:val="single"/>
          <w:lang w:eastAsia="zh-CN"/>
        </w:rPr>
        <w:t>0635-8507155</w:t>
      </w:r>
      <w:r>
        <w:rPr>
          <w:rFonts w:ascii="仿宋" w:eastAsia="仿宋" w:hAnsi="仿宋" w:hint="eastAsia"/>
          <w:sz w:val="28"/>
          <w:u w:val="single"/>
        </w:rPr>
        <w:t xml:space="preserve">　　　　           </w:t>
      </w:r>
    </w:p>
    <w:p>
      <w:pPr>
        <w:rPr>
          <w:rFonts w:ascii="黑体" w:eastAsia="黑体" w:hAnsi="黑体" w:cs="宋体"/>
          <w:kern w:val="0"/>
          <w:sz w:val="28"/>
          <w:szCs w:val="28"/>
        </w:rPr>
      </w:pPr>
      <w:r>
        <w:rPr>
          <w:rFonts w:ascii="黑体" w:eastAsia="黑体" w:hAnsi="黑体" w:cs="宋体" w:hint="eastAsia"/>
          <w:kern w:val="0"/>
          <w:sz w:val="28"/>
          <w:szCs w:val="28"/>
        </w:rPr>
        <w:t>十、附件</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1.采购文件（</w:t>
      </w:r>
      <w:r>
        <w:rPr>
          <w:rFonts w:ascii="仿宋" w:eastAsia="仿宋" w:hAnsi="仿宋" w:cs="宋体" w:hint="eastAsia"/>
          <w:i/>
          <w:iCs/>
          <w:kern w:val="0"/>
          <w:sz w:val="28"/>
          <w:szCs w:val="28"/>
        </w:rPr>
        <w:t>已公告的可不重复公告</w:t>
      </w:r>
      <w:r>
        <w:rPr>
          <w:rFonts w:ascii="仿宋" w:eastAsia="仿宋" w:hAnsi="仿宋" w:cs="宋体" w:hint="eastAsia"/>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2.</w:t>
      </w:r>
      <w:r>
        <w:rPr>
          <w:rFonts w:ascii="仿宋" w:eastAsia="仿宋" w:hAnsi="仿宋" w:cs="宋体"/>
          <w:kern w:val="0"/>
          <w:sz w:val="28"/>
          <w:szCs w:val="28"/>
        </w:rPr>
        <w:t>被推荐供应商名单和推荐理由（</w:t>
      </w:r>
      <w:r>
        <w:rPr>
          <w:rFonts w:ascii="仿宋" w:eastAsia="仿宋" w:hAnsi="仿宋" w:cs="宋体" w:hint="eastAsia"/>
          <w:i/>
          <w:iCs/>
          <w:kern w:val="0"/>
          <w:sz w:val="28"/>
          <w:szCs w:val="28"/>
        </w:rPr>
        <w:t>适用于</w:t>
      </w:r>
      <w:r>
        <w:rPr>
          <w:rFonts w:ascii="仿宋" w:eastAsia="仿宋" w:hAnsi="仿宋" w:cs="宋体"/>
          <w:i/>
          <w:iCs/>
          <w:kern w:val="0"/>
          <w:sz w:val="28"/>
          <w:szCs w:val="28"/>
        </w:rPr>
        <w:t>邀请招标</w:t>
      </w:r>
      <w:r>
        <w:rPr>
          <w:rFonts w:ascii="仿宋" w:eastAsia="仿宋" w:hAnsi="仿宋" w:cs="宋体" w:hint="eastAsia"/>
          <w:i/>
          <w:iCs/>
          <w:kern w:val="0"/>
          <w:sz w:val="28"/>
          <w:szCs w:val="28"/>
        </w:rPr>
        <w:t>、</w:t>
      </w:r>
      <w:r>
        <w:rPr>
          <w:rFonts w:ascii="仿宋" w:eastAsia="仿宋" w:hAnsi="仿宋" w:cs="宋体"/>
          <w:i/>
          <w:iCs/>
          <w:kern w:val="0"/>
          <w:sz w:val="28"/>
          <w:szCs w:val="28"/>
        </w:rPr>
        <w:t>竞争性谈判</w:t>
      </w:r>
      <w:r>
        <w:rPr>
          <w:rFonts w:ascii="仿宋" w:eastAsia="仿宋" w:hAnsi="仿宋" w:cs="宋体" w:hint="eastAsia"/>
          <w:i/>
          <w:iCs/>
          <w:kern w:val="0"/>
          <w:sz w:val="28"/>
          <w:szCs w:val="28"/>
        </w:rPr>
        <w:t>、询价、竞争性</w:t>
      </w:r>
      <w:r>
        <w:rPr>
          <w:rFonts w:ascii="仿宋" w:eastAsia="仿宋" w:hAnsi="仿宋" w:cs="宋体"/>
          <w:i/>
          <w:iCs/>
          <w:kern w:val="0"/>
          <w:sz w:val="28"/>
          <w:szCs w:val="28"/>
        </w:rPr>
        <w:t>磋商采用书面推荐方式产生</w:t>
      </w:r>
      <w:r>
        <w:rPr>
          <w:rFonts w:ascii="仿宋" w:eastAsia="仿宋" w:hAnsi="仿宋" w:cs="宋体" w:hint="eastAsia"/>
          <w:i/>
          <w:iCs/>
          <w:kern w:val="0"/>
          <w:sz w:val="28"/>
          <w:szCs w:val="28"/>
        </w:rPr>
        <w:t>符合</w:t>
      </w:r>
      <w:r>
        <w:rPr>
          <w:rFonts w:ascii="仿宋" w:eastAsia="仿宋" w:hAnsi="仿宋" w:cs="宋体"/>
          <w:i/>
          <w:iCs/>
          <w:kern w:val="0"/>
          <w:sz w:val="28"/>
          <w:szCs w:val="28"/>
        </w:rPr>
        <w:t>资格条件</w:t>
      </w:r>
      <w:r>
        <w:rPr>
          <w:rFonts w:ascii="仿宋" w:eastAsia="仿宋" w:hAnsi="仿宋" w:cs="宋体" w:hint="eastAsia"/>
          <w:i/>
          <w:iCs/>
          <w:kern w:val="0"/>
          <w:sz w:val="28"/>
          <w:szCs w:val="28"/>
        </w:rPr>
        <w:t>的</w:t>
      </w:r>
      <w:r>
        <w:rPr>
          <w:rFonts w:ascii="仿宋" w:eastAsia="仿宋" w:hAnsi="仿宋" w:cs="宋体"/>
          <w:i/>
          <w:iCs/>
          <w:kern w:val="0"/>
          <w:sz w:val="28"/>
          <w:szCs w:val="28"/>
        </w:rPr>
        <w:t>潜在供应</w:t>
      </w:r>
      <w:r>
        <w:rPr>
          <w:rFonts w:ascii="仿宋" w:eastAsia="仿宋" w:hAnsi="仿宋" w:cs="宋体" w:hint="eastAsia"/>
          <w:i/>
          <w:iCs/>
          <w:kern w:val="0"/>
          <w:sz w:val="28"/>
          <w:szCs w:val="28"/>
        </w:rPr>
        <w:t>商</w:t>
      </w:r>
      <w:r>
        <w:rPr>
          <w:rFonts w:ascii="仿宋" w:eastAsia="仿宋" w:hAnsi="仿宋" w:cs="宋体"/>
          <w:i/>
          <w:iCs/>
          <w:kern w:val="0"/>
          <w:sz w:val="28"/>
          <w:szCs w:val="28"/>
        </w:rPr>
        <w:t>的</w:t>
      </w:r>
      <w:r>
        <w:rPr>
          <w:rFonts w:ascii="仿宋" w:eastAsia="仿宋" w:hAnsi="仿宋" w:cs="宋体"/>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3.中标、成交供应商为中小企业的，应公告其《中小企业声明函》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4.中标、成交供应商为残疾人福利性单位的，应公告其《残疾人福利性单位声明函》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5.中标、成交供应商为注册地在国家级贫困县域内物业公司的，应公告注册所在县扶贫部门出具的聘用建档立卡贫困人员具体数量的证明。</w:t>
      </w:r>
    </w:p>
    <w:p>
      <w:pPr>
        <w:ind w:left="279" w:firstLine="560" w:leftChars="133" w:firstLineChars="200"/>
        <w:rPr>
          <w:rFonts w:ascii="仿宋" w:eastAsia="仿宋" w:hAnsi="仿宋" w:hint="eastAsia"/>
          <w:sz w:val="28"/>
          <w:szCs w:val="28"/>
          <w:u w:val="none"/>
          <w:lang w:val="en-US" w:eastAsia="zh-CN"/>
        </w:rPr>
      </w:pPr>
    </w:p>
    <w:p/>
    <w:sectPr>
      <w:footerReference w:type="default" r:id="rId5"/>
      <w:pgSz w:w="11906" w:h="16838"/>
      <w:pgMar w:top="1440" w:right="1800" w:bottom="1440" w:left="1800" w:header="851" w:footer="992" w:gutter="0"/>
      <w:pgNumType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69663037"/>
      <w:richText/>
    </w:sdtPr>
    <w:sdtContent>
      <w:p>
        <w:pPr>
          <w:pStyle w:val="Footer"/>
          <w:jc w:val="center"/>
        </w:pPr>
        <w:r>
          <w:fldChar w:fldCharType="begin"/>
        </w:r>
        <w:r>
          <w:instrText>PAGE   \* MERGEFORMAT</w:instrText>
        </w:r>
        <w:r>
          <w:fldChar w:fldCharType="separate"/>
        </w:r>
        <w:r>
          <w:rPr>
            <w:lang w:val="zh-CN"/>
          </w:rPr>
          <w:t>1</w:t>
        </w:r>
        <w:r>
          <w:fldChar w:fldCharType="end"/>
        </w:r>
      </w:p>
    </w:sdtContent>
  </w:sdt>
  <w:p>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CF03B629"/>
    <w:multiLevelType w:val="singleLevel"/>
    <w:tmpl w:val="CF03B629"/>
    <w:lvl w:ilvl="0">
      <w:start w:val="9"/>
      <w:numFmt w:val="chineseCounting"/>
      <w:suff w:val="nothing"/>
      <w:lvlText w:val="%1、"/>
      <w:lvlJc w:val="left"/>
      <w:rPr>
        <w:rFonts w:hint="eastAsia"/>
      </w:rPr>
    </w:lvl>
  </w:abstractNum>
  <w:abstractNum w:abstractNumId="1">
    <w:nsid w:val="35C200DD"/>
    <w:multiLevelType w:val="multilevel"/>
    <w:tmpl w:val="35C200DD"/>
    <w:lvl w:ilvl="0">
      <w:start w:val="1"/>
      <w:numFmt w:val="decimal"/>
      <w:pStyle w:val="12"/>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7B78C4C7"/>
    <w:multiLevelType w:val="singleLevel"/>
    <w:tmpl w:val="7B78C4C7"/>
    <w:lvl w:ilvl="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3F3"/>
    <w:rsid w:val="000C42B2"/>
    <w:rsid w:val="001B2D9D"/>
    <w:rsid w:val="001F1FAB"/>
    <w:rsid w:val="00596B5A"/>
    <w:rsid w:val="00683235"/>
    <w:rsid w:val="00A473F3"/>
    <w:rsid w:val="00BF1399"/>
    <w:rsid w:val="00D72B8D"/>
    <w:rsid w:val="040F272E"/>
    <w:rsid w:val="1614607A"/>
    <w:rsid w:val="18024125"/>
    <w:rsid w:val="1FA87855"/>
    <w:rsid w:val="2A6210F0"/>
    <w:rsid w:val="2C244E23"/>
    <w:rsid w:val="30043071"/>
    <w:rsid w:val="43377EC9"/>
    <w:rsid w:val="49DC35C7"/>
    <w:rsid w:val="52320CE8"/>
    <w:rsid w:val="55FB1DE5"/>
    <w:rsid w:val="5FDF0327"/>
    <w:rsid w:val="697F0CA2"/>
    <w:rsid w:val="69950561"/>
    <w:rsid w:val="6B697022"/>
    <w:rsid w:val="70B63307"/>
    <w:rsid w:val="72DC0914"/>
    <w:rsid w:val="733466A6"/>
    <w:rsid w:val="77C3666D"/>
    <w:rsid w:val="78645C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qFormat/>
    <w:rPr>
      <w:rFonts w:ascii="宋体" w:hAnsi="Courier New" w:eastAsiaTheme="minorEastAsia" w:cstheme="minorBidi"/>
      <w:szCs w:val="22"/>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customStyle="1" w:styleId="12">
    <w:name w:val="样式1标题2"/>
    <w:basedOn w:val="ListParagraph"/>
    <w:qFormat/>
    <w:pPr>
      <w:numPr>
        <w:ilvl w:val="0"/>
        <w:numId w:val="1"/>
      </w:numPr>
      <w:tabs>
        <w:tab w:val="left" w:pos="360"/>
      </w:tabs>
      <w:adjustRightInd w:val="0"/>
      <w:snapToGrid w:val="0"/>
      <w:spacing w:line="440" w:lineRule="exact"/>
      <w:ind w:left="0" w:firstLine="0" w:firstLineChars="0"/>
    </w:pPr>
    <w:rPr>
      <w:rFonts w:ascii="宋体" w:hAnsi="宋体" w:cs="Times New Roman"/>
      <w:b/>
      <w:szCs w:val="21"/>
    </w:rPr>
  </w:style>
  <w:style w:type="paragraph" w:styleId="ListParagraph">
    <w:name w:val="List Paragraph"/>
    <w:basedOn w:val="Normal"/>
    <w:uiPriority w:val="34"/>
    <w:qFormat/>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641</Words>
  <Characters>3659</Characters>
  <Application>Microsoft Office Word</Application>
  <DocSecurity>0</DocSecurity>
  <Lines>30</Lines>
  <Paragraphs>8</Paragraphs>
  <ScaleCrop>false</ScaleCrop>
  <Company>Microsoft</Company>
  <LinksUpToDate>false</LinksUpToDate>
  <CharactersWithSpaces>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4</cp:revision>
  <dcterms:created xsi:type="dcterms:W3CDTF">2021-03-22T09:03:00Z</dcterms:created>
  <dcterms:modified xsi:type="dcterms:W3CDTF">2021-11-26T10:58:33Z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D893A27F2D6049E3A4773D319011F286</vt:lpwstr>
  </property>
  <property fmtid="{D5CDD505-2E9C-101B-9397-08002B2CF9AE}" pid="3" name="KSOProductBuildVer">
    <vt:lpwstr>2052-11.1.0.11115</vt:lpwstr>
  </property>
</Properties>
</file>