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 w:val="left" w:pos="180"/>
          <w:tab w:val="left" w:pos="360"/>
        </w:tabs>
        <w:spacing w:line="600" w:lineRule="exact"/>
        <w:rPr>
          <w:rFonts w:hint="eastAsia" w:ascii="宋体" w:hAnsi="宋体" w:eastAsia="宋体" w:cs="宋体"/>
          <w:b/>
          <w:sz w:val="44"/>
          <w:szCs w:val="44"/>
          <w:lang w:eastAsia="zh-CN"/>
        </w:rPr>
      </w:pPr>
    </w:p>
    <w:p>
      <w:pPr>
        <w:tabs>
          <w:tab w:val="left" w:pos="0"/>
          <w:tab w:val="left" w:pos="180"/>
          <w:tab w:val="left" w:pos="360"/>
        </w:tabs>
        <w:spacing w:line="600" w:lineRule="exact"/>
        <w:jc w:val="center"/>
        <w:rPr>
          <w:rFonts w:ascii="宋体" w:hAnsi="宋体" w:cs="宋体"/>
          <w:b/>
          <w:sz w:val="44"/>
          <w:szCs w:val="44"/>
        </w:rPr>
      </w:pPr>
    </w:p>
    <w:p>
      <w:pPr>
        <w:tabs>
          <w:tab w:val="left" w:pos="0"/>
          <w:tab w:val="left" w:pos="180"/>
          <w:tab w:val="left" w:pos="360"/>
        </w:tabs>
        <w:spacing w:line="600" w:lineRule="exact"/>
        <w:jc w:val="center"/>
        <w:rPr>
          <w:rFonts w:hint="eastAsia" w:ascii="宋体" w:hAnsi="宋体" w:cs="宋体"/>
          <w:b/>
          <w:sz w:val="44"/>
          <w:szCs w:val="44"/>
        </w:rPr>
      </w:pPr>
      <w:r>
        <w:rPr>
          <w:rFonts w:hint="eastAsia" w:ascii="宋体" w:hAnsi="宋体" w:cs="宋体"/>
          <w:b/>
          <w:sz w:val="44"/>
          <w:szCs w:val="44"/>
          <w:lang w:val="en-US" w:eastAsia="zh-CN"/>
        </w:rPr>
        <w:t>聊城</w:t>
      </w:r>
      <w:r>
        <w:rPr>
          <w:rFonts w:hint="eastAsia" w:ascii="宋体" w:hAnsi="宋体" w:cs="宋体"/>
          <w:b/>
          <w:sz w:val="44"/>
          <w:szCs w:val="44"/>
        </w:rPr>
        <w:t>市非道路移动机械实时定位监控数据</w:t>
      </w:r>
    </w:p>
    <w:p>
      <w:pPr>
        <w:tabs>
          <w:tab w:val="left" w:pos="0"/>
          <w:tab w:val="left" w:pos="180"/>
          <w:tab w:val="left" w:pos="360"/>
        </w:tabs>
        <w:spacing w:line="600" w:lineRule="exact"/>
        <w:jc w:val="center"/>
        <w:rPr>
          <w:rFonts w:ascii="宋体" w:hAnsi="宋体" w:cs="宋体"/>
          <w:b/>
          <w:sz w:val="44"/>
          <w:szCs w:val="44"/>
        </w:rPr>
      </w:pPr>
      <w:r>
        <w:rPr>
          <w:rFonts w:hint="eastAsia" w:ascii="宋体" w:hAnsi="宋体" w:cs="宋体"/>
          <w:b/>
          <w:sz w:val="44"/>
          <w:szCs w:val="44"/>
        </w:rPr>
        <w:t xml:space="preserve">服务项目 </w:t>
      </w:r>
    </w:p>
    <w:p>
      <w:pPr>
        <w:tabs>
          <w:tab w:val="left" w:pos="0"/>
          <w:tab w:val="left" w:pos="180"/>
          <w:tab w:val="left" w:pos="360"/>
        </w:tabs>
        <w:spacing w:line="600" w:lineRule="exact"/>
        <w:jc w:val="center"/>
        <w:rPr>
          <w:rFonts w:ascii="宋体" w:hAnsi="宋体" w:cs="宋体"/>
          <w:b/>
          <w:sz w:val="44"/>
          <w:szCs w:val="44"/>
        </w:rPr>
      </w:pPr>
    </w:p>
    <w:p>
      <w:pPr>
        <w:tabs>
          <w:tab w:val="left" w:pos="0"/>
          <w:tab w:val="left" w:pos="180"/>
          <w:tab w:val="left" w:pos="360"/>
        </w:tabs>
        <w:spacing w:line="240" w:lineRule="exact"/>
        <w:jc w:val="center"/>
        <w:rPr>
          <w:rFonts w:ascii="宋体" w:hAnsi="宋体" w:cs="宋体"/>
          <w:b/>
          <w:sz w:val="32"/>
          <w:szCs w:val="32"/>
        </w:rPr>
      </w:pPr>
    </w:p>
    <w:p>
      <w:pPr>
        <w:tabs>
          <w:tab w:val="left" w:pos="0"/>
          <w:tab w:val="left" w:pos="180"/>
          <w:tab w:val="left" w:pos="360"/>
        </w:tabs>
        <w:jc w:val="center"/>
        <w:rPr>
          <w:rFonts w:ascii="宋体" w:hAnsi="宋体" w:cs="宋体"/>
          <w:b/>
          <w:sz w:val="36"/>
          <w:szCs w:val="36"/>
        </w:rPr>
      </w:pPr>
      <w:r>
        <w:rPr>
          <w:rFonts w:hint="eastAsia" w:ascii="宋体" w:hAnsi="宋体" w:cs="宋体"/>
          <w:b/>
          <w:sz w:val="36"/>
          <w:szCs w:val="36"/>
        </w:rPr>
        <w:t>（服</w:t>
      </w:r>
      <w:r>
        <w:rPr>
          <w:rFonts w:hint="eastAsia" w:ascii="宋体" w:hAnsi="宋体" w:cs="宋体"/>
          <w:b/>
          <w:sz w:val="36"/>
          <w:szCs w:val="36"/>
          <w:lang w:val="en-US" w:eastAsia="zh-CN"/>
        </w:rPr>
        <w:t xml:space="preserve">   </w:t>
      </w:r>
      <w:r>
        <w:rPr>
          <w:rFonts w:hint="eastAsia" w:ascii="宋体" w:hAnsi="宋体" w:cs="宋体"/>
          <w:b/>
          <w:sz w:val="36"/>
          <w:szCs w:val="36"/>
        </w:rPr>
        <w:t>务）</w:t>
      </w:r>
    </w:p>
    <w:p>
      <w:pPr>
        <w:pStyle w:val="2"/>
        <w:ind w:left="420"/>
        <w:rPr>
          <w:rFonts w:ascii="宋体" w:hAnsi="宋体" w:cs="宋体"/>
          <w:color w:val="auto"/>
        </w:rPr>
      </w:pPr>
    </w:p>
    <w:p>
      <w:pPr>
        <w:tabs>
          <w:tab w:val="left" w:pos="0"/>
          <w:tab w:val="left" w:pos="180"/>
          <w:tab w:val="left" w:pos="360"/>
          <w:tab w:val="left" w:pos="9240"/>
        </w:tabs>
        <w:ind w:left="1919" w:leftChars="914"/>
        <w:rPr>
          <w:rFonts w:hint="eastAsia" w:ascii="宋体" w:hAnsi="宋体" w:eastAsia="宋体" w:cs="宋体"/>
          <w:spacing w:val="-20"/>
          <w:sz w:val="96"/>
          <w:szCs w:val="96"/>
          <w:lang w:eastAsia="zh-CN"/>
        </w:rPr>
      </w:pPr>
      <w:r>
        <w:rPr>
          <w:rFonts w:hint="eastAsia" w:ascii="宋体" w:hAnsi="宋体" w:cs="宋体"/>
          <w:spacing w:val="-20"/>
          <w:sz w:val="96"/>
          <w:szCs w:val="96"/>
        </w:rPr>
        <w:t xml:space="preserve"> </w:t>
      </w:r>
    </w:p>
    <w:p>
      <w:pPr>
        <w:tabs>
          <w:tab w:val="left" w:pos="0"/>
          <w:tab w:val="left" w:pos="180"/>
          <w:tab w:val="left" w:pos="360"/>
          <w:tab w:val="left" w:pos="9240"/>
        </w:tabs>
        <w:jc w:val="center"/>
        <w:rPr>
          <w:rFonts w:ascii="宋体" w:hAnsi="宋体" w:cs="宋体"/>
          <w:spacing w:val="-20"/>
          <w:sz w:val="96"/>
          <w:szCs w:val="96"/>
        </w:rPr>
      </w:pPr>
      <w:r>
        <w:rPr>
          <w:rFonts w:hint="eastAsia" w:ascii="宋体" w:hAnsi="宋体" w:cs="宋体"/>
          <w:spacing w:val="-20"/>
          <w:sz w:val="96"/>
          <w:szCs w:val="96"/>
        </w:rPr>
        <w:t>招 标 文 件</w:t>
      </w:r>
    </w:p>
    <w:p>
      <w:pPr>
        <w:tabs>
          <w:tab w:val="left" w:pos="0"/>
          <w:tab w:val="left" w:pos="180"/>
          <w:tab w:val="left" w:pos="360"/>
          <w:tab w:val="left" w:pos="5190"/>
        </w:tabs>
        <w:ind w:firstLine="840" w:firstLineChars="300"/>
        <w:jc w:val="left"/>
        <w:rPr>
          <w:rFonts w:ascii="宋体" w:hAnsi="宋体" w:cs="宋体"/>
          <w:b/>
          <w:color w:val="000000" w:themeColor="text1"/>
          <w:sz w:val="40"/>
          <w:szCs w:val="40"/>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（项目编</w:t>
      </w:r>
      <w:r>
        <w:rPr>
          <w:rFonts w:hint="eastAsia" w:ascii="宋体" w:hAnsi="宋体" w:cs="宋体"/>
          <w:b/>
          <w:color w:val="000000" w:themeColor="text1"/>
          <w:sz w:val="28"/>
          <w:szCs w:val="28"/>
          <w:lang w:val="en-US" w:eastAsia="zh-CN"/>
          <w14:textFill>
            <w14:solidFill>
              <w14:schemeClr w14:val="tx1"/>
            </w14:solidFill>
          </w14:textFill>
        </w:rPr>
        <w:t>号：SDGP371500000202302000581/XLCZFCG-2023-174</w:t>
      </w:r>
      <w:r>
        <w:rPr>
          <w:rFonts w:hint="eastAsia" w:ascii="宋体" w:hAnsi="宋体" w:cs="宋体"/>
          <w:b/>
          <w:color w:val="000000" w:themeColor="text1"/>
          <w:sz w:val="28"/>
          <w:szCs w:val="28"/>
          <w14:textFill>
            <w14:solidFill>
              <w14:schemeClr w14:val="tx1"/>
            </w14:solidFill>
          </w14:textFill>
        </w:rPr>
        <w:t>）</w:t>
      </w:r>
    </w:p>
    <w:p>
      <w:pPr>
        <w:pStyle w:val="37"/>
        <w:rPr>
          <w:sz w:val="21"/>
        </w:rPr>
      </w:pPr>
    </w:p>
    <w:p>
      <w:pPr>
        <w:pStyle w:val="37"/>
        <w:rPr>
          <w:sz w:val="21"/>
        </w:rPr>
      </w:pPr>
    </w:p>
    <w:p>
      <w:pPr>
        <w:tabs>
          <w:tab w:val="left" w:pos="0"/>
          <w:tab w:val="left" w:pos="180"/>
          <w:tab w:val="left" w:pos="360"/>
        </w:tabs>
        <w:adjustRightInd w:val="0"/>
        <w:snapToGrid w:val="0"/>
        <w:spacing w:line="840" w:lineRule="exact"/>
        <w:rPr>
          <w:rFonts w:ascii="宋体" w:hAnsi="宋体" w:cs="宋体"/>
          <w:b/>
          <w:sz w:val="30"/>
          <w:szCs w:val="30"/>
        </w:rPr>
      </w:pPr>
    </w:p>
    <w:p>
      <w:pPr>
        <w:tabs>
          <w:tab w:val="left" w:pos="0"/>
          <w:tab w:val="left" w:pos="180"/>
          <w:tab w:val="left" w:pos="360"/>
        </w:tabs>
        <w:adjustRightInd w:val="0"/>
        <w:snapToGrid w:val="0"/>
        <w:spacing w:line="840" w:lineRule="exact"/>
        <w:rPr>
          <w:rFonts w:ascii="宋体" w:hAnsi="宋体" w:cs="宋体"/>
          <w:b/>
          <w:sz w:val="30"/>
          <w:szCs w:val="30"/>
        </w:rPr>
      </w:pPr>
    </w:p>
    <w:p>
      <w:pPr>
        <w:tabs>
          <w:tab w:val="left" w:pos="180"/>
          <w:tab w:val="left" w:pos="360"/>
        </w:tabs>
        <w:adjustRightInd w:val="0"/>
        <w:snapToGrid w:val="0"/>
        <w:spacing w:line="840" w:lineRule="exact"/>
        <w:ind w:firstLine="1800" w:firstLineChars="600"/>
        <w:rPr>
          <w:rFonts w:hint="eastAsia" w:ascii="宋体" w:hAnsi="宋体" w:cs="宋体"/>
          <w:b/>
          <w:sz w:val="30"/>
          <w:szCs w:val="30"/>
          <w:u w:val="single"/>
        </w:rPr>
      </w:pPr>
      <w:r>
        <w:rPr>
          <w:rFonts w:hint="eastAsia" w:ascii="宋体" w:hAnsi="宋体" w:cs="宋体"/>
          <w:b/>
          <w:sz w:val="30"/>
          <w:szCs w:val="30"/>
        </w:rPr>
        <w:t>采 购 人：</w:t>
      </w:r>
      <w:r>
        <w:rPr>
          <w:rFonts w:hint="eastAsia" w:ascii="宋体" w:hAnsi="宋体" w:cs="宋体"/>
          <w:b/>
          <w:sz w:val="30"/>
          <w:szCs w:val="30"/>
          <w:u w:val="single"/>
          <w:lang w:val="en-US" w:eastAsia="zh-CN"/>
        </w:rPr>
        <w:t>聊城</w:t>
      </w:r>
      <w:r>
        <w:rPr>
          <w:rFonts w:hint="eastAsia" w:ascii="宋体" w:hAnsi="宋体" w:cs="宋体"/>
          <w:b/>
          <w:sz w:val="30"/>
          <w:szCs w:val="30"/>
          <w:u w:val="single"/>
        </w:rPr>
        <w:t>市生态环境局</w:t>
      </w:r>
    </w:p>
    <w:p>
      <w:pPr>
        <w:tabs>
          <w:tab w:val="left" w:pos="180"/>
          <w:tab w:val="left" w:pos="360"/>
        </w:tabs>
        <w:adjustRightInd w:val="0"/>
        <w:snapToGrid w:val="0"/>
        <w:spacing w:line="840" w:lineRule="exact"/>
        <w:ind w:firstLine="1800" w:firstLineChars="600"/>
        <w:rPr>
          <w:rFonts w:ascii="宋体" w:hAnsi="宋体" w:cs="宋体"/>
          <w:b/>
          <w:sz w:val="30"/>
          <w:szCs w:val="30"/>
          <w:u w:val="single"/>
        </w:rPr>
      </w:pPr>
      <w:r>
        <w:rPr>
          <w:rFonts w:hint="eastAsia" w:ascii="宋体" w:hAnsi="宋体" w:cs="宋体"/>
          <w:b/>
          <w:sz w:val="30"/>
          <w:szCs w:val="30"/>
        </w:rPr>
        <w:t>采购代理：</w:t>
      </w:r>
      <w:r>
        <w:rPr>
          <w:rFonts w:hint="eastAsia" w:ascii="宋体" w:hAnsi="宋体" w:cs="宋体"/>
          <w:b/>
          <w:sz w:val="30"/>
          <w:szCs w:val="30"/>
          <w:u w:val="single"/>
        </w:rPr>
        <w:t xml:space="preserve">聊城诚亿项目管理有限公司 </w:t>
      </w:r>
    </w:p>
    <w:p>
      <w:pPr>
        <w:spacing w:line="600" w:lineRule="auto"/>
        <w:ind w:firstLine="1800" w:firstLineChars="600"/>
        <w:rPr>
          <w:rFonts w:ascii="宋体" w:hAnsi="宋体" w:cs="宋体"/>
          <w:b/>
          <w:sz w:val="32"/>
          <w:szCs w:val="32"/>
        </w:rPr>
      </w:pPr>
      <w:r>
        <w:rPr>
          <w:rFonts w:hint="eastAsia" w:ascii="宋体" w:hAnsi="宋体" w:cs="宋体"/>
          <w:b/>
          <w:sz w:val="30"/>
          <w:szCs w:val="30"/>
        </w:rPr>
        <w:t>日    期：</w:t>
      </w:r>
      <w:r>
        <w:rPr>
          <w:rFonts w:hint="eastAsia" w:ascii="宋体" w:hAnsi="宋体" w:cs="宋体"/>
          <w:b/>
          <w:sz w:val="30"/>
          <w:szCs w:val="30"/>
          <w:u w:val="single"/>
        </w:rPr>
        <w:t>2023年</w:t>
      </w:r>
      <w:r>
        <w:rPr>
          <w:rFonts w:hint="eastAsia" w:ascii="宋体" w:hAnsi="宋体" w:cs="宋体"/>
          <w:b/>
          <w:sz w:val="30"/>
          <w:szCs w:val="30"/>
          <w:u w:val="single"/>
          <w:lang w:val="en-US" w:eastAsia="zh-CN"/>
        </w:rPr>
        <w:t>10</w:t>
      </w:r>
      <w:r>
        <w:rPr>
          <w:rFonts w:hint="eastAsia" w:ascii="宋体" w:hAnsi="宋体" w:cs="宋体"/>
          <w:b/>
          <w:sz w:val="30"/>
          <w:szCs w:val="30"/>
          <w:u w:val="single"/>
        </w:rPr>
        <w:t xml:space="preserve">月             </w:t>
      </w:r>
      <w:r>
        <w:rPr>
          <w:rFonts w:hint="eastAsia" w:ascii="宋体" w:hAnsi="宋体" w:cs="宋体"/>
          <w:b/>
          <w:sz w:val="30"/>
          <w:szCs w:val="30"/>
          <w:u w:val="single"/>
          <w:lang w:val="en-US" w:eastAsia="zh-CN"/>
        </w:rPr>
        <w:t xml:space="preserve"> </w:t>
      </w:r>
      <w:r>
        <w:rPr>
          <w:rFonts w:hint="eastAsia" w:ascii="宋体" w:hAnsi="宋体" w:cs="宋体"/>
          <w:b/>
          <w:sz w:val="52"/>
          <w:szCs w:val="24"/>
        </w:rPr>
        <w:t xml:space="preserve">      </w:t>
      </w:r>
    </w:p>
    <w:p>
      <w:pPr>
        <w:spacing w:line="600" w:lineRule="auto"/>
        <w:jc w:val="center"/>
        <w:rPr>
          <w:rFonts w:ascii="宋体" w:hAnsi="宋体" w:cs="宋体"/>
          <w:b/>
          <w:sz w:val="28"/>
          <w:szCs w:val="28"/>
        </w:rPr>
      </w:pPr>
      <w:r>
        <w:rPr>
          <w:rFonts w:hint="eastAsia" w:ascii="宋体" w:hAnsi="宋体" w:cs="宋体"/>
          <w:b/>
          <w:sz w:val="28"/>
          <w:szCs w:val="28"/>
        </w:rPr>
        <w:br w:type="page"/>
      </w:r>
    </w:p>
    <w:p>
      <w:pPr>
        <w:spacing w:line="600" w:lineRule="auto"/>
        <w:rPr>
          <w:rFonts w:hint="eastAsia" w:ascii="宋体" w:hAnsi="宋体" w:eastAsia="宋体" w:cs="宋体"/>
          <w:b/>
          <w:sz w:val="28"/>
          <w:szCs w:val="28"/>
          <w:lang w:eastAsia="zh-CN"/>
        </w:rPr>
      </w:pPr>
    </w:p>
    <w:p>
      <w:pPr>
        <w:spacing w:line="600" w:lineRule="auto"/>
        <w:jc w:val="center"/>
        <w:rPr>
          <w:rFonts w:ascii="宋体" w:hAnsi="宋体" w:cs="宋体"/>
          <w:b/>
          <w:sz w:val="28"/>
          <w:szCs w:val="28"/>
        </w:rPr>
      </w:pPr>
      <w:r>
        <w:rPr>
          <w:rFonts w:hint="eastAsia" w:ascii="宋体" w:hAnsi="宋体" w:cs="宋体"/>
          <w:b/>
          <w:sz w:val="40"/>
          <w:szCs w:val="40"/>
        </w:rPr>
        <w:t>目  录</w:t>
      </w:r>
    </w:p>
    <w:p>
      <w:pPr>
        <w:pStyle w:val="18"/>
        <w:tabs>
          <w:tab w:val="right" w:leader="dot" w:pos="8732"/>
        </w:tabs>
        <w:rPr>
          <w:rFonts w:ascii="宋体" w:hAnsi="宋体" w:cs="宋体"/>
          <w:sz w:val="28"/>
          <w:szCs w:val="28"/>
        </w:rPr>
      </w:pPr>
    </w:p>
    <w:p>
      <w:pPr>
        <w:pStyle w:val="18"/>
        <w:tabs>
          <w:tab w:val="right" w:leader="dot" w:pos="9638"/>
        </w:tabs>
        <w:rPr>
          <w:rFonts w:ascii="宋体" w:hAnsi="宋体" w:cs="宋体"/>
          <w:sz w:val="24"/>
          <w:szCs w:val="24"/>
        </w:rPr>
      </w:pPr>
      <w:bookmarkStart w:id="0" w:name="_Toc22738"/>
      <w:r>
        <w:rPr>
          <w:rFonts w:hint="eastAsia" w:ascii="宋体" w:hAnsi="宋体" w:cs="宋体"/>
          <w:sz w:val="24"/>
          <w:szCs w:val="24"/>
        </w:rPr>
        <w:fldChar w:fldCharType="begin"/>
      </w:r>
      <w:r>
        <w:rPr>
          <w:rFonts w:hint="eastAsia" w:ascii="宋体" w:hAnsi="宋体" w:cs="宋体"/>
          <w:sz w:val="24"/>
          <w:szCs w:val="24"/>
        </w:rPr>
        <w:instrText xml:space="preserve">TOC \o "1-1" \h \u </w:instrText>
      </w:r>
      <w:r>
        <w:rPr>
          <w:rFonts w:hint="eastAsia" w:ascii="宋体" w:hAnsi="宋体" w:cs="宋体"/>
          <w:sz w:val="24"/>
          <w:szCs w:val="24"/>
        </w:rPr>
        <w:fldChar w:fldCharType="separate"/>
      </w:r>
      <w:r>
        <w:fldChar w:fldCharType="begin"/>
      </w:r>
      <w:r>
        <w:instrText xml:space="preserve"> HYPERLINK \l "_Toc17591" </w:instrText>
      </w:r>
      <w:r>
        <w:fldChar w:fldCharType="separate"/>
      </w:r>
      <w:r>
        <w:rPr>
          <w:rFonts w:hint="eastAsia" w:ascii="宋体" w:hAnsi="宋体" w:cs="宋体"/>
          <w:bCs/>
          <w:sz w:val="24"/>
          <w:szCs w:val="24"/>
        </w:rPr>
        <w:t>第一章 招标公告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_Toc17591 \h </w:instrText>
      </w:r>
      <w:r>
        <w:rPr>
          <w:rFonts w:hint="eastAsia" w:ascii="宋体" w:hAnsi="宋体" w:cs="宋体"/>
          <w:sz w:val="24"/>
          <w:szCs w:val="24"/>
        </w:rPr>
        <w:fldChar w:fldCharType="separate"/>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fldChar w:fldCharType="end"/>
      </w:r>
    </w:p>
    <w:p>
      <w:pPr>
        <w:pStyle w:val="18"/>
        <w:tabs>
          <w:tab w:val="right" w:leader="dot" w:pos="9638"/>
        </w:tabs>
        <w:rPr>
          <w:rFonts w:ascii="宋体" w:hAnsi="宋体" w:cs="宋体"/>
          <w:sz w:val="24"/>
          <w:szCs w:val="24"/>
        </w:rPr>
      </w:pPr>
      <w:r>
        <w:fldChar w:fldCharType="begin"/>
      </w:r>
      <w:r>
        <w:instrText xml:space="preserve"> HYPERLINK \l "_Toc5095" </w:instrText>
      </w:r>
      <w:r>
        <w:fldChar w:fldCharType="separate"/>
      </w:r>
      <w:r>
        <w:rPr>
          <w:rFonts w:hint="eastAsia" w:ascii="宋体" w:hAnsi="宋体" w:cs="宋体"/>
          <w:sz w:val="24"/>
          <w:szCs w:val="24"/>
        </w:rPr>
        <w:t>第二章 投标人须知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_Toc5095 \h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18"/>
        <w:tabs>
          <w:tab w:val="right" w:leader="dot" w:pos="9638"/>
        </w:tabs>
        <w:rPr>
          <w:rFonts w:hint="eastAsia" w:ascii="宋体" w:hAnsi="宋体" w:eastAsia="宋体" w:cs="宋体"/>
          <w:sz w:val="24"/>
          <w:szCs w:val="24"/>
          <w:lang w:eastAsia="zh-CN"/>
        </w:rPr>
      </w:pPr>
      <w:r>
        <w:fldChar w:fldCharType="begin"/>
      </w:r>
      <w:r>
        <w:instrText xml:space="preserve"> HYPERLINK \l "_Toc3508" </w:instrText>
      </w:r>
      <w:r>
        <w:fldChar w:fldCharType="separate"/>
      </w:r>
      <w:r>
        <w:rPr>
          <w:rFonts w:hint="eastAsia" w:ascii="宋体" w:hAnsi="宋体" w:cs="宋体"/>
          <w:bCs/>
          <w:sz w:val="24"/>
          <w:szCs w:val="24"/>
        </w:rPr>
        <w:t>第三章 项目说明</w:t>
      </w:r>
      <w:r>
        <w:rPr>
          <w:rFonts w:hint="eastAsia" w:ascii="宋体" w:hAnsi="宋体" w:cs="宋体"/>
          <w:sz w:val="24"/>
          <w:szCs w:val="24"/>
        </w:rPr>
        <w:tab/>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lang w:val="en-US" w:eastAsia="zh-CN"/>
        </w:rPr>
        <w:t>1</w:t>
      </w:r>
    </w:p>
    <w:p>
      <w:pPr>
        <w:pStyle w:val="18"/>
        <w:tabs>
          <w:tab w:val="right" w:leader="dot" w:pos="9638"/>
        </w:tabs>
        <w:rPr>
          <w:rFonts w:hint="eastAsia" w:ascii="宋体" w:hAnsi="宋体" w:eastAsia="宋体" w:cs="宋体"/>
          <w:sz w:val="24"/>
          <w:szCs w:val="24"/>
          <w:lang w:eastAsia="zh-CN"/>
        </w:rPr>
      </w:pPr>
      <w:r>
        <w:fldChar w:fldCharType="begin"/>
      </w:r>
      <w:r>
        <w:instrText xml:space="preserve"> HYPERLINK \l "_Toc12894" </w:instrText>
      </w:r>
      <w:r>
        <w:fldChar w:fldCharType="separate"/>
      </w:r>
      <w:r>
        <w:rPr>
          <w:rFonts w:hint="eastAsia" w:ascii="宋体" w:hAnsi="宋体" w:cs="宋体"/>
          <w:bCs/>
          <w:sz w:val="24"/>
          <w:szCs w:val="24"/>
        </w:rPr>
        <w:t>第四章 开标、评标、定标</w:t>
      </w:r>
      <w:r>
        <w:rPr>
          <w:rFonts w:hint="eastAsia" w:ascii="宋体" w:hAnsi="宋体" w:cs="宋体"/>
          <w:sz w:val="24"/>
          <w:szCs w:val="24"/>
        </w:rPr>
        <w:tab/>
      </w:r>
      <w:r>
        <w:rPr>
          <w:rFonts w:hint="eastAsia" w:ascii="宋体" w:hAnsi="宋体" w:cs="宋体"/>
          <w:sz w:val="24"/>
          <w:szCs w:val="24"/>
          <w:lang w:val="en-US" w:eastAsia="zh-CN"/>
        </w:rPr>
        <w:t>3</w:t>
      </w:r>
      <w:r>
        <w:rPr>
          <w:rFonts w:hint="eastAsia" w:ascii="宋体" w:hAnsi="宋体" w:cs="宋体"/>
          <w:sz w:val="24"/>
          <w:szCs w:val="24"/>
        </w:rPr>
        <w:fldChar w:fldCharType="end"/>
      </w:r>
      <w:r>
        <w:rPr>
          <w:rFonts w:hint="eastAsia" w:ascii="宋体" w:hAnsi="宋体" w:cs="宋体"/>
          <w:sz w:val="24"/>
          <w:szCs w:val="24"/>
          <w:lang w:val="en-US" w:eastAsia="zh-CN"/>
        </w:rPr>
        <w:t>7</w:t>
      </w:r>
    </w:p>
    <w:p>
      <w:pPr>
        <w:pStyle w:val="18"/>
        <w:tabs>
          <w:tab w:val="right" w:leader="dot" w:pos="9638"/>
        </w:tabs>
        <w:rPr>
          <w:rFonts w:hint="eastAsia" w:ascii="宋体" w:hAnsi="宋体" w:eastAsia="宋体" w:cs="宋体"/>
          <w:sz w:val="24"/>
          <w:szCs w:val="24"/>
          <w:lang w:eastAsia="zh-CN"/>
        </w:rPr>
      </w:pPr>
      <w:r>
        <w:fldChar w:fldCharType="begin"/>
      </w:r>
      <w:r>
        <w:instrText xml:space="preserve"> HYPERLINK \l "_Toc31857" </w:instrText>
      </w:r>
      <w:r>
        <w:fldChar w:fldCharType="separate"/>
      </w:r>
      <w:r>
        <w:rPr>
          <w:rFonts w:hint="eastAsia" w:ascii="宋体" w:hAnsi="宋体" w:cs="宋体"/>
          <w:sz w:val="24"/>
          <w:szCs w:val="24"/>
        </w:rPr>
        <w:t>第五章 合同格式</w:t>
      </w:r>
      <w:r>
        <w:rPr>
          <w:rFonts w:hint="eastAsia" w:ascii="宋体" w:hAnsi="宋体" w:cs="宋体"/>
          <w:sz w:val="24"/>
          <w:szCs w:val="24"/>
        </w:rPr>
        <w:tab/>
      </w:r>
      <w:r>
        <w:rPr>
          <w:rFonts w:hint="eastAsia" w:ascii="宋体" w:hAnsi="宋体" w:cs="宋体"/>
          <w:sz w:val="24"/>
          <w:szCs w:val="24"/>
          <w:lang w:val="en-US" w:eastAsia="zh-CN"/>
        </w:rPr>
        <w:t>4</w:t>
      </w:r>
      <w:r>
        <w:rPr>
          <w:rFonts w:hint="eastAsia" w:ascii="宋体" w:hAnsi="宋体" w:cs="宋体"/>
          <w:sz w:val="24"/>
          <w:szCs w:val="24"/>
        </w:rPr>
        <w:fldChar w:fldCharType="end"/>
      </w:r>
      <w:r>
        <w:rPr>
          <w:rFonts w:hint="eastAsia" w:ascii="宋体" w:hAnsi="宋体" w:cs="宋体"/>
          <w:sz w:val="24"/>
          <w:szCs w:val="24"/>
          <w:lang w:val="en-US" w:eastAsia="zh-CN"/>
        </w:rPr>
        <w:t>8</w:t>
      </w:r>
    </w:p>
    <w:p>
      <w:pPr>
        <w:pStyle w:val="18"/>
        <w:tabs>
          <w:tab w:val="right" w:leader="dot" w:pos="9638"/>
        </w:tabs>
        <w:rPr>
          <w:rFonts w:hint="eastAsia" w:ascii="宋体" w:hAnsi="宋体" w:eastAsia="宋体" w:cs="宋体"/>
          <w:sz w:val="24"/>
          <w:szCs w:val="24"/>
          <w:lang w:eastAsia="zh-CN"/>
        </w:rPr>
      </w:pPr>
      <w:r>
        <w:fldChar w:fldCharType="begin"/>
      </w:r>
      <w:r>
        <w:instrText xml:space="preserve"> HYPERLINK \l "_Toc1140" </w:instrText>
      </w:r>
      <w:r>
        <w:fldChar w:fldCharType="separate"/>
      </w:r>
      <w:r>
        <w:rPr>
          <w:rFonts w:hint="eastAsia" w:ascii="宋体" w:hAnsi="宋体" w:cs="宋体"/>
          <w:sz w:val="24"/>
          <w:szCs w:val="24"/>
        </w:rPr>
        <w:t>第六章 投标文件格式</w:t>
      </w:r>
      <w:r>
        <w:rPr>
          <w:rFonts w:hint="eastAsia" w:ascii="宋体" w:hAnsi="宋体" w:cs="宋体"/>
          <w:sz w:val="24"/>
          <w:szCs w:val="24"/>
        </w:rPr>
        <w:tab/>
      </w:r>
      <w:r>
        <w:rPr>
          <w:rFonts w:hint="eastAsia" w:ascii="宋体" w:hAnsi="宋体" w:cs="宋体"/>
          <w:sz w:val="24"/>
          <w:szCs w:val="24"/>
          <w:lang w:val="en-US" w:eastAsia="zh-CN"/>
        </w:rPr>
        <w:t>5</w:t>
      </w:r>
      <w:r>
        <w:rPr>
          <w:rFonts w:hint="eastAsia" w:ascii="宋体" w:hAnsi="宋体" w:cs="宋体"/>
          <w:sz w:val="24"/>
          <w:szCs w:val="24"/>
        </w:rPr>
        <w:fldChar w:fldCharType="end"/>
      </w:r>
      <w:r>
        <w:rPr>
          <w:rFonts w:hint="eastAsia" w:ascii="宋体" w:hAnsi="宋体" w:cs="宋体"/>
          <w:sz w:val="24"/>
          <w:szCs w:val="24"/>
          <w:lang w:val="en-US" w:eastAsia="zh-CN"/>
        </w:rPr>
        <w:t>3</w:t>
      </w:r>
    </w:p>
    <w:p>
      <w:pPr>
        <w:pStyle w:val="8"/>
        <w:ind w:firstLine="420"/>
        <w:jc w:val="center"/>
        <w:textAlignment w:val="center"/>
        <w:rPr>
          <w:rFonts w:hint="eastAsia" w:ascii="宋体" w:hAnsi="宋体" w:cs="宋体"/>
          <w:sz w:val="24"/>
          <w:szCs w:val="24"/>
        </w:rPr>
      </w:pPr>
      <w:r>
        <w:rPr>
          <w:rFonts w:hint="eastAsia" w:ascii="宋体" w:hAnsi="宋体" w:cs="宋体"/>
          <w:sz w:val="24"/>
          <w:szCs w:val="24"/>
        </w:rPr>
        <w:fldChar w:fldCharType="end"/>
      </w:r>
      <w:r>
        <w:rPr>
          <w:rFonts w:hint="eastAsia" w:ascii="宋体" w:hAnsi="宋体" w:cs="宋体"/>
          <w:sz w:val="24"/>
          <w:szCs w:val="24"/>
        </w:rPr>
        <w:t xml:space="preserve"> </w:t>
      </w:r>
    </w:p>
    <w:p>
      <w:pPr>
        <w:bidi w:val="0"/>
      </w:pPr>
    </w:p>
    <w:p>
      <w:pPr>
        <w:bidi w:val="0"/>
      </w:pPr>
    </w:p>
    <w:p>
      <w:pPr>
        <w:bidi w:val="0"/>
        <w:jc w:val="right"/>
      </w:pPr>
    </w:p>
    <w:p>
      <w:pPr>
        <w:bidi w:val="0"/>
      </w:pPr>
    </w:p>
    <w:p>
      <w:pPr>
        <w:tabs>
          <w:tab w:val="left" w:pos="5655"/>
        </w:tabs>
        <w:bidi w:val="0"/>
        <w:jc w:val="left"/>
        <w:rPr>
          <w:rFonts w:hint="eastAsia"/>
          <w:lang w:eastAsia="zh-CN"/>
        </w:rPr>
      </w:pPr>
      <w:r>
        <w:rPr>
          <w:rFonts w:hint="eastAsia"/>
          <w:lang w:eastAsia="zh-CN"/>
        </w:rPr>
        <w:tab/>
      </w:r>
    </w:p>
    <w:p>
      <w:pPr>
        <w:bidi w:val="0"/>
        <w:rPr>
          <w:rFonts w:hint="eastAsia" w:ascii="Calibri" w:hAnsi="Calibri" w:eastAsia="宋体" w:cs="Times New Roman"/>
          <w:kern w:val="2"/>
          <w:sz w:val="21"/>
          <w:szCs w:val="21"/>
          <w:lang w:val="en-US" w:eastAsia="zh-CN" w:bidi="ar-SA"/>
        </w:rPr>
      </w:pPr>
    </w:p>
    <w:p>
      <w:pPr>
        <w:tabs>
          <w:tab w:val="left" w:pos="6792"/>
        </w:tabs>
        <w:bidi w:val="0"/>
        <w:jc w:val="left"/>
        <w:rPr>
          <w:rFonts w:hint="eastAsia"/>
          <w:lang w:val="en-US" w:eastAsia="zh-CN"/>
        </w:rPr>
        <w:sectPr>
          <w:headerReference r:id="rId4" w:type="first"/>
          <w:headerReference r:id="rId3" w:type="default"/>
          <w:pgSz w:w="11906" w:h="16838"/>
          <w:pgMar w:top="1418" w:right="1134" w:bottom="1418" w:left="1134" w:header="851" w:footer="851" w:gutter="0"/>
          <w:pgNumType w:start="0"/>
          <w:cols w:space="720" w:num="1"/>
          <w:titlePg/>
          <w:docGrid w:type="linesAndChars" w:linePitch="312" w:charSpace="0"/>
        </w:sectPr>
      </w:pPr>
      <w:r>
        <w:rPr>
          <w:rFonts w:hint="eastAsia"/>
          <w:lang w:val="en-US" w:eastAsia="zh-CN"/>
        </w:rPr>
        <w:tab/>
      </w:r>
    </w:p>
    <w:p>
      <w:pPr>
        <w:pStyle w:val="8"/>
        <w:spacing w:beforeLines="50" w:afterLines="50"/>
        <w:jc w:val="center"/>
        <w:rPr>
          <w:rFonts w:hint="eastAsia" w:ascii="宋体" w:hAnsi="宋体" w:eastAsia="宋体" w:cs="宋体"/>
          <w:sz w:val="30"/>
          <w:szCs w:val="44"/>
          <w:lang w:eastAsia="zh-CN"/>
        </w:rPr>
      </w:pPr>
      <w:bookmarkStart w:id="1" w:name="_Toc17591"/>
      <w:r>
        <w:rPr>
          <w:rFonts w:hint="eastAsia" w:ascii="宋体" w:hAnsi="宋体" w:cs="宋体"/>
          <w:sz w:val="30"/>
          <w:szCs w:val="44"/>
        </w:rPr>
        <w:t>第一章  招标公告</w:t>
      </w:r>
      <w:bookmarkEnd w:id="0"/>
      <w:bookmarkEnd w:id="1"/>
    </w:p>
    <w:p>
      <w:pPr>
        <w:pStyle w:val="6"/>
        <w:spacing w:before="292"/>
        <w:ind w:left="6" w:hanging="6"/>
        <w:jc w:val="center"/>
        <w:rPr>
          <w:sz w:val="24"/>
          <w:szCs w:val="24"/>
        </w:rPr>
      </w:pPr>
      <w:bookmarkStart w:id="2" w:name="OLE_LINK5"/>
      <w:bookmarkStart w:id="3" w:name="OLE_LINK7"/>
      <w:bookmarkStart w:id="4" w:name="OLE_LINK8"/>
      <w:bookmarkStart w:id="5" w:name="OLE_LINK6"/>
      <w:r>
        <w:rPr>
          <w:rFonts w:hint="eastAsia"/>
          <w:sz w:val="24"/>
          <w:szCs w:val="24"/>
          <w:lang w:val="en-US" w:eastAsia="zh-CN"/>
        </w:rPr>
        <w:t>聊城</w:t>
      </w:r>
      <w:r>
        <w:rPr>
          <w:rFonts w:hint="eastAsia"/>
          <w:sz w:val="24"/>
          <w:szCs w:val="24"/>
        </w:rPr>
        <w:t>市非道路移动机械实时定位监控数据服务项目</w:t>
      </w:r>
      <w:r>
        <w:rPr>
          <w:sz w:val="24"/>
          <w:szCs w:val="24"/>
        </w:rPr>
        <w:t>招标公告</w:t>
      </w:r>
    </w:p>
    <w:tbl>
      <w:tblPr>
        <w:tblStyle w:val="23"/>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2" w:hRule="atLeast"/>
          <w:jc w:val="center"/>
        </w:trPr>
        <w:tc>
          <w:tcPr>
            <w:tcW w:w="8898" w:type="dxa"/>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项目概况</w:t>
            </w:r>
          </w:p>
          <w:p>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sz w:val="24"/>
                <w:szCs w:val="24"/>
                <w:lang w:val="en-US" w:eastAsia="zh-CN"/>
              </w:rPr>
              <w:t>聊城</w:t>
            </w:r>
            <w:r>
              <w:rPr>
                <w:rFonts w:hint="eastAsia"/>
                <w:sz w:val="24"/>
                <w:szCs w:val="24"/>
              </w:rPr>
              <w:t>市非道路移动机械实时定位监控数据服务项目</w:t>
            </w:r>
            <w:r>
              <w:rPr>
                <w:rFonts w:hint="eastAsia" w:ascii="宋体" w:hAnsi="宋体" w:cs="宋体"/>
                <w:color w:val="000000" w:themeColor="text1"/>
                <w:sz w:val="24"/>
                <w:szCs w:val="24"/>
                <w14:textFill>
                  <w14:solidFill>
                    <w14:schemeClr w14:val="tx1"/>
                  </w14:solidFill>
                </w14:textFill>
              </w:rPr>
              <w:t>招标公告的潜在投标人应通过中国山东政府采购网（</w:t>
            </w:r>
            <w:r>
              <w:rPr>
                <w:rFonts w:hint="eastAsia" w:ascii="宋体" w:hAnsi="宋体" w:cs="宋体"/>
                <w:snapToGrid w:val="0"/>
                <w:color w:val="000000"/>
                <w:spacing w:val="-3"/>
                <w:kern w:val="0"/>
                <w:sz w:val="24"/>
                <w:szCs w:val="24"/>
              </w:rPr>
              <w:t>http://www.ccgp-shandong.gov.cn</w:t>
            </w:r>
            <w:r>
              <w:rPr>
                <w:rFonts w:hint="eastAsia" w:ascii="宋体" w:hAnsi="宋体" w:cs="宋体"/>
                <w:color w:val="000000" w:themeColor="text1"/>
                <w:sz w:val="24"/>
                <w:szCs w:val="24"/>
                <w14:textFill>
                  <w14:solidFill>
                    <w14:schemeClr w14:val="tx1"/>
                  </w14:solidFill>
                </w14:textFill>
              </w:rPr>
              <w:t>）、聊城市公共资源交易中心电子系统（</w:t>
            </w:r>
            <w:r>
              <w:rPr>
                <w:rFonts w:hint="eastAsia" w:ascii="宋体" w:hAnsi="宋体" w:eastAsia="宋体" w:cs="宋体"/>
                <w:snapToGrid w:val="0"/>
                <w:color w:val="auto"/>
                <w:spacing w:val="-3"/>
                <w:kern w:val="0"/>
                <w:sz w:val="24"/>
                <w:szCs w:val="24"/>
                <w:highlight w:val="none"/>
              </w:rPr>
              <w:t>http://ggzyjy.liaocheng.gov.cn</w:t>
            </w:r>
            <w:r>
              <w:rPr>
                <w:rFonts w:hint="eastAsia" w:ascii="宋体" w:hAnsi="宋体" w:cs="宋体"/>
                <w:color w:val="000000" w:themeColor="text1"/>
                <w:sz w:val="24"/>
                <w:szCs w:val="24"/>
                <w14:textFill>
                  <w14:solidFill>
                    <w14:schemeClr w14:val="tx1"/>
                  </w14:solidFill>
                </w14:textFill>
              </w:rPr>
              <w:t>）获取招标文件，并于</w:t>
            </w:r>
            <w:r>
              <w:rPr>
                <w:rFonts w:hint="eastAsia" w:ascii="宋体" w:hAnsi="宋体" w:cs="宋体"/>
                <w:sz w:val="24"/>
                <w:szCs w:val="24"/>
                <w:highlight w:val="none"/>
              </w:rPr>
              <w:t>2023年</w:t>
            </w:r>
            <w:r>
              <w:rPr>
                <w:rFonts w:hint="eastAsia" w:ascii="宋体" w:hAnsi="宋体" w:cs="宋体"/>
                <w:sz w:val="24"/>
                <w:szCs w:val="24"/>
                <w:highlight w:val="none"/>
                <w:lang w:val="en-US" w:eastAsia="zh-CN"/>
              </w:rPr>
              <w:t>11</w:t>
            </w:r>
            <w:r>
              <w:rPr>
                <w:rFonts w:hint="eastAsia" w:ascii="宋体" w:hAnsi="宋体" w:cs="宋体"/>
                <w:sz w:val="24"/>
                <w:szCs w:val="24"/>
                <w:highlight w:val="none"/>
              </w:rPr>
              <w:t>月</w:t>
            </w:r>
            <w:r>
              <w:rPr>
                <w:rFonts w:hint="eastAsia" w:ascii="宋体" w:hAnsi="宋体" w:cs="宋体"/>
                <w:sz w:val="24"/>
                <w:szCs w:val="24"/>
                <w:highlight w:val="none"/>
                <w:lang w:val="en-US" w:eastAsia="zh-CN"/>
              </w:rPr>
              <w:t>1</w:t>
            </w:r>
            <w:r>
              <w:rPr>
                <w:rFonts w:hint="eastAsia" w:ascii="宋体" w:hAnsi="宋体" w:cs="宋体"/>
                <w:sz w:val="24"/>
                <w:szCs w:val="24"/>
                <w:highlight w:val="none"/>
              </w:rPr>
              <w:t>日9点00分</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北京时间）前递交投标文件。</w:t>
            </w:r>
          </w:p>
        </w:tc>
      </w:tr>
    </w:tbl>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一、项目基本情况</w:t>
      </w:r>
    </w:p>
    <w:p>
      <w:pPr>
        <w:spacing w:line="360" w:lineRule="auto"/>
        <w:rPr>
          <w:rFonts w:hint="eastAsia" w:ascii="宋体" w:hAnsi="宋体" w:cs="宋体"/>
          <w:sz w:val="24"/>
          <w:szCs w:val="24"/>
          <w:lang w:val="en-US" w:eastAsia="zh-CN"/>
        </w:rPr>
      </w:pPr>
      <w:r>
        <w:rPr>
          <w:rFonts w:hint="eastAsia" w:ascii="宋体" w:hAnsi="宋体" w:cs="宋体"/>
          <w:sz w:val="24"/>
          <w:szCs w:val="24"/>
        </w:rPr>
        <w:t>省网采购项目编号（采购计划编号）：SDGP371500000202302000581</w:t>
      </w:r>
    </w:p>
    <w:p>
      <w:pPr>
        <w:spacing w:line="360" w:lineRule="auto"/>
        <w:rPr>
          <w:rFonts w:hint="eastAsia" w:ascii="宋体" w:hAnsi="宋体" w:eastAsia="宋体" w:cs="宋体"/>
          <w:sz w:val="24"/>
          <w:szCs w:val="24"/>
          <w:lang w:val="en-US" w:eastAsia="zh-CN"/>
        </w:rPr>
      </w:pPr>
      <w:r>
        <w:rPr>
          <w:rFonts w:hint="eastAsia" w:ascii="宋体" w:hAnsi="宋体" w:cs="宋体"/>
          <w:sz w:val="24"/>
          <w:szCs w:val="24"/>
        </w:rPr>
        <w:t>聊城市公共资源交易中心编号：XLCZFCG-2023-174</w:t>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r>
        <w:rPr>
          <w:rFonts w:hint="eastAsia"/>
          <w:sz w:val="24"/>
          <w:szCs w:val="24"/>
          <w:lang w:val="en-US" w:eastAsia="zh-CN"/>
        </w:rPr>
        <w:t>聊城</w:t>
      </w:r>
      <w:r>
        <w:rPr>
          <w:rFonts w:hint="eastAsia"/>
          <w:sz w:val="24"/>
          <w:szCs w:val="24"/>
        </w:rPr>
        <w:t>市非道路移动机械实时定位监控数据服务项目</w:t>
      </w:r>
    </w:p>
    <w:p>
      <w:pPr>
        <w:pStyle w:val="18"/>
        <w:rPr>
          <w:rFonts w:hint="eastAsia" w:ascii="宋体" w:hAnsi="宋体" w:cs="宋体"/>
          <w:sz w:val="24"/>
          <w:szCs w:val="24"/>
          <w:lang w:val="en-US" w:eastAsia="zh-CN"/>
        </w:rPr>
      </w:pPr>
      <w:r>
        <w:rPr>
          <w:rFonts w:hint="eastAsia" w:ascii="宋体" w:hAnsi="宋体" w:cs="宋体"/>
          <w:sz w:val="24"/>
          <w:szCs w:val="24"/>
        </w:rPr>
        <w:t>预算金额：</w:t>
      </w:r>
      <w:r>
        <w:rPr>
          <w:rFonts w:hint="eastAsia" w:ascii="宋体" w:hAnsi="宋体" w:cs="宋体"/>
          <w:sz w:val="24"/>
          <w:szCs w:val="24"/>
          <w:lang w:val="en-US" w:eastAsia="zh-CN"/>
        </w:rPr>
        <w:t>397万元。其中包一：</w:t>
      </w:r>
      <w:r>
        <w:rPr>
          <w:rFonts w:hint="eastAsia" w:ascii="宋体" w:hAnsi="宋体" w:eastAsia="宋体"/>
          <w:sz w:val="24"/>
          <w:szCs w:val="24"/>
          <w:lang w:val="en-US" w:eastAsia="zh-CN"/>
        </w:rPr>
        <w:t>198.5万元；</w:t>
      </w:r>
      <w:r>
        <w:rPr>
          <w:rFonts w:hint="eastAsia" w:ascii="宋体" w:hAnsi="宋体" w:cs="宋体"/>
          <w:sz w:val="24"/>
          <w:szCs w:val="24"/>
          <w:lang w:val="en-US" w:eastAsia="zh-CN"/>
        </w:rPr>
        <w:t>包二：</w:t>
      </w:r>
      <w:r>
        <w:rPr>
          <w:rFonts w:hint="eastAsia" w:ascii="宋体" w:hAnsi="宋体" w:eastAsia="宋体"/>
          <w:sz w:val="24"/>
          <w:szCs w:val="24"/>
          <w:lang w:val="en-US" w:eastAsia="zh-CN"/>
        </w:rPr>
        <w:t>198.5万元；</w:t>
      </w:r>
    </w:p>
    <w:p>
      <w:pPr>
        <w:pStyle w:val="18"/>
        <w:rPr>
          <w:rFonts w:hint="default"/>
          <w:lang w:val="en-US" w:eastAsia="zh-CN"/>
        </w:rPr>
      </w:pPr>
      <w:r>
        <w:rPr>
          <w:rFonts w:hint="eastAsia" w:ascii="宋体" w:hAnsi="宋体" w:cs="宋体"/>
          <w:sz w:val="24"/>
          <w:szCs w:val="24"/>
          <w:lang w:val="en-US" w:eastAsia="zh-CN"/>
        </w:rPr>
        <w:t>最高限价：397万元。其中包一：</w:t>
      </w:r>
      <w:r>
        <w:rPr>
          <w:rFonts w:hint="eastAsia" w:ascii="宋体" w:hAnsi="宋体" w:eastAsia="宋体"/>
          <w:sz w:val="24"/>
          <w:szCs w:val="24"/>
          <w:lang w:val="en-US" w:eastAsia="zh-CN"/>
        </w:rPr>
        <w:t>198.5万元；</w:t>
      </w:r>
      <w:r>
        <w:rPr>
          <w:rFonts w:hint="eastAsia" w:ascii="宋体" w:hAnsi="宋体" w:cs="宋体"/>
          <w:sz w:val="24"/>
          <w:szCs w:val="24"/>
          <w:lang w:val="en-US" w:eastAsia="zh-CN"/>
        </w:rPr>
        <w:t>包二：</w:t>
      </w:r>
      <w:r>
        <w:rPr>
          <w:rFonts w:hint="eastAsia" w:ascii="宋体" w:hAnsi="宋体" w:eastAsia="宋体"/>
          <w:sz w:val="24"/>
          <w:szCs w:val="24"/>
          <w:lang w:val="en-US" w:eastAsia="zh-CN"/>
        </w:rPr>
        <w:t>198.5万元；</w:t>
      </w:r>
    </w:p>
    <w:p>
      <w:pPr>
        <w:pStyle w:val="18"/>
        <w:rPr>
          <w:rFonts w:ascii="宋体" w:hAnsi="宋体" w:cs="宋体"/>
          <w:sz w:val="24"/>
          <w:szCs w:val="24"/>
        </w:rPr>
      </w:pPr>
      <w:r>
        <w:rPr>
          <w:rFonts w:hint="eastAsia" w:ascii="宋体" w:hAnsi="宋体" w:cs="宋体"/>
          <w:sz w:val="24"/>
          <w:szCs w:val="24"/>
        </w:rPr>
        <w:t>采购需求：</w:t>
      </w:r>
      <w:r>
        <w:rPr>
          <w:rFonts w:hint="eastAsia" w:ascii="宋体" w:hAnsi="宋体" w:cs="宋体"/>
          <w:sz w:val="24"/>
          <w:szCs w:val="24"/>
          <w:lang w:val="en-US" w:eastAsia="zh-CN"/>
        </w:rPr>
        <w:t>本项目共两个包，具体</w:t>
      </w:r>
      <w:r>
        <w:rPr>
          <w:rFonts w:hint="eastAsia" w:ascii="宋体" w:hAnsi="宋体" w:cs="宋体"/>
          <w:sz w:val="24"/>
          <w:szCs w:val="24"/>
        </w:rPr>
        <w:t>详见招标文件。</w:t>
      </w:r>
      <w:bookmarkStart w:id="109" w:name="_GoBack"/>
      <w:bookmarkEnd w:id="109"/>
    </w:p>
    <w:p>
      <w:pPr>
        <w:pStyle w:val="18"/>
        <w:rPr>
          <w:rFonts w:ascii="宋体" w:hAnsi="宋体" w:cs="宋体"/>
          <w:sz w:val="24"/>
          <w:szCs w:val="24"/>
        </w:rPr>
      </w:pPr>
      <w:r>
        <w:rPr>
          <w:rFonts w:hint="eastAsia" w:ascii="宋体" w:hAnsi="宋体" w:cs="宋体"/>
          <w:sz w:val="24"/>
          <w:szCs w:val="24"/>
        </w:rPr>
        <w:t>合同履行期限：详见招标文件。</w:t>
      </w:r>
    </w:p>
    <w:p>
      <w:pPr>
        <w:spacing w:line="360" w:lineRule="auto"/>
      </w:pPr>
      <w:r>
        <w:rPr>
          <w:rFonts w:hint="eastAsia" w:ascii="宋体" w:hAnsi="宋体" w:cs="宋体"/>
          <w:sz w:val="24"/>
          <w:szCs w:val="24"/>
        </w:rPr>
        <w:t>本项目监督单位：聊城市财政局政府采购监督管理科。</w:t>
      </w:r>
    </w:p>
    <w:p>
      <w:pPr>
        <w:numPr>
          <w:ilvl w:val="0"/>
          <w:numId w:val="1"/>
        </w:numPr>
        <w:spacing w:line="360" w:lineRule="auto"/>
        <w:rPr>
          <w:rFonts w:ascii="宋体" w:hAnsi="宋体" w:cs="宋体"/>
          <w:sz w:val="24"/>
          <w:szCs w:val="24"/>
        </w:rPr>
      </w:pPr>
      <w:r>
        <w:rPr>
          <w:rFonts w:hint="eastAsia" w:ascii="宋体" w:hAnsi="宋体" w:cs="宋体"/>
          <w:sz w:val="24"/>
          <w:szCs w:val="24"/>
        </w:rPr>
        <w:t>申请人的资格要求：</w:t>
      </w:r>
    </w:p>
    <w:p>
      <w:pPr>
        <w:pStyle w:val="18"/>
        <w:rPr>
          <w:rFonts w:ascii="宋体" w:hAnsi="宋体" w:cs="宋体"/>
          <w:sz w:val="24"/>
          <w:szCs w:val="24"/>
        </w:rPr>
      </w:pPr>
      <w:r>
        <w:rPr>
          <w:rFonts w:hint="eastAsia" w:ascii="宋体" w:hAnsi="宋体" w:cs="宋体"/>
          <w:sz w:val="24"/>
          <w:szCs w:val="24"/>
        </w:rPr>
        <w:t>1、满足《中华人民共和国政府采购法》第二十二条规定；</w:t>
      </w:r>
    </w:p>
    <w:p>
      <w:pPr>
        <w:pStyle w:val="18"/>
        <w:rPr>
          <w:rFonts w:hint="eastAsia" w:ascii="宋体" w:hAnsi="宋体" w:cs="宋体"/>
          <w:sz w:val="24"/>
          <w:szCs w:val="24"/>
        </w:rPr>
      </w:pPr>
      <w:r>
        <w:rPr>
          <w:rFonts w:hint="eastAsia" w:ascii="宋体" w:hAnsi="宋体" w:cs="宋体"/>
          <w:sz w:val="24"/>
          <w:szCs w:val="24"/>
          <w:highlight w:val="none"/>
        </w:rPr>
        <w:t>2、落实政府采购政策需满足的资格要求：本项目为政府采购项目，落实政府采购政策，</w:t>
      </w:r>
      <w:r>
        <w:rPr>
          <w:rFonts w:hint="eastAsia" w:ascii="宋体" w:hAnsi="宋体" w:cs="宋体"/>
          <w:sz w:val="24"/>
          <w:szCs w:val="24"/>
          <w:highlight w:val="none"/>
          <w:lang w:val="en-US" w:eastAsia="zh-CN"/>
        </w:rPr>
        <w:t>具体要求</w:t>
      </w:r>
      <w:r>
        <w:rPr>
          <w:rFonts w:hint="eastAsia" w:ascii="宋体" w:hAnsi="宋体" w:cs="宋体"/>
          <w:sz w:val="24"/>
          <w:szCs w:val="24"/>
        </w:rPr>
        <w:t>详见招标文件。</w:t>
      </w:r>
    </w:p>
    <w:p>
      <w:pPr>
        <w:pStyle w:val="18"/>
        <w:rPr>
          <w:rFonts w:hint="eastAsia" w:ascii="宋体" w:hAnsi="宋体" w:eastAsia="宋体" w:cs="宋体"/>
          <w:color w:val="auto"/>
          <w:sz w:val="24"/>
          <w:szCs w:val="24"/>
          <w:highlight w:val="none"/>
        </w:rPr>
      </w:pPr>
      <w:r>
        <w:rPr>
          <w:rFonts w:hint="eastAsia" w:ascii="宋体" w:hAnsi="宋体" w:cs="宋体"/>
          <w:sz w:val="24"/>
          <w:szCs w:val="24"/>
          <w:highlight w:val="none"/>
        </w:rPr>
        <w:t>3、本项目的特定资格要求：</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w:t>
      </w:r>
    </w:p>
    <w:p>
      <w:pPr>
        <w:pStyle w:val="18"/>
        <w:spacing w:line="360" w:lineRule="auto"/>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投标人须具备合法有效的营业执照，并在人员、资金、设备上具有相应的服务能力；</w:t>
      </w:r>
    </w:p>
    <w:p>
      <w:pPr>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color w:val="auto"/>
          <w:sz w:val="24"/>
          <w:szCs w:val="24"/>
        </w:rPr>
        <w:t>投标人未被《信用中国》网站（www.creditchina.gov.cn）公示存在不良信用记录</w:t>
      </w:r>
      <w:r>
        <w:rPr>
          <w:rFonts w:hint="eastAsia" w:ascii="宋体" w:hAnsi="宋体" w:eastAsia="宋体" w:cs="宋体"/>
          <w:sz w:val="24"/>
          <w:szCs w:val="24"/>
        </w:rPr>
        <w:t>；</w:t>
      </w:r>
    </w:p>
    <w:p>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投标人未被《中国政府采购网》公示存在政府采购严重违法失信行为信息记录；</w:t>
      </w:r>
    </w:p>
    <w:p>
      <w:pPr>
        <w:pStyle w:val="5"/>
        <w:spacing w:line="360" w:lineRule="auto"/>
        <w:ind w:left="0" w:leftChars="0" w:firstLine="0" w:firstLineChars="0"/>
        <w:rPr>
          <w:rFonts w:hint="eastAsia" w:eastAsia="宋体"/>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法律、行政法规及采购文件规定的其他要求；</w:t>
      </w:r>
    </w:p>
    <w:p>
      <w:pPr>
        <w:pStyle w:val="18"/>
        <w:spacing w:line="360" w:lineRule="auto"/>
        <w:rPr>
          <w:rFonts w:hint="eastAsia"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kern w:val="0"/>
          <w:sz w:val="24"/>
          <w:szCs w:val="24"/>
          <w:highlight w:val="none"/>
        </w:rPr>
        <w:t>本项目不接受联合体投标。</w:t>
      </w:r>
    </w:p>
    <w:p>
      <w:pPr>
        <w:pStyle w:val="18"/>
        <w:rPr>
          <w:rFonts w:ascii="宋体" w:hAnsi="宋体" w:cs="宋体"/>
          <w:sz w:val="24"/>
          <w:szCs w:val="24"/>
        </w:rPr>
      </w:pPr>
      <w:r>
        <w:rPr>
          <w:rFonts w:hint="eastAsia" w:ascii="宋体" w:hAnsi="宋体" w:cs="宋体"/>
          <w:sz w:val="24"/>
          <w:szCs w:val="24"/>
        </w:rPr>
        <w:t>三、获取招标文件：</w:t>
      </w:r>
    </w:p>
    <w:p>
      <w:pPr>
        <w:spacing w:line="360" w:lineRule="auto"/>
        <w:rPr>
          <w:rFonts w:ascii="宋体" w:hAnsi="宋体" w:cs="宋体"/>
          <w:sz w:val="24"/>
          <w:szCs w:val="24"/>
          <w:highlight w:val="yellow"/>
        </w:rPr>
      </w:pPr>
      <w:r>
        <w:rPr>
          <w:rFonts w:hint="eastAsia" w:ascii="宋体" w:hAnsi="宋体" w:cs="宋体"/>
          <w:sz w:val="24"/>
          <w:szCs w:val="24"/>
        </w:rPr>
        <w:t>1、时间：</w:t>
      </w:r>
      <w:r>
        <w:rPr>
          <w:rFonts w:hint="eastAsia" w:ascii="宋体" w:hAnsi="宋体" w:cs="宋体"/>
          <w:sz w:val="24"/>
          <w:szCs w:val="24"/>
          <w:lang w:val="en-US" w:eastAsia="zh-CN"/>
        </w:rPr>
        <w:t>2023</w:t>
      </w:r>
      <w:r>
        <w:rPr>
          <w:rFonts w:hint="eastAsia" w:ascii="宋体" w:hAnsi="宋体" w:cs="宋体"/>
          <w:sz w:val="24"/>
          <w:szCs w:val="24"/>
          <w:highlight w:val="none"/>
        </w:rPr>
        <w:t>年</w:t>
      </w:r>
      <w:r>
        <w:rPr>
          <w:rFonts w:hint="eastAsia" w:ascii="宋体" w:hAnsi="宋体" w:cs="宋体"/>
          <w:sz w:val="24"/>
          <w:szCs w:val="24"/>
          <w:highlight w:val="none"/>
          <w:lang w:val="en-US" w:eastAsia="zh-CN"/>
        </w:rPr>
        <w:t>10</w:t>
      </w:r>
      <w:r>
        <w:rPr>
          <w:rFonts w:hint="eastAsia" w:ascii="宋体" w:hAnsi="宋体" w:cs="宋体"/>
          <w:sz w:val="24"/>
          <w:szCs w:val="24"/>
          <w:highlight w:val="none"/>
        </w:rPr>
        <w:t>月</w:t>
      </w:r>
      <w:r>
        <w:rPr>
          <w:rFonts w:hint="eastAsia" w:ascii="宋体" w:hAnsi="宋体" w:cs="宋体"/>
          <w:sz w:val="24"/>
          <w:szCs w:val="24"/>
          <w:highlight w:val="none"/>
          <w:lang w:val="en-US" w:eastAsia="zh-CN"/>
        </w:rPr>
        <w:t>11</w:t>
      </w:r>
      <w:r>
        <w:rPr>
          <w:rFonts w:hint="eastAsia" w:ascii="宋体" w:hAnsi="宋体" w:cs="宋体"/>
          <w:sz w:val="24"/>
          <w:szCs w:val="24"/>
          <w:highlight w:val="none"/>
        </w:rPr>
        <w:t>日8时30分至</w:t>
      </w:r>
      <w:r>
        <w:rPr>
          <w:rFonts w:hint="eastAsia" w:ascii="宋体" w:hAnsi="宋体" w:cs="宋体"/>
          <w:sz w:val="24"/>
          <w:szCs w:val="24"/>
          <w:highlight w:val="none"/>
          <w:lang w:val="en-US" w:eastAsia="zh-CN"/>
        </w:rPr>
        <w:t>2023</w:t>
      </w:r>
      <w:r>
        <w:rPr>
          <w:rFonts w:hint="eastAsia" w:ascii="宋体" w:hAnsi="宋体" w:cs="宋体"/>
          <w:sz w:val="24"/>
          <w:szCs w:val="24"/>
          <w:highlight w:val="none"/>
        </w:rPr>
        <w:t>年</w:t>
      </w:r>
      <w:r>
        <w:rPr>
          <w:rFonts w:hint="eastAsia" w:ascii="宋体" w:hAnsi="宋体" w:cs="宋体"/>
          <w:sz w:val="24"/>
          <w:szCs w:val="24"/>
          <w:highlight w:val="none"/>
          <w:lang w:val="en-US" w:eastAsia="zh-CN"/>
        </w:rPr>
        <w:t>10</w:t>
      </w:r>
      <w:r>
        <w:rPr>
          <w:rFonts w:hint="eastAsia" w:ascii="宋体" w:hAnsi="宋体" w:cs="宋体"/>
          <w:sz w:val="24"/>
          <w:szCs w:val="24"/>
          <w:highlight w:val="none"/>
        </w:rPr>
        <w:t>月</w:t>
      </w:r>
      <w:r>
        <w:rPr>
          <w:rFonts w:hint="eastAsia" w:ascii="宋体" w:hAnsi="宋体" w:cs="宋体"/>
          <w:sz w:val="24"/>
          <w:szCs w:val="24"/>
          <w:highlight w:val="none"/>
          <w:lang w:val="en-US" w:eastAsia="zh-CN"/>
        </w:rPr>
        <w:t>17</w:t>
      </w:r>
      <w:r>
        <w:rPr>
          <w:rFonts w:hint="eastAsia" w:ascii="宋体" w:hAnsi="宋体" w:cs="宋体"/>
          <w:sz w:val="24"/>
          <w:szCs w:val="24"/>
          <w:highlight w:val="none"/>
        </w:rPr>
        <w:t>日17时30分。</w:t>
      </w:r>
    </w:p>
    <w:p>
      <w:pPr>
        <w:wordWrap w:val="0"/>
        <w:spacing w:line="360" w:lineRule="auto"/>
        <w:rPr>
          <w:rFonts w:ascii="宋体" w:hAnsi="宋体" w:cs="宋体"/>
          <w:sz w:val="24"/>
          <w:szCs w:val="24"/>
        </w:rPr>
      </w:pPr>
      <w:r>
        <w:rPr>
          <w:rFonts w:hint="eastAsia" w:ascii="宋体" w:hAnsi="宋体" w:cs="宋体"/>
          <w:sz w:val="24"/>
          <w:szCs w:val="24"/>
        </w:rPr>
        <w:t>2、地点：中国山东政府采购网（http://www.ccgp-shandong.gov.cn）、聊城市公共资源交易中心电子系统（http://ggzyjy.liaoch</w:t>
      </w:r>
      <w:r>
        <w:rPr>
          <w:rFonts w:hint="eastAsia" w:ascii="宋体" w:hAnsi="宋体" w:cs="宋体"/>
          <w:sz w:val="24"/>
          <w:szCs w:val="24"/>
          <w:lang w:val="en-US" w:eastAsia="zh-CN"/>
        </w:rPr>
        <w:t>eng.gov.cn</w:t>
      </w:r>
      <w:r>
        <w:rPr>
          <w:rFonts w:hint="eastAsia" w:ascii="宋体" w:hAnsi="宋体" w:cs="宋体"/>
          <w:sz w:val="24"/>
          <w:szCs w:val="24"/>
        </w:rPr>
        <w:t>）。</w:t>
      </w:r>
    </w:p>
    <w:p>
      <w:pPr>
        <w:pStyle w:val="18"/>
        <w:rPr>
          <w:rFonts w:hint="eastAsia"/>
          <w:lang w:eastAsia="zh-CN"/>
        </w:rPr>
      </w:pPr>
      <w:r>
        <w:rPr>
          <w:rFonts w:hint="eastAsia" w:ascii="宋体" w:hAnsi="宋体" w:cs="宋体"/>
          <w:sz w:val="24"/>
          <w:szCs w:val="24"/>
        </w:rPr>
        <w:t>3、</w:t>
      </w:r>
      <w:r>
        <w:rPr>
          <w:rFonts w:hint="eastAsia" w:ascii="宋体" w:hAnsi="宋体" w:cs="宋体"/>
          <w:sz w:val="24"/>
          <w:szCs w:val="24"/>
          <w:lang w:val="en-US" w:eastAsia="zh-CN"/>
        </w:rPr>
        <w:t>方式：各投标人在规定时间内登录</w:t>
      </w:r>
      <w:r>
        <w:rPr>
          <w:rFonts w:hint="eastAsia" w:ascii="宋体" w:hAnsi="宋体" w:cs="宋体"/>
          <w:sz w:val="24"/>
          <w:szCs w:val="24"/>
        </w:rPr>
        <w:t>中国山东政府采购网及</w:t>
      </w:r>
      <w:r>
        <w:rPr>
          <w:rFonts w:hint="eastAsia" w:ascii="宋体" w:hAnsi="宋体" w:cs="宋体"/>
          <w:sz w:val="24"/>
          <w:szCs w:val="24"/>
          <w:lang w:val="en-US" w:eastAsia="zh-CN"/>
        </w:rPr>
        <w:t>新版聊城市公共资源电子交易系统（http://ggzyjy.liaocheng.gov.cn:8601/tpbidder）免费下载采购文件（文件格式为.lczf），逾期未下载采购文件视为放弃投标。</w:t>
      </w:r>
    </w:p>
    <w:p>
      <w:pPr>
        <w:wordWrap w:val="0"/>
        <w:spacing w:line="360" w:lineRule="auto"/>
        <w:rPr>
          <w:rFonts w:ascii="宋体" w:hAnsi="宋体" w:cs="宋体"/>
          <w:sz w:val="24"/>
          <w:szCs w:val="24"/>
        </w:rPr>
      </w:pPr>
      <w:r>
        <w:rPr>
          <w:rFonts w:hint="eastAsia" w:ascii="宋体" w:hAnsi="宋体" w:cs="宋体"/>
          <w:sz w:val="24"/>
          <w:szCs w:val="24"/>
        </w:rPr>
        <w:t>注:（1）根据山东省政府采购有关规定，各拟参与本项目投标人在交易中心系统获取招标文件后，务必于投标文件提交截止时间前在“中国山东政府采购网（http://www.ccgp-shandong.gov.cn）”完成注册但不需报名（已注册的无需重复注册），由于投标人原因造成其在投标文件提交截止时间前未完成注册的后果自负。</w:t>
      </w:r>
    </w:p>
    <w:p>
      <w:pPr>
        <w:wordWrap w:val="0"/>
        <w:spacing w:line="360" w:lineRule="auto"/>
        <w:rPr>
          <w:rFonts w:ascii="宋体" w:hAnsi="宋体" w:cs="宋体"/>
          <w:sz w:val="24"/>
          <w:szCs w:val="24"/>
        </w:rPr>
      </w:pPr>
      <w:r>
        <w:rPr>
          <w:rFonts w:hint="eastAsia" w:ascii="宋体" w:hAnsi="宋体" w:cs="宋体"/>
          <w:sz w:val="24"/>
          <w:szCs w:val="24"/>
        </w:rPr>
        <w:t>（2）投标人在聊城公共资源招投标会员网上交易系统诚信入库类型：</w:t>
      </w:r>
      <w:r>
        <w:rPr>
          <w:rFonts w:hint="eastAsia" w:ascii="宋体" w:hAnsi="宋体" w:cs="宋体"/>
          <w:sz w:val="24"/>
          <w:szCs w:val="24"/>
          <w:lang w:val="en-US" w:eastAsia="zh-CN"/>
        </w:rPr>
        <w:t>交易乙方</w:t>
      </w:r>
      <w:r>
        <w:rPr>
          <w:rFonts w:hint="eastAsia" w:ascii="宋体" w:hAnsi="宋体" w:cs="宋体"/>
          <w:sz w:val="24"/>
          <w:szCs w:val="24"/>
        </w:rPr>
        <w:t>。</w:t>
      </w:r>
    </w:p>
    <w:p>
      <w:pPr>
        <w:wordWrap w:val="0"/>
        <w:spacing w:line="360" w:lineRule="auto"/>
        <w:rPr>
          <w:rFonts w:ascii="宋体" w:hAnsi="宋体" w:cs="宋体"/>
          <w:sz w:val="24"/>
          <w:szCs w:val="24"/>
        </w:rPr>
      </w:pPr>
      <w:r>
        <w:rPr>
          <w:rFonts w:hint="eastAsia" w:ascii="宋体" w:hAnsi="宋体" w:cs="宋体"/>
          <w:sz w:val="24"/>
          <w:szCs w:val="24"/>
        </w:rPr>
        <w:t>4、售价：0元</w:t>
      </w:r>
    </w:p>
    <w:p>
      <w:pPr>
        <w:spacing w:line="360" w:lineRule="auto"/>
        <w:rPr>
          <w:rFonts w:hint="eastAsia" w:ascii="宋体" w:hAnsi="宋体" w:eastAsia="宋体" w:cs="宋体"/>
          <w:sz w:val="24"/>
          <w:szCs w:val="24"/>
          <w:lang w:eastAsia="zh-CN"/>
        </w:rPr>
      </w:pPr>
      <w:r>
        <w:rPr>
          <w:rFonts w:hint="eastAsia" w:ascii="宋体" w:hAnsi="宋体" w:cs="宋体"/>
          <w:sz w:val="24"/>
          <w:szCs w:val="24"/>
        </w:rPr>
        <w:t>四、提交投标文件截止时间、开标时间和地点：</w:t>
      </w:r>
    </w:p>
    <w:p>
      <w:pPr>
        <w:pStyle w:val="18"/>
        <w:rPr>
          <w:rFonts w:ascii="宋体" w:hAnsi="宋体" w:cs="宋体"/>
          <w:color w:val="0000FF"/>
          <w:sz w:val="24"/>
          <w:szCs w:val="24"/>
          <w:highlight w:val="none"/>
        </w:rPr>
      </w:pPr>
      <w:r>
        <w:rPr>
          <w:rFonts w:hint="eastAsia" w:ascii="宋体" w:hAnsi="宋体" w:cs="宋体"/>
          <w:sz w:val="24"/>
          <w:szCs w:val="24"/>
        </w:rPr>
        <w:t>1、截止时间：</w:t>
      </w:r>
      <w:r>
        <w:rPr>
          <w:rFonts w:hint="eastAsia" w:ascii="宋体" w:hAnsi="宋体" w:cs="宋体"/>
          <w:sz w:val="24"/>
          <w:szCs w:val="24"/>
          <w:highlight w:val="none"/>
          <w:lang w:val="en-US" w:eastAsia="zh-CN"/>
        </w:rPr>
        <w:t>2023</w:t>
      </w:r>
      <w:r>
        <w:rPr>
          <w:rFonts w:hint="eastAsia" w:ascii="宋体" w:hAnsi="宋体" w:cs="宋体"/>
          <w:sz w:val="24"/>
          <w:szCs w:val="24"/>
          <w:highlight w:val="none"/>
        </w:rPr>
        <w:t>年</w:t>
      </w:r>
      <w:r>
        <w:rPr>
          <w:rFonts w:hint="eastAsia" w:ascii="宋体" w:hAnsi="宋体" w:cs="宋体"/>
          <w:sz w:val="24"/>
          <w:szCs w:val="24"/>
          <w:highlight w:val="none"/>
          <w:lang w:val="en-US" w:eastAsia="zh-CN"/>
        </w:rPr>
        <w:t>11</w:t>
      </w:r>
      <w:r>
        <w:rPr>
          <w:rFonts w:hint="eastAsia" w:ascii="宋体" w:hAnsi="宋体" w:cs="宋体"/>
          <w:sz w:val="24"/>
          <w:szCs w:val="24"/>
          <w:highlight w:val="none"/>
        </w:rPr>
        <w:t>月</w:t>
      </w:r>
      <w:r>
        <w:rPr>
          <w:rFonts w:hint="eastAsia" w:ascii="宋体" w:hAnsi="宋体" w:cs="宋体"/>
          <w:sz w:val="24"/>
          <w:szCs w:val="24"/>
          <w:highlight w:val="none"/>
          <w:lang w:val="en-US" w:eastAsia="zh-CN"/>
        </w:rPr>
        <w:t>1</w:t>
      </w:r>
      <w:r>
        <w:rPr>
          <w:rFonts w:hint="eastAsia" w:ascii="宋体" w:hAnsi="宋体" w:cs="宋体"/>
          <w:sz w:val="24"/>
          <w:szCs w:val="24"/>
          <w:highlight w:val="none"/>
        </w:rPr>
        <w:t>日09点00分（北京时间）</w:t>
      </w:r>
    </w:p>
    <w:p>
      <w:pPr>
        <w:pStyle w:val="18"/>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各投标人在响应文件提交截止时间前将电子响应文件上传到新版聊城市公共资源电子交易系统（http://ggzyjy.liaocheng.gov.cn:8601/tpbidder）</w:t>
      </w:r>
      <w:r>
        <w:rPr>
          <w:rFonts w:hint="eastAsia" w:ascii="宋体" w:hAnsi="宋体" w:cs="宋体"/>
          <w:sz w:val="24"/>
          <w:szCs w:val="24"/>
          <w:lang w:eastAsia="zh-CN"/>
        </w:rPr>
        <w:t>。</w:t>
      </w:r>
    </w:p>
    <w:p>
      <w:pPr>
        <w:pStyle w:val="18"/>
        <w:rPr>
          <w:rFonts w:hint="eastAsia" w:ascii="宋体" w:hAnsi="宋体" w:eastAsia="宋体" w:cs="宋体"/>
          <w:sz w:val="24"/>
          <w:szCs w:val="24"/>
          <w:highlight w:val="none"/>
          <w:lang w:eastAsia="zh-CN"/>
        </w:rPr>
      </w:pPr>
      <w:r>
        <w:rPr>
          <w:rFonts w:hint="eastAsia" w:ascii="宋体" w:hAnsi="宋体" w:cs="宋体"/>
          <w:sz w:val="24"/>
          <w:szCs w:val="24"/>
        </w:rPr>
        <w:t>2、开标时间：</w:t>
      </w:r>
      <w:r>
        <w:rPr>
          <w:rFonts w:hint="eastAsia" w:ascii="宋体" w:hAnsi="宋体" w:cs="宋体"/>
          <w:sz w:val="24"/>
          <w:szCs w:val="24"/>
          <w:highlight w:val="none"/>
          <w:lang w:val="en-US" w:eastAsia="zh-CN"/>
        </w:rPr>
        <w:t>2023</w:t>
      </w:r>
      <w:r>
        <w:rPr>
          <w:rFonts w:hint="eastAsia" w:ascii="宋体" w:hAnsi="宋体" w:cs="宋体"/>
          <w:sz w:val="24"/>
          <w:szCs w:val="24"/>
          <w:highlight w:val="none"/>
        </w:rPr>
        <w:t>年</w:t>
      </w:r>
      <w:r>
        <w:rPr>
          <w:rFonts w:hint="eastAsia" w:ascii="宋体" w:hAnsi="宋体" w:cs="宋体"/>
          <w:sz w:val="24"/>
          <w:szCs w:val="24"/>
          <w:highlight w:val="none"/>
          <w:lang w:val="en-US" w:eastAsia="zh-CN"/>
        </w:rPr>
        <w:t>11</w:t>
      </w:r>
      <w:r>
        <w:rPr>
          <w:rFonts w:hint="eastAsia" w:ascii="宋体" w:hAnsi="宋体" w:cs="宋体"/>
          <w:sz w:val="24"/>
          <w:szCs w:val="24"/>
          <w:highlight w:val="none"/>
        </w:rPr>
        <w:t>月</w:t>
      </w:r>
      <w:r>
        <w:rPr>
          <w:rFonts w:hint="eastAsia" w:ascii="宋体" w:hAnsi="宋体" w:cs="宋体"/>
          <w:sz w:val="24"/>
          <w:szCs w:val="24"/>
          <w:highlight w:val="none"/>
          <w:lang w:val="en-US" w:eastAsia="zh-CN"/>
        </w:rPr>
        <w:t>1</w:t>
      </w:r>
      <w:r>
        <w:rPr>
          <w:rFonts w:hint="eastAsia" w:ascii="宋体" w:hAnsi="宋体" w:cs="宋体"/>
          <w:sz w:val="24"/>
          <w:szCs w:val="24"/>
          <w:highlight w:val="none"/>
        </w:rPr>
        <w:t>日09点00分（北京时间）</w:t>
      </w:r>
    </w:p>
    <w:p>
      <w:pPr>
        <w:pStyle w:val="18"/>
        <w:rPr>
          <w:rFonts w:ascii="宋体" w:hAnsi="宋体" w:cs="宋体"/>
          <w:sz w:val="24"/>
          <w:szCs w:val="24"/>
        </w:rPr>
      </w:pPr>
      <w:r>
        <w:rPr>
          <w:rFonts w:hint="eastAsia" w:ascii="宋体" w:hAnsi="宋体" w:cs="宋体"/>
          <w:sz w:val="24"/>
          <w:szCs w:val="24"/>
        </w:rPr>
        <w:t>3、地点：本项目采取不见面方式开标，开标当日投标人不必抵达现场，仅需登录聊城市公共资源交易中心不见面开标大厅参与会议。各投标人应严格按照招标文件的具体要求在开标前登录网上不见面开标大厅完成相应工作，并安排专人实时在线处理答疑、澄清、报价等事宜。具体详见《聊城不见面开标大厅--操作手册（投标人）》。</w:t>
      </w:r>
    </w:p>
    <w:p>
      <w:pPr>
        <w:pStyle w:val="18"/>
        <w:rPr>
          <w:rFonts w:hint="eastAsia" w:ascii="宋体" w:hAnsi="宋体" w:cs="宋体"/>
          <w:sz w:val="24"/>
          <w:szCs w:val="24"/>
        </w:rPr>
      </w:pPr>
      <w:r>
        <w:rPr>
          <w:rFonts w:hint="eastAsia" w:ascii="宋体" w:hAnsi="宋体" w:cs="宋体"/>
          <w:sz w:val="24"/>
          <w:szCs w:val="24"/>
        </w:rPr>
        <w:t>不见面开标大厅登录途径：</w:t>
      </w:r>
      <w:r>
        <w:rPr>
          <w:rFonts w:hint="eastAsia" w:ascii="宋体" w:hAnsi="宋体" w:cs="宋体"/>
          <w:sz w:val="24"/>
          <w:szCs w:val="24"/>
          <w:lang w:val="en-US" w:eastAsia="zh-CN"/>
        </w:rPr>
        <w:t xml:space="preserve">1.聊城市公共资源交易中心不见面开标大厅（聊城市公共资源交易中心网-平台入口-不见面开标大厅登录入口-选择登录地区（聊城新平台（java））； </w:t>
      </w:r>
    </w:p>
    <w:p>
      <w:pPr>
        <w:pStyle w:val="18"/>
        <w:rPr>
          <w:rFonts w:hint="eastAsia" w:ascii="宋体" w:hAnsi="宋体" w:cs="宋体"/>
          <w:sz w:val="24"/>
          <w:szCs w:val="24"/>
          <w:lang w:val="en-US" w:eastAsia="zh-CN"/>
        </w:rPr>
      </w:pPr>
      <w:r>
        <w:rPr>
          <w:rFonts w:hint="eastAsia" w:ascii="宋体" w:hAnsi="宋体" w:cs="宋体"/>
          <w:sz w:val="24"/>
          <w:szCs w:val="24"/>
          <w:lang w:val="en-US" w:eastAsia="zh-CN"/>
        </w:rPr>
        <w:t>2.不见面开标大厅网址：</w:t>
      </w:r>
      <w:r>
        <w:rPr>
          <w:rFonts w:hint="eastAsia" w:ascii="宋体" w:hAnsi="宋体" w:cs="宋体"/>
          <w:sz w:val="24"/>
          <w:szCs w:val="24"/>
        </w:rPr>
        <w:t>http://ggzyjy.liaocheng.gov.cn:8093/BidOpening/bidopeninghallac</w:t>
      </w:r>
    </w:p>
    <w:p>
      <w:pPr>
        <w:pStyle w:val="18"/>
        <w:rPr>
          <w:rFonts w:ascii="宋体" w:hAnsi="宋体" w:cs="宋体"/>
          <w:sz w:val="24"/>
          <w:szCs w:val="24"/>
        </w:rPr>
      </w:pPr>
      <w:r>
        <w:rPr>
          <w:rFonts w:hint="eastAsia" w:ascii="宋体" w:hAnsi="宋体" w:cs="宋体"/>
          <w:sz w:val="24"/>
          <w:szCs w:val="24"/>
        </w:rPr>
        <w:t>tion/hall/login</w:t>
      </w:r>
      <w:r>
        <w:rPr>
          <w:rFonts w:hint="eastAsia" w:ascii="宋体" w:hAnsi="宋体" w:cs="宋体"/>
          <w:sz w:val="24"/>
          <w:szCs w:val="24"/>
          <w:lang w:eastAsia="zh-CN"/>
        </w:rPr>
        <w:t>。</w:t>
      </w:r>
    </w:p>
    <w:p>
      <w:pPr>
        <w:pStyle w:val="18"/>
        <w:rPr>
          <w:rFonts w:ascii="宋体" w:hAnsi="宋体" w:cs="宋体"/>
          <w:sz w:val="24"/>
          <w:szCs w:val="24"/>
        </w:rPr>
      </w:pPr>
      <w:r>
        <w:rPr>
          <w:rFonts w:hint="eastAsia" w:ascii="宋体" w:hAnsi="宋体" w:cs="宋体"/>
          <w:sz w:val="24"/>
          <w:szCs w:val="24"/>
        </w:rPr>
        <w:t>五、公告期限</w:t>
      </w:r>
    </w:p>
    <w:p>
      <w:pPr>
        <w:pStyle w:val="18"/>
        <w:rPr>
          <w:rFonts w:hint="eastAsia" w:ascii="宋体" w:hAnsi="宋体" w:eastAsia="宋体" w:cs="宋体"/>
          <w:sz w:val="24"/>
          <w:szCs w:val="24"/>
          <w:lang w:eastAsia="zh-CN"/>
        </w:rPr>
      </w:pPr>
      <w:r>
        <w:rPr>
          <w:rFonts w:hint="eastAsia" w:ascii="宋体" w:hAnsi="宋体" w:cs="宋体"/>
          <w:sz w:val="24"/>
          <w:szCs w:val="24"/>
        </w:rPr>
        <w:t>自本公告发布之日起5个工作日。</w:t>
      </w:r>
    </w:p>
    <w:p>
      <w:pPr>
        <w:pStyle w:val="18"/>
        <w:rPr>
          <w:rFonts w:ascii="宋体" w:hAnsi="宋体" w:cs="宋体"/>
          <w:sz w:val="24"/>
          <w:szCs w:val="24"/>
        </w:rPr>
      </w:pPr>
      <w:r>
        <w:rPr>
          <w:rFonts w:hint="eastAsia" w:ascii="宋体" w:hAnsi="宋体" w:cs="宋体"/>
          <w:sz w:val="24"/>
          <w:szCs w:val="24"/>
        </w:rPr>
        <w:t>六、其他补充事宜</w:t>
      </w:r>
    </w:p>
    <w:p>
      <w:pPr>
        <w:pStyle w:val="18"/>
        <w:rPr>
          <w:rFonts w:ascii="宋体" w:hAnsi="宋体" w:cs="宋体"/>
          <w:sz w:val="24"/>
          <w:szCs w:val="24"/>
        </w:rPr>
      </w:pPr>
      <w:r>
        <w:rPr>
          <w:rFonts w:hint="eastAsia" w:ascii="宋体" w:hAnsi="宋体" w:cs="宋体"/>
          <w:sz w:val="24"/>
          <w:szCs w:val="24"/>
        </w:rPr>
        <w:t>1.发布公告的媒介：中国山东政府采购网、聊城市公共资源交易中心网。</w:t>
      </w:r>
    </w:p>
    <w:p>
      <w:pPr>
        <w:pStyle w:val="18"/>
        <w:rPr>
          <w:rFonts w:hint="eastAsia" w:ascii="宋体" w:hAnsi="宋体" w:eastAsia="宋体" w:cs="宋体"/>
          <w:sz w:val="24"/>
          <w:szCs w:val="24"/>
          <w:lang w:eastAsia="zh-CN"/>
        </w:rPr>
      </w:pPr>
      <w:r>
        <w:rPr>
          <w:rFonts w:hint="eastAsia" w:ascii="宋体" w:hAnsi="宋体" w:cs="宋体"/>
          <w:sz w:val="24"/>
          <w:szCs w:val="24"/>
        </w:rPr>
        <w:t>2.电子交易系统特别注意事项</w:t>
      </w:r>
    </w:p>
    <w:p>
      <w:pPr>
        <w:pStyle w:val="18"/>
        <w:keepNext w:val="0"/>
        <w:keepLines w:val="0"/>
        <w:pageBreakBefore w:val="0"/>
        <w:widowControl w:val="0"/>
        <w:kinsoku/>
        <w:wordWrap w:val="0"/>
        <w:overflowPunct/>
        <w:topLinePunct w:val="0"/>
        <w:autoSpaceDE/>
        <w:autoSpaceDN/>
        <w:bidi w:val="0"/>
        <w:adjustRightInd/>
        <w:snapToGrid/>
        <w:textAlignment w:val="auto"/>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投标人首次在新版聊城市公共资源电子交易系统（http://ggzyjy.liaocheng.gov.cn:8601/tpbidder）参与投标的，获取招标文件前须办理企业诚信入库，详见聊城市公共资源交易中心网《关于新版公共资源交易平台系统上线试运行的通知》（http://ggzyjy.liaocheng.gov.cn/lcggzy/tzgg/20230613/d95a44cc-38cc-4176-9ac7-137d9fe765d7.html）。因未及时办理入库导致无法获取文件的，后果自负。另各投标人务必安排好专人对诚信库信息进行更新、维护，并对因诚信库不合法、不真实、不清晰、不完整、无效、错误或编辑待验证状态等造成的一切后果负责。</w:t>
      </w:r>
    </w:p>
    <w:p>
      <w:pPr>
        <w:pStyle w:val="18"/>
        <w:rPr>
          <w:rFonts w:ascii="宋体" w:hAnsi="宋体" w:cs="宋体"/>
          <w:sz w:val="24"/>
          <w:szCs w:val="24"/>
        </w:rPr>
      </w:pPr>
      <w:r>
        <w:rPr>
          <w:rFonts w:hint="eastAsia" w:ascii="宋体" w:hAnsi="宋体" w:cs="宋体"/>
          <w:sz w:val="24"/>
          <w:szCs w:val="24"/>
        </w:rPr>
        <w:t>（2）本项目实行电子评标，投标人需办理CA证书，办理要求详见聊城市公共资源交易中心网右侧快捷入口“CA办理”。因未及时办理CA证书导致无法投标的，责任自负。CA办理咨询电话：0635-8902280 ；移动CA锁（标证通）办理咨询电话：400-823-8788。</w:t>
      </w:r>
    </w:p>
    <w:p>
      <w:pPr>
        <w:pStyle w:val="18"/>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各投标人应随时关注项目信息并及时登录新版聊城市公共资源电子交易系统下载招标文件和各类答疑澄清，否则所造成的一切后果由投标人承担，最终文件以答疑澄清后的为准。电子评标的，制作投标文件需将答疑澄清文件导入投标文件制作工具。</w:t>
      </w:r>
    </w:p>
    <w:p>
      <w:pPr>
        <w:pStyle w:val="18"/>
        <w:rPr>
          <w:rFonts w:hint="eastAsia" w:ascii="宋体" w:hAnsi="宋体" w:cs="宋体"/>
          <w:sz w:val="24"/>
          <w:szCs w:val="24"/>
        </w:rPr>
      </w:pPr>
      <w:r>
        <w:rPr>
          <w:rFonts w:hint="eastAsia" w:ascii="宋体" w:hAnsi="宋体" w:cs="宋体"/>
          <w:sz w:val="24"/>
          <w:szCs w:val="24"/>
        </w:rPr>
        <w:t>（4）</w:t>
      </w:r>
      <w:r>
        <w:rPr>
          <w:rFonts w:hint="eastAsia" w:ascii="宋体" w:hAnsi="宋体" w:cs="宋体"/>
          <w:sz w:val="24"/>
          <w:szCs w:val="24"/>
          <w:lang w:val="en-US" w:eastAsia="zh-CN"/>
        </w:rPr>
        <w:t>电子投标文件制作工具请到聊城市公共资源交易中心网“下载中心-政府采购-政府采购电子标投标文件制作软件以及视频教程”下载。</w:t>
      </w:r>
    </w:p>
    <w:p>
      <w:pPr>
        <w:pStyle w:val="18"/>
        <w:rPr>
          <w:rFonts w:ascii="宋体" w:hAnsi="宋体" w:cs="宋体"/>
          <w:sz w:val="24"/>
          <w:szCs w:val="24"/>
        </w:rPr>
      </w:pPr>
      <w:r>
        <w:rPr>
          <w:rFonts w:hint="eastAsia" w:ascii="宋体" w:hAnsi="宋体" w:cs="宋体"/>
          <w:sz w:val="24"/>
          <w:szCs w:val="24"/>
        </w:rPr>
        <w:t>（5）投标人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pStyle w:val="18"/>
        <w:keepNext w:val="0"/>
        <w:keepLines w:val="0"/>
        <w:pageBreakBefore w:val="0"/>
        <w:widowControl w:val="0"/>
        <w:kinsoku/>
        <w:wordWrap w:val="0"/>
        <w:overflowPunct/>
        <w:topLinePunct w:val="0"/>
        <w:autoSpaceDE/>
        <w:autoSpaceDN/>
        <w:bidi w:val="0"/>
        <w:adjustRightInd/>
        <w:snapToGrid/>
        <w:jc w:val="left"/>
        <w:textAlignment w:val="auto"/>
        <w:rPr>
          <w:rFonts w:ascii="宋体" w:hAnsi="宋体" w:cs="宋体"/>
          <w:sz w:val="24"/>
          <w:szCs w:val="24"/>
        </w:rPr>
      </w:pPr>
      <w:r>
        <w:rPr>
          <w:rFonts w:hint="eastAsia" w:ascii="宋体" w:hAnsi="宋体" w:cs="宋体"/>
          <w:sz w:val="24"/>
          <w:szCs w:val="24"/>
        </w:rPr>
        <w:t>（6）采购过程中如遇到网络故障、服务器受损、系统服务异常或停电事故等突发情况，导致项目无法正常进行时，按照中心开评标应急预案处理，详见①聊城市公共资源交易中心采购类项目开评标应急预案（暂行）(</w:t>
      </w:r>
      <w:r>
        <w:rPr>
          <w:rFonts w:hint="eastAsia" w:ascii="宋体" w:hAnsi="宋体" w:cs="宋体"/>
          <w:sz w:val="24"/>
          <w:szCs w:val="24"/>
          <w:lang w:val="en-US" w:eastAsia="zh-CN"/>
        </w:rPr>
        <w:t>聊城市公共资源交易中心网（http://ggzyjy.liaocheng.gov.cn）—办事指南—政府采购）</w:t>
      </w:r>
      <w:r>
        <w:rPr>
          <w:rFonts w:hint="eastAsia" w:ascii="宋体" w:hAnsi="宋体" w:cs="宋体"/>
          <w:sz w:val="24"/>
          <w:szCs w:val="24"/>
        </w:rPr>
        <w:t>；②信息技术科公共资源电子交易系统开评标应急预案(聊城市公共资源交易中心网（http://ggzyjy.liaocheng.gov.cn）—办事指南—信息技术科）。</w:t>
      </w:r>
    </w:p>
    <w:p>
      <w:pPr>
        <w:pStyle w:val="18"/>
        <w:rPr>
          <w:rFonts w:ascii="宋体" w:hAnsi="宋体" w:cs="宋体"/>
          <w:sz w:val="24"/>
          <w:szCs w:val="24"/>
        </w:rPr>
      </w:pPr>
      <w:r>
        <w:rPr>
          <w:rFonts w:hint="eastAsia" w:ascii="宋体" w:hAnsi="宋体" w:cs="宋体"/>
          <w:sz w:val="24"/>
          <w:szCs w:val="24"/>
        </w:rPr>
        <w:t>3.重要说明</w:t>
      </w:r>
    </w:p>
    <w:p>
      <w:pPr>
        <w:pStyle w:val="18"/>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公告附件链接的招标文件仅供获取前查看，投标人必须登录新版聊城市公共资源电子交易系统获取并下载正式的招标文件。网上获取文件的成功不代表资格审查的最终通过或合格，投标人最终资格的确认以评标委员会组织的审核结果为准。</w:t>
      </w:r>
    </w:p>
    <w:p>
      <w:pPr>
        <w:pStyle w:val="18"/>
        <w:rPr>
          <w:rFonts w:ascii="宋体" w:hAnsi="宋体" w:cs="宋体"/>
          <w:sz w:val="24"/>
          <w:szCs w:val="24"/>
        </w:rPr>
      </w:pPr>
      <w:r>
        <w:rPr>
          <w:rFonts w:hint="eastAsia" w:ascii="宋体" w:hAnsi="宋体" w:cs="宋体"/>
          <w:sz w:val="24"/>
          <w:szCs w:val="24"/>
        </w:rPr>
        <w:t>（2）本项目采用电子标评审，其中技术标采用明标评审。</w:t>
      </w:r>
    </w:p>
    <w:p>
      <w:pPr>
        <w:pStyle w:val="18"/>
        <w:rPr>
          <w:rFonts w:ascii="宋体" w:hAnsi="宋体" w:cs="宋体"/>
          <w:sz w:val="24"/>
          <w:szCs w:val="24"/>
        </w:rPr>
      </w:pPr>
      <w:r>
        <w:rPr>
          <w:rFonts w:hint="eastAsia" w:ascii="宋体" w:hAnsi="宋体" w:cs="宋体"/>
          <w:sz w:val="24"/>
          <w:szCs w:val="24"/>
        </w:rPr>
        <w:t>（3）温馨提示：投标人可按相关规定申请政府采购合同融资，具体规定、操作流程详见山东省政府采购合同融资与履约保函服务平台（http://www.ccgp-shandong-rz.cn/）。</w:t>
      </w:r>
    </w:p>
    <w:p>
      <w:pPr>
        <w:pStyle w:val="18"/>
        <w:rPr>
          <w:rFonts w:ascii="宋体" w:hAnsi="宋体" w:cs="宋体"/>
          <w:sz w:val="24"/>
          <w:szCs w:val="24"/>
        </w:rPr>
      </w:pPr>
      <w:r>
        <w:rPr>
          <w:rFonts w:hint="eastAsia" w:ascii="宋体" w:hAnsi="宋体" w:cs="宋体"/>
          <w:sz w:val="24"/>
          <w:szCs w:val="24"/>
        </w:rPr>
        <w:t>（4）本项目质疑投诉单位：聊城诚亿项目管理有限公司</w:t>
      </w:r>
    </w:p>
    <w:p>
      <w:pPr>
        <w:pStyle w:val="18"/>
        <w:rPr>
          <w:rFonts w:ascii="宋体" w:hAnsi="宋体" w:cs="宋体"/>
          <w:sz w:val="24"/>
          <w:szCs w:val="24"/>
        </w:rPr>
      </w:pPr>
      <w:r>
        <w:rPr>
          <w:rFonts w:hint="eastAsia" w:ascii="宋体" w:hAnsi="宋体" w:cs="宋体"/>
          <w:sz w:val="24"/>
          <w:szCs w:val="24"/>
        </w:rPr>
        <w:t>质疑投诉单位地址：山东省聊城市东昌府区柳园办事处山水文园16号楼1单元9号商业</w:t>
      </w:r>
    </w:p>
    <w:p>
      <w:pPr>
        <w:pStyle w:val="18"/>
        <w:rPr>
          <w:rFonts w:ascii="宋体" w:hAnsi="宋体" w:cs="宋体"/>
          <w:sz w:val="24"/>
          <w:szCs w:val="24"/>
        </w:rPr>
      </w:pPr>
      <w:r>
        <w:rPr>
          <w:rFonts w:hint="eastAsia" w:ascii="宋体" w:hAnsi="宋体" w:cs="宋体"/>
          <w:sz w:val="24"/>
          <w:szCs w:val="24"/>
        </w:rPr>
        <w:t>联系电话：</w:t>
      </w:r>
      <w:r>
        <w:rPr>
          <w:rFonts w:hint="eastAsia" w:ascii="宋体" w:hAnsi="宋体" w:cs="宋体"/>
          <w:sz w:val="24"/>
          <w:szCs w:val="24"/>
          <w:lang w:val="en-US" w:eastAsia="zh-CN"/>
        </w:rPr>
        <w:t>13371468186</w:t>
      </w:r>
      <w:r>
        <w:rPr>
          <w:rFonts w:hint="eastAsia" w:ascii="宋体" w:hAnsi="宋体" w:cs="宋体"/>
          <w:sz w:val="24"/>
          <w:szCs w:val="24"/>
        </w:rPr>
        <w:t>。</w:t>
      </w:r>
    </w:p>
    <w:p>
      <w:pPr>
        <w:spacing w:line="360" w:lineRule="auto"/>
        <w:rPr>
          <w:rFonts w:hint="eastAsia" w:ascii="宋体" w:hAnsi="宋体" w:eastAsia="宋体" w:cs="宋体"/>
          <w:sz w:val="24"/>
          <w:szCs w:val="24"/>
          <w:lang w:eastAsia="zh-CN"/>
        </w:rPr>
      </w:pPr>
      <w:r>
        <w:rPr>
          <w:rFonts w:hint="eastAsia" w:ascii="宋体" w:hAnsi="宋体" w:cs="宋体"/>
          <w:sz w:val="24"/>
          <w:szCs w:val="24"/>
        </w:rPr>
        <w:t>七、对本次招标提出询问，请按以下方式联系。</w:t>
      </w:r>
    </w:p>
    <w:p>
      <w:pPr>
        <w:spacing w:line="360" w:lineRule="auto"/>
        <w:rPr>
          <w:rFonts w:ascii="宋体" w:hAnsi="宋体" w:cs="宋体"/>
          <w:sz w:val="24"/>
          <w:szCs w:val="24"/>
        </w:rPr>
      </w:pPr>
      <w:r>
        <w:rPr>
          <w:rFonts w:hint="eastAsia" w:ascii="宋体" w:hAnsi="宋体" w:cs="宋体"/>
          <w:sz w:val="24"/>
          <w:szCs w:val="24"/>
        </w:rPr>
        <w:t>1.采购人：</w:t>
      </w:r>
      <w:r>
        <w:rPr>
          <w:rFonts w:hint="eastAsia" w:ascii="宋体" w:hAnsi="宋体" w:cs="宋体"/>
          <w:sz w:val="24"/>
          <w:szCs w:val="24"/>
          <w:lang w:val="en-US" w:eastAsia="zh-CN"/>
        </w:rPr>
        <w:t>聊城</w:t>
      </w:r>
      <w:r>
        <w:rPr>
          <w:rFonts w:hint="eastAsia" w:ascii="宋体" w:hAnsi="宋体" w:cs="宋体"/>
          <w:sz w:val="24"/>
          <w:szCs w:val="24"/>
        </w:rPr>
        <w:t xml:space="preserve">市生态环境局   </w:t>
      </w:r>
    </w:p>
    <w:p>
      <w:pPr>
        <w:spacing w:line="360" w:lineRule="auto"/>
        <w:ind w:firstLine="240" w:firstLineChars="100"/>
        <w:rPr>
          <w:rFonts w:hint="default" w:ascii="宋体" w:hAnsi="宋体" w:eastAsia="宋体" w:cs="宋体"/>
          <w:sz w:val="24"/>
          <w:szCs w:val="24"/>
          <w:lang w:val="en-US" w:eastAsia="zh-CN"/>
        </w:rPr>
      </w:pPr>
      <w:r>
        <w:rPr>
          <w:rFonts w:hint="eastAsia" w:ascii="宋体" w:hAnsi="宋体" w:cs="宋体"/>
          <w:sz w:val="24"/>
          <w:szCs w:val="24"/>
        </w:rPr>
        <w:t>地</w:t>
      </w:r>
      <w:r>
        <w:rPr>
          <w:rFonts w:hint="eastAsia" w:ascii="宋体" w:hAnsi="宋体" w:cs="宋体"/>
          <w:sz w:val="24"/>
          <w:szCs w:val="24"/>
          <w:lang w:val="en-US" w:eastAsia="zh-CN"/>
        </w:rPr>
        <w:t xml:space="preserve">  </w:t>
      </w:r>
      <w:r>
        <w:rPr>
          <w:rFonts w:hint="eastAsia" w:ascii="宋体" w:hAnsi="宋体" w:cs="宋体"/>
          <w:sz w:val="24"/>
          <w:szCs w:val="24"/>
        </w:rPr>
        <w:t>址：聊城市</w:t>
      </w:r>
      <w:r>
        <w:rPr>
          <w:rFonts w:hint="eastAsia" w:ascii="宋体" w:hAnsi="宋体" w:cs="宋体"/>
          <w:sz w:val="24"/>
          <w:szCs w:val="24"/>
          <w:lang w:val="en-US" w:eastAsia="zh-CN"/>
        </w:rPr>
        <w:t xml:space="preserve">东昌府区汇金街17号 </w:t>
      </w:r>
    </w:p>
    <w:p>
      <w:pPr>
        <w:spacing w:line="360" w:lineRule="auto"/>
        <w:rPr>
          <w:rFonts w:ascii="宋体" w:hAnsi="宋体" w:cs="宋体"/>
          <w:sz w:val="24"/>
          <w:szCs w:val="24"/>
          <w:highlight w:val="yellow"/>
        </w:rPr>
      </w:pPr>
      <w:r>
        <w:rPr>
          <w:rFonts w:hint="eastAsia" w:ascii="宋体" w:hAnsi="宋体" w:cs="宋体"/>
          <w:sz w:val="24"/>
          <w:szCs w:val="24"/>
        </w:rPr>
        <w:t>联系人</w:t>
      </w:r>
      <w:r>
        <w:rPr>
          <w:rFonts w:hint="eastAsia" w:ascii="宋体" w:hAnsi="宋体" w:cs="宋体"/>
          <w:color w:val="auto"/>
          <w:sz w:val="24"/>
          <w:szCs w:val="24"/>
        </w:rPr>
        <w:t>：</w:t>
      </w:r>
      <w:r>
        <w:rPr>
          <w:rFonts w:hint="eastAsia" w:ascii="宋体" w:hAnsi="宋体" w:cs="宋体"/>
          <w:color w:val="auto"/>
          <w:sz w:val="24"/>
          <w:szCs w:val="24"/>
          <w:lang w:val="en-US" w:eastAsia="zh-CN"/>
        </w:rPr>
        <w:t>许主任</w:t>
      </w:r>
      <w:r>
        <w:rPr>
          <w:rFonts w:hint="eastAsia" w:ascii="宋体" w:hAnsi="宋体" w:cs="宋体"/>
          <w:color w:val="auto"/>
          <w:sz w:val="24"/>
          <w:szCs w:val="24"/>
        </w:rPr>
        <w:t xml:space="preserve"> </w:t>
      </w:r>
      <w:r>
        <w:rPr>
          <w:rFonts w:hint="eastAsia" w:ascii="宋体" w:hAnsi="宋体" w:cs="宋体"/>
          <w:sz w:val="24"/>
          <w:szCs w:val="24"/>
        </w:rPr>
        <w:t xml:space="preserve">  联系方式：18806350855</w:t>
      </w:r>
    </w:p>
    <w:p>
      <w:pPr>
        <w:spacing w:line="360" w:lineRule="auto"/>
        <w:rPr>
          <w:rFonts w:ascii="宋体" w:hAnsi="宋体" w:cs="宋体"/>
          <w:sz w:val="24"/>
          <w:szCs w:val="24"/>
        </w:rPr>
      </w:pPr>
      <w:r>
        <w:rPr>
          <w:rFonts w:hint="eastAsia" w:ascii="宋体" w:hAnsi="宋体" w:cs="宋体"/>
          <w:sz w:val="24"/>
          <w:szCs w:val="24"/>
        </w:rPr>
        <w:t>2.采购代理机构：聊城诚亿项目管理有限公司</w:t>
      </w:r>
    </w:p>
    <w:p>
      <w:pPr>
        <w:spacing w:line="360" w:lineRule="auto"/>
        <w:rPr>
          <w:rFonts w:ascii="宋体" w:hAnsi="宋体" w:cs="宋体"/>
          <w:sz w:val="24"/>
          <w:szCs w:val="24"/>
        </w:rPr>
      </w:pPr>
      <w:r>
        <w:rPr>
          <w:rFonts w:hint="eastAsia" w:ascii="宋体" w:hAnsi="宋体" w:cs="宋体"/>
          <w:sz w:val="24"/>
          <w:szCs w:val="24"/>
        </w:rPr>
        <w:t>地址：山东省聊城市东昌府区柳园办事处山水文园16号楼1单元9号商业</w:t>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联系人：</w:t>
      </w:r>
      <w:r>
        <w:rPr>
          <w:rFonts w:hint="eastAsia" w:ascii="宋体" w:hAnsi="宋体" w:cs="宋体"/>
          <w:sz w:val="24"/>
          <w:szCs w:val="24"/>
          <w:lang w:val="en-US" w:eastAsia="zh-CN"/>
        </w:rPr>
        <w:t>杜工</w:t>
      </w:r>
      <w:r>
        <w:rPr>
          <w:rFonts w:hint="eastAsia" w:ascii="宋体" w:hAnsi="宋体" w:cs="宋体"/>
          <w:sz w:val="24"/>
          <w:szCs w:val="24"/>
        </w:rPr>
        <w:t xml:space="preserve">    联系方式：</w:t>
      </w:r>
      <w:r>
        <w:rPr>
          <w:rFonts w:hint="eastAsia" w:ascii="宋体" w:hAnsi="宋体" w:cs="宋体"/>
          <w:sz w:val="24"/>
          <w:szCs w:val="24"/>
          <w:lang w:val="en-US" w:eastAsia="zh-CN"/>
        </w:rPr>
        <w:t>13371468186</w:t>
      </w:r>
    </w:p>
    <w:p>
      <w:pPr>
        <w:pStyle w:val="2"/>
        <w:ind w:left="0" w:leftChars="0" w:firstLine="723" w:firstLineChars="300"/>
        <w:rPr>
          <w:rFonts w:ascii="宋体" w:hAnsi="宋体" w:cs="宋体"/>
          <w:b/>
          <w:bCs/>
          <w:sz w:val="24"/>
        </w:rPr>
      </w:pPr>
    </w:p>
    <w:p>
      <w:pPr>
        <w:spacing w:line="360" w:lineRule="auto"/>
        <w:jc w:val="right"/>
        <w:rPr>
          <w:rFonts w:ascii="宋体" w:hAnsi="宋体" w:cs="宋体"/>
          <w:sz w:val="24"/>
          <w:szCs w:val="24"/>
        </w:rPr>
      </w:pPr>
    </w:p>
    <w:p>
      <w:pPr>
        <w:spacing w:line="360" w:lineRule="auto"/>
        <w:jc w:val="right"/>
        <w:rPr>
          <w:rFonts w:ascii="宋体" w:hAnsi="宋体" w:cs="宋体"/>
          <w:sz w:val="24"/>
          <w:szCs w:val="24"/>
        </w:rPr>
      </w:pPr>
      <w:r>
        <w:rPr>
          <w:rFonts w:hint="eastAsia" w:ascii="宋体" w:hAnsi="宋体" w:cs="宋体"/>
          <w:sz w:val="24"/>
          <w:szCs w:val="24"/>
        </w:rPr>
        <w:t>发布人：聊城诚亿项目管理有限公司</w:t>
      </w:r>
    </w:p>
    <w:p>
      <w:pPr>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发布时间</w:t>
      </w:r>
      <w:r>
        <w:rPr>
          <w:rFonts w:hint="eastAsia" w:ascii="宋体" w:hAnsi="宋体" w:cs="宋体"/>
          <w:color w:val="000000" w:themeColor="text1"/>
          <w:sz w:val="24"/>
          <w:szCs w:val="24"/>
          <w:highlight w:val="none"/>
          <w14:textFill>
            <w14:solidFill>
              <w14:schemeClr w14:val="tx1"/>
            </w14:solidFill>
          </w14:textFill>
        </w:rPr>
        <w:t>：2023年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日</w:t>
      </w:r>
      <w:bookmarkEnd w:id="2"/>
      <w:bookmarkEnd w:id="3"/>
      <w:bookmarkEnd w:id="4"/>
      <w:bookmarkEnd w:id="5"/>
    </w:p>
    <w:p>
      <w:pPr>
        <w:pStyle w:val="45"/>
        <w:rPr>
          <w:rFonts w:ascii="宋体" w:hAnsi="宋体" w:cs="宋体"/>
          <w:highlight w:val="none"/>
        </w:rPr>
      </w:pPr>
    </w:p>
    <w:p>
      <w:pPr>
        <w:widowControl/>
        <w:numPr>
          <w:ilvl w:val="0"/>
          <w:numId w:val="0"/>
        </w:numPr>
        <w:spacing w:line="360" w:lineRule="auto"/>
        <w:jc w:val="center"/>
        <w:rPr>
          <w:rFonts w:ascii="宋体" w:hAnsi="宋体" w:cs="宋体"/>
          <w:b/>
          <w:bCs/>
          <w:sz w:val="30"/>
          <w:szCs w:val="30"/>
        </w:rPr>
      </w:pPr>
      <w:r>
        <w:rPr>
          <w:rFonts w:hint="eastAsia" w:ascii="宋体" w:hAnsi="宋体" w:cs="宋体"/>
          <w:b/>
          <w:bCs/>
          <w:kern w:val="44"/>
          <w:sz w:val="32"/>
          <w:szCs w:val="32"/>
        </w:rPr>
        <w:br w:type="page"/>
      </w:r>
      <w:r>
        <w:rPr>
          <w:rFonts w:hint="eastAsia" w:ascii="宋体" w:hAnsi="宋体" w:cs="宋体"/>
          <w:b/>
          <w:bCs/>
          <w:kern w:val="44"/>
          <w:sz w:val="30"/>
          <w:szCs w:val="30"/>
          <w:lang w:val="en-US" w:eastAsia="zh-CN"/>
        </w:rPr>
        <w:t>第二章</w:t>
      </w:r>
      <w:r>
        <w:rPr>
          <w:rFonts w:hint="eastAsia" w:ascii="宋体" w:hAnsi="宋体" w:cs="宋体"/>
          <w:b/>
          <w:bCs/>
          <w:kern w:val="44"/>
          <w:sz w:val="30"/>
          <w:szCs w:val="30"/>
        </w:rPr>
        <w:t xml:space="preserve"> </w:t>
      </w:r>
      <w:bookmarkStart w:id="6" w:name="_Toc5095"/>
      <w:r>
        <w:rPr>
          <w:rStyle w:val="39"/>
          <w:rFonts w:hint="eastAsia" w:ascii="宋体" w:hAnsi="宋体" w:cs="宋体"/>
          <w:sz w:val="30"/>
          <w:szCs w:val="30"/>
        </w:rPr>
        <w:t>投标人须知</w:t>
      </w:r>
      <w:bookmarkEnd w:id="6"/>
    </w:p>
    <w:p>
      <w:pPr>
        <w:jc w:val="center"/>
        <w:rPr>
          <w:rFonts w:ascii="宋体" w:hAnsi="宋体" w:cs="宋体"/>
        </w:rPr>
      </w:pPr>
      <w:r>
        <w:rPr>
          <w:rFonts w:hint="eastAsia" w:ascii="宋体" w:hAnsi="宋体" w:cs="宋体"/>
          <w:b/>
          <w:bCs/>
          <w:sz w:val="24"/>
          <w:szCs w:val="24"/>
        </w:rPr>
        <w:t>投标人须知前附表</w:t>
      </w:r>
    </w:p>
    <w:tbl>
      <w:tblPr>
        <w:tblStyle w:val="22"/>
        <w:tblW w:w="10465" w:type="dxa"/>
        <w:jc w:val="center"/>
        <w:tblLayout w:type="fixed"/>
        <w:tblCellMar>
          <w:top w:w="0" w:type="dxa"/>
          <w:left w:w="108" w:type="dxa"/>
          <w:bottom w:w="0" w:type="dxa"/>
          <w:right w:w="108" w:type="dxa"/>
        </w:tblCellMar>
      </w:tblPr>
      <w:tblGrid>
        <w:gridCol w:w="820"/>
        <w:gridCol w:w="1698"/>
        <w:gridCol w:w="7947"/>
      </w:tblGrid>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b/>
                <w:bCs/>
                <w:sz w:val="24"/>
                <w:szCs w:val="24"/>
              </w:rPr>
            </w:pPr>
            <w:bookmarkStart w:id="7" w:name="_Toc456255157"/>
            <w:bookmarkEnd w:id="7"/>
            <w:r>
              <w:rPr>
                <w:rFonts w:hint="eastAsia" w:ascii="宋体" w:hAnsi="宋体" w:cs="宋体"/>
                <w:b/>
                <w:bCs/>
                <w:sz w:val="24"/>
                <w:szCs w:val="24"/>
              </w:rPr>
              <w:t>项号</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b/>
                <w:bCs/>
                <w:sz w:val="24"/>
                <w:szCs w:val="24"/>
              </w:rPr>
            </w:pPr>
            <w:r>
              <w:rPr>
                <w:rFonts w:hint="eastAsia" w:ascii="宋体" w:hAnsi="宋体" w:cs="宋体"/>
                <w:b/>
                <w:bCs/>
                <w:sz w:val="24"/>
                <w:szCs w:val="24"/>
              </w:rPr>
              <w:t>项目名称</w:t>
            </w:r>
          </w:p>
        </w:tc>
        <w:tc>
          <w:tcPr>
            <w:tcW w:w="7947"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b/>
                <w:bCs/>
                <w:sz w:val="24"/>
                <w:szCs w:val="24"/>
              </w:rPr>
            </w:pPr>
            <w:r>
              <w:rPr>
                <w:rFonts w:hint="eastAsia" w:ascii="宋体" w:hAnsi="宋体" w:cs="宋体"/>
                <w:b/>
                <w:bCs/>
                <w:sz w:val="24"/>
                <w:szCs w:val="24"/>
              </w:rPr>
              <w:t>内容规定</w:t>
            </w:r>
          </w:p>
        </w:tc>
      </w:tr>
      <w:tr>
        <w:tblPrEx>
          <w:tblCellMar>
            <w:top w:w="0" w:type="dxa"/>
            <w:left w:w="108" w:type="dxa"/>
            <w:bottom w:w="0" w:type="dxa"/>
            <w:right w:w="108" w:type="dxa"/>
          </w:tblCellMar>
        </w:tblPrEx>
        <w:trPr>
          <w:trHeight w:val="482"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1</w:t>
            </w:r>
          </w:p>
        </w:tc>
        <w:tc>
          <w:tcPr>
            <w:tcW w:w="1698"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招标人</w:t>
            </w:r>
          </w:p>
        </w:tc>
        <w:tc>
          <w:tcPr>
            <w:tcW w:w="7947" w:type="dxa"/>
            <w:tcBorders>
              <w:top w:val="single" w:color="auto" w:sz="4" w:space="0"/>
              <w:left w:val="nil"/>
              <w:bottom w:val="single" w:color="auto" w:sz="4" w:space="0"/>
              <w:right w:val="single" w:color="auto" w:sz="4" w:space="0"/>
            </w:tcBorders>
            <w:vAlign w:val="center"/>
          </w:tcPr>
          <w:p>
            <w:pPr>
              <w:jc w:val="left"/>
              <w:rPr>
                <w:rFonts w:ascii="宋体" w:hAnsi="宋体" w:cs="宋体"/>
                <w:sz w:val="24"/>
                <w:szCs w:val="24"/>
              </w:rPr>
            </w:pPr>
            <w:r>
              <w:rPr>
                <w:rFonts w:hint="eastAsia" w:ascii="宋体" w:hAnsi="宋体" w:cs="宋体"/>
                <w:sz w:val="24"/>
                <w:szCs w:val="24"/>
                <w:lang w:val="en-US" w:eastAsia="zh-CN"/>
              </w:rPr>
              <w:t>聊城</w:t>
            </w:r>
            <w:r>
              <w:rPr>
                <w:rFonts w:hint="eastAsia" w:ascii="宋体" w:hAnsi="宋体" w:cs="宋体"/>
                <w:sz w:val="24"/>
                <w:szCs w:val="24"/>
              </w:rPr>
              <w:t xml:space="preserve">市生态环境局  </w:t>
            </w:r>
          </w:p>
        </w:tc>
      </w:tr>
      <w:tr>
        <w:tblPrEx>
          <w:tblCellMar>
            <w:top w:w="0" w:type="dxa"/>
            <w:left w:w="108" w:type="dxa"/>
            <w:bottom w:w="0" w:type="dxa"/>
            <w:right w:w="108" w:type="dxa"/>
          </w:tblCellMar>
        </w:tblPrEx>
        <w:trPr>
          <w:trHeight w:val="9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2</w:t>
            </w:r>
          </w:p>
        </w:tc>
        <w:tc>
          <w:tcPr>
            <w:tcW w:w="1698"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szCs w:val="24"/>
              </w:rPr>
            </w:pPr>
            <w:r>
              <w:rPr>
                <w:rFonts w:hint="eastAsia" w:ascii="宋体" w:hAnsi="宋体" w:cs="宋体"/>
                <w:sz w:val="24"/>
                <w:szCs w:val="24"/>
              </w:rPr>
              <w:t>采购代理机构</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采购代理机构：聊城诚亿项目管理有限公司</w:t>
            </w:r>
          </w:p>
          <w:p>
            <w:pPr>
              <w:spacing w:line="360" w:lineRule="auto"/>
              <w:rPr>
                <w:rFonts w:ascii="宋体" w:hAnsi="宋体" w:cs="宋体"/>
                <w:sz w:val="24"/>
                <w:szCs w:val="24"/>
              </w:rPr>
            </w:pPr>
            <w:r>
              <w:rPr>
                <w:rFonts w:hint="eastAsia" w:ascii="宋体" w:hAnsi="宋体" w:cs="宋体"/>
                <w:sz w:val="24"/>
                <w:szCs w:val="24"/>
              </w:rPr>
              <w:t>地址：山东省聊城市东昌府区柳园办事处山水文园16号楼1单元9号商业</w:t>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联系人：</w:t>
            </w:r>
            <w:r>
              <w:rPr>
                <w:rFonts w:hint="eastAsia" w:ascii="宋体" w:hAnsi="宋体" w:cs="宋体"/>
                <w:sz w:val="24"/>
                <w:szCs w:val="24"/>
                <w:lang w:val="en-US" w:eastAsia="zh-CN"/>
              </w:rPr>
              <w:t xml:space="preserve">杜工         </w:t>
            </w:r>
            <w:r>
              <w:rPr>
                <w:rFonts w:hint="eastAsia" w:ascii="宋体" w:hAnsi="宋体" w:cs="宋体"/>
                <w:sz w:val="24"/>
                <w:szCs w:val="24"/>
              </w:rPr>
              <w:t>联系方式：</w:t>
            </w:r>
            <w:r>
              <w:rPr>
                <w:rFonts w:hint="eastAsia" w:ascii="宋体" w:hAnsi="宋体" w:cs="宋体"/>
                <w:sz w:val="24"/>
                <w:szCs w:val="24"/>
                <w:lang w:val="en-US" w:eastAsia="zh-CN"/>
              </w:rPr>
              <w:t>13371468186</w:t>
            </w:r>
          </w:p>
        </w:tc>
      </w:tr>
      <w:tr>
        <w:tblPrEx>
          <w:tblCellMar>
            <w:top w:w="0" w:type="dxa"/>
            <w:left w:w="108" w:type="dxa"/>
            <w:bottom w:w="0" w:type="dxa"/>
            <w:right w:w="108" w:type="dxa"/>
          </w:tblCellMar>
        </w:tblPrEx>
        <w:trPr>
          <w:trHeight w:val="794"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3</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项目主要内容</w:t>
            </w:r>
          </w:p>
        </w:tc>
        <w:tc>
          <w:tcPr>
            <w:tcW w:w="7947" w:type="dxa"/>
            <w:tcBorders>
              <w:top w:val="single" w:color="auto" w:sz="4" w:space="0"/>
              <w:left w:val="nil"/>
              <w:bottom w:val="single" w:color="auto" w:sz="4" w:space="0"/>
              <w:right w:val="single" w:color="auto" w:sz="4" w:space="0"/>
            </w:tcBorders>
            <w:vAlign w:val="center"/>
          </w:tcPr>
          <w:p>
            <w:pPr>
              <w:spacing w:line="240" w:lineRule="auto"/>
              <w:rPr>
                <w:rFonts w:hint="default" w:ascii="宋体" w:hAnsi="宋体" w:eastAsia="宋体" w:cs="宋体"/>
                <w:color w:val="FF0000"/>
                <w:sz w:val="24"/>
                <w:szCs w:val="24"/>
                <w:lang w:val="en-US" w:eastAsia="zh-CN"/>
              </w:rPr>
            </w:pPr>
            <w:r>
              <w:rPr>
                <w:rFonts w:hint="eastAsia"/>
                <w:color w:val="auto"/>
                <w:sz w:val="24"/>
              </w:rPr>
              <w:t>共</w:t>
            </w:r>
            <w:r>
              <w:rPr>
                <w:rFonts w:hint="eastAsia" w:ascii="宋体" w:hAnsi="宋体" w:cs="宋体"/>
                <w:color w:val="auto"/>
                <w:sz w:val="24"/>
              </w:rPr>
              <w:t xml:space="preserve"> </w:t>
            </w:r>
            <w:r>
              <w:rPr>
                <w:rFonts w:hint="eastAsia" w:ascii="宋体" w:hAnsi="宋体" w:cs="宋体"/>
                <w:color w:val="auto"/>
                <w:sz w:val="24"/>
                <w:lang w:val="en-US" w:eastAsia="zh-CN"/>
              </w:rPr>
              <w:t>2</w:t>
            </w:r>
            <w:r>
              <w:rPr>
                <w:rFonts w:hint="eastAsia" w:ascii="宋体" w:hAnsi="宋体" w:cs="宋体"/>
                <w:color w:val="auto"/>
                <w:sz w:val="24"/>
              </w:rPr>
              <w:t xml:space="preserve"> 个包，</w:t>
            </w:r>
            <w:r>
              <w:rPr>
                <w:rFonts w:hint="eastAsia"/>
                <w:sz w:val="24"/>
                <w:szCs w:val="24"/>
                <w:lang w:val="en-US" w:eastAsia="zh-CN"/>
              </w:rPr>
              <w:t>聊城</w:t>
            </w:r>
            <w:r>
              <w:rPr>
                <w:rFonts w:hint="eastAsia"/>
                <w:sz w:val="24"/>
                <w:szCs w:val="24"/>
              </w:rPr>
              <w:t>市非道路移动机械实时定位监控数据服务项目</w:t>
            </w:r>
            <w:r>
              <w:rPr>
                <w:rFonts w:hint="eastAsia"/>
                <w:sz w:val="24"/>
                <w:szCs w:val="24"/>
                <w:lang w:eastAsia="zh-CN"/>
              </w:rPr>
              <w:t>；</w:t>
            </w:r>
            <w:r>
              <w:rPr>
                <w:rFonts w:hint="eastAsia"/>
                <w:sz w:val="24"/>
                <w:szCs w:val="24"/>
                <w:lang w:val="en-US" w:eastAsia="zh-CN"/>
              </w:rPr>
              <w:t>详见项目说明。</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4</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采购方式</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highlight w:val="none"/>
              </w:rPr>
            </w:pPr>
            <w:r>
              <w:rPr>
                <w:rFonts w:hint="eastAsia" w:ascii="宋体" w:hAnsi="宋体" w:cs="宋体"/>
                <w:sz w:val="24"/>
                <w:szCs w:val="24"/>
                <w:highlight w:val="none"/>
              </w:rPr>
              <w:t>公开招标</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5</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资金来源</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财政资金 </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6</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资金落实情况</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已落实</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7</w:t>
            </w:r>
          </w:p>
        </w:tc>
        <w:tc>
          <w:tcPr>
            <w:tcW w:w="1698" w:type="dxa"/>
            <w:tcBorders>
              <w:top w:val="single" w:color="auto" w:sz="4" w:space="0"/>
              <w:left w:val="nil"/>
              <w:bottom w:val="single" w:color="auto" w:sz="4" w:space="0"/>
              <w:right w:val="single" w:color="auto" w:sz="4" w:space="0"/>
            </w:tcBorders>
            <w:vAlign w:val="center"/>
          </w:tcPr>
          <w:p>
            <w:pPr>
              <w:adjustRightInd w:val="0"/>
              <w:snapToGrid w:val="0"/>
              <w:jc w:val="center"/>
              <w:rPr>
                <w:rFonts w:ascii="宋体" w:hAnsi="宋体" w:cs="宋体"/>
                <w:sz w:val="24"/>
                <w:szCs w:val="24"/>
              </w:rPr>
            </w:pPr>
            <w:r>
              <w:rPr>
                <w:rFonts w:hint="eastAsia"/>
                <w:sz w:val="24"/>
                <w:highlight w:val="none"/>
              </w:rPr>
              <w:t xml:space="preserve">预算金额 </w:t>
            </w:r>
          </w:p>
        </w:tc>
        <w:tc>
          <w:tcPr>
            <w:tcW w:w="7947" w:type="dxa"/>
            <w:tcBorders>
              <w:top w:val="single" w:color="auto" w:sz="4" w:space="0"/>
              <w:left w:val="nil"/>
              <w:bottom w:val="single" w:color="auto" w:sz="4" w:space="0"/>
              <w:right w:val="single" w:color="auto" w:sz="4" w:space="0"/>
            </w:tcBorders>
            <w:vAlign w:val="center"/>
          </w:tcPr>
          <w:p>
            <w:pPr>
              <w:pStyle w:val="46"/>
              <w:spacing w:before="2" w:line="360" w:lineRule="auto"/>
              <w:ind w:left="25"/>
              <w:rPr>
                <w:rFonts w:hint="default" w:ascii="宋体" w:hAnsi="宋体" w:eastAsia="宋体"/>
                <w:sz w:val="24"/>
                <w:szCs w:val="24"/>
                <w:lang w:val="en-US" w:eastAsia="zh-CN"/>
              </w:rPr>
            </w:pPr>
            <w:r>
              <w:rPr>
                <w:rFonts w:hint="eastAsia" w:ascii="宋体" w:hAnsi="宋体" w:eastAsia="宋体"/>
                <w:sz w:val="24"/>
                <w:szCs w:val="24"/>
              </w:rPr>
              <w:t>本项目总预算</w:t>
            </w:r>
            <w:r>
              <w:rPr>
                <w:rFonts w:hint="eastAsia" w:ascii="宋体" w:hAnsi="宋体" w:eastAsia="宋体"/>
                <w:sz w:val="24"/>
                <w:szCs w:val="24"/>
                <w:lang w:eastAsia="zh-CN"/>
              </w:rPr>
              <w:t>额</w:t>
            </w:r>
            <w:r>
              <w:rPr>
                <w:rFonts w:hint="eastAsia" w:ascii="宋体" w:hAnsi="宋体" w:eastAsia="宋体"/>
                <w:sz w:val="24"/>
                <w:szCs w:val="24"/>
              </w:rPr>
              <w:t>为</w:t>
            </w:r>
            <w:r>
              <w:rPr>
                <w:rFonts w:hint="eastAsia" w:ascii="宋体" w:hAnsi="宋体" w:eastAsia="宋体"/>
                <w:sz w:val="24"/>
                <w:szCs w:val="24"/>
                <w:lang w:val="en-US" w:eastAsia="zh-CN"/>
              </w:rPr>
              <w:t>397万元；其中包一：198.5万元；包二：198.5万元；</w:t>
            </w:r>
            <w:r>
              <w:rPr>
                <w:rFonts w:hint="eastAsia"/>
                <w:sz w:val="24"/>
                <w:szCs w:val="24"/>
                <w:lang w:val="en-US" w:eastAsia="zh-CN"/>
              </w:rPr>
              <w:t>此项目兼投不兼中。</w:t>
            </w:r>
          </w:p>
          <w:p>
            <w:pPr>
              <w:pStyle w:val="46"/>
              <w:spacing w:before="2" w:line="360" w:lineRule="auto"/>
              <w:ind w:left="25"/>
              <w:rPr>
                <w:rFonts w:hint="eastAsia" w:ascii="宋体" w:hAnsi="宋体" w:eastAsia="宋体" w:cs="宋体"/>
                <w:color w:val="FF0000"/>
                <w:sz w:val="24"/>
                <w:szCs w:val="24"/>
                <w:highlight w:val="yellow"/>
                <w:lang w:eastAsia="zh-CN"/>
              </w:rPr>
            </w:pPr>
            <w:r>
              <w:rPr>
                <w:rFonts w:hint="eastAsia"/>
                <w:color w:val="auto"/>
                <w:sz w:val="24"/>
                <w:highlight w:val="none"/>
              </w:rPr>
              <w:t>投标报价超过招标控制</w:t>
            </w:r>
            <w:r>
              <w:rPr>
                <w:rFonts w:hint="eastAsia"/>
                <w:color w:val="auto"/>
                <w:sz w:val="24"/>
                <w:highlight w:val="none"/>
                <w:lang w:val="en-US" w:eastAsia="zh-CN"/>
              </w:rPr>
              <w:t>价</w:t>
            </w:r>
            <w:r>
              <w:rPr>
                <w:rFonts w:hint="eastAsia"/>
                <w:color w:val="auto"/>
                <w:sz w:val="24"/>
                <w:highlight w:val="none"/>
              </w:rPr>
              <w:t>的均按无效投标处理。</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8</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highlight w:val="none"/>
              </w:rPr>
            </w:pPr>
            <w:r>
              <w:rPr>
                <w:rFonts w:hint="eastAsia" w:ascii="宋体" w:hAnsi="宋体" w:cs="宋体"/>
                <w:sz w:val="24"/>
                <w:szCs w:val="24"/>
                <w:highlight w:val="none"/>
              </w:rPr>
              <w:t>质量标准</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highlight w:val="none"/>
              </w:rPr>
            </w:pPr>
            <w:r>
              <w:rPr>
                <w:sz w:val="24"/>
                <w:highlight w:val="none"/>
              </w:rPr>
              <w:t>合格</w:t>
            </w:r>
            <w:r>
              <w:rPr>
                <w:rFonts w:hint="eastAsia"/>
                <w:sz w:val="24"/>
                <w:highlight w:val="none"/>
                <w:lang w:eastAsia="zh-CN"/>
              </w:rPr>
              <w:t>，</w:t>
            </w:r>
            <w:r>
              <w:rPr>
                <w:rFonts w:hint="eastAsia"/>
                <w:sz w:val="24"/>
                <w:highlight w:val="none"/>
                <w:lang w:val="en-US" w:eastAsia="zh-CN"/>
              </w:rPr>
              <w:t>符合国家相关技术标准</w:t>
            </w:r>
            <w:r>
              <w:rPr>
                <w:sz w:val="24"/>
                <w:highlight w:val="none"/>
              </w:rPr>
              <w:t>。</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9</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服务期限</w:t>
            </w:r>
          </w:p>
        </w:tc>
        <w:tc>
          <w:tcPr>
            <w:tcW w:w="7947" w:type="dxa"/>
            <w:tcBorders>
              <w:top w:val="single" w:color="auto" w:sz="4" w:space="0"/>
              <w:left w:val="nil"/>
              <w:bottom w:val="single" w:color="auto" w:sz="4" w:space="0"/>
              <w:right w:val="single" w:color="auto" w:sz="4" w:space="0"/>
            </w:tcBorders>
            <w:vAlign w:val="center"/>
          </w:tcPr>
          <w:p>
            <w:pPr>
              <w:pStyle w:val="14"/>
              <w:spacing w:line="360" w:lineRule="auto"/>
              <w:rPr>
                <w:rFonts w:hAnsi="宋体"/>
                <w:sz w:val="24"/>
                <w:szCs w:val="24"/>
              </w:rPr>
            </w:pPr>
            <w:r>
              <w:rPr>
                <w:rFonts w:hAnsi="宋体"/>
                <w:sz w:val="24"/>
                <w:szCs w:val="24"/>
                <w:lang w:val="en-US" w:eastAsia="zh-CN"/>
              </w:rPr>
              <w:t xml:space="preserve">自合同签订后，确保平台系统建设完成及包一 </w:t>
            </w:r>
            <w:r>
              <w:rPr>
                <w:rFonts w:hint="eastAsia" w:hAnsi="宋体"/>
                <w:sz w:val="24"/>
                <w:szCs w:val="24"/>
                <w:lang w:val="en-US" w:eastAsia="zh-CN"/>
              </w:rPr>
              <w:t>6000</w:t>
            </w:r>
            <w:r>
              <w:rPr>
                <w:rFonts w:hAnsi="宋体"/>
                <w:sz w:val="24"/>
                <w:szCs w:val="24"/>
                <w:lang w:val="en-US" w:eastAsia="zh-CN"/>
              </w:rPr>
              <w:t xml:space="preserve">台、包二 </w:t>
            </w:r>
            <w:r>
              <w:rPr>
                <w:rFonts w:hint="eastAsia" w:hAnsi="宋体"/>
                <w:sz w:val="24"/>
                <w:szCs w:val="24"/>
                <w:lang w:val="en-US" w:eastAsia="zh-CN"/>
              </w:rPr>
              <w:t>6000</w:t>
            </w:r>
            <w:r>
              <w:rPr>
                <w:rFonts w:hAnsi="宋体"/>
                <w:sz w:val="24"/>
                <w:szCs w:val="24"/>
                <w:lang w:val="en-US" w:eastAsia="zh-CN"/>
              </w:rPr>
              <w:t xml:space="preserve"> 台</w:t>
            </w:r>
            <w:r>
              <w:rPr>
                <w:rFonts w:hint="eastAsia" w:hAnsi="宋体"/>
                <w:sz w:val="24"/>
                <w:szCs w:val="24"/>
                <w:lang w:val="en-US" w:eastAsia="zh-CN"/>
              </w:rPr>
              <w:t>非道路移动机械实时定位监控数据信息按技术规范要求上传至采购人指定的监管平台，项目验收合格后进入运维期，提供 5 年非道路移动机械实时定位监控数据，并提供3年运维服务。</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10</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投标保证金</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无。</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11</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highlight w:val="none"/>
              </w:rPr>
              <w:t>报价要求</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本次报价为一次性报价，不允许转包。总报价应包</w:t>
            </w:r>
            <w:r>
              <w:rPr>
                <w:rFonts w:hint="eastAsia" w:ascii="宋体" w:hAnsi="宋体" w:eastAsia="宋体" w:cs="宋体"/>
                <w:sz w:val="24"/>
                <w:szCs w:val="24"/>
                <w:lang w:val="en-US" w:eastAsia="zh-CN"/>
              </w:rPr>
              <w:t>括</w:t>
            </w:r>
            <w:r>
              <w:rPr>
                <w:rFonts w:hint="eastAsia" w:ascii="宋体" w:hAnsi="宋体" w:eastAsia="宋体" w:cs="宋体"/>
                <w:sz w:val="24"/>
                <w:szCs w:val="24"/>
              </w:rPr>
              <w:t>项目本身所产生的任何费用。投标人应列入而未列入的费用，均视为已包含在投标总价中。</w:t>
            </w:r>
          </w:p>
        </w:tc>
      </w:tr>
      <w:tr>
        <w:tblPrEx>
          <w:tblCellMar>
            <w:top w:w="0" w:type="dxa"/>
            <w:left w:w="108" w:type="dxa"/>
            <w:bottom w:w="0" w:type="dxa"/>
            <w:right w:w="108" w:type="dxa"/>
          </w:tblCellMar>
        </w:tblPrEx>
        <w:trPr>
          <w:trHeight w:val="684"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12</w:t>
            </w:r>
          </w:p>
        </w:tc>
        <w:tc>
          <w:tcPr>
            <w:tcW w:w="1698" w:type="dxa"/>
            <w:tcBorders>
              <w:top w:val="single" w:color="auto" w:sz="4" w:space="0"/>
              <w:left w:val="nil"/>
              <w:bottom w:val="single" w:color="auto" w:sz="4" w:space="0"/>
              <w:right w:val="single" w:color="auto" w:sz="4" w:space="0"/>
            </w:tcBorders>
            <w:vAlign w:val="center"/>
          </w:tcPr>
          <w:p>
            <w:pPr>
              <w:spacing w:line="240" w:lineRule="auto"/>
              <w:jc w:val="center"/>
              <w:rPr>
                <w:rFonts w:ascii="宋体" w:hAnsi="宋体" w:cs="宋体"/>
                <w:sz w:val="24"/>
                <w:szCs w:val="24"/>
              </w:rPr>
            </w:pPr>
            <w:r>
              <w:rPr>
                <w:rFonts w:hint="eastAsia" w:ascii="宋体" w:hAnsi="宋体" w:cs="宋体"/>
                <w:sz w:val="24"/>
                <w:szCs w:val="24"/>
                <w:lang w:val="en-US" w:eastAsia="zh-CN"/>
              </w:rPr>
              <w:t>供应商</w:t>
            </w:r>
            <w:r>
              <w:rPr>
                <w:rFonts w:hint="eastAsia" w:ascii="宋体" w:hAnsi="宋体" w:cs="宋体"/>
                <w:sz w:val="24"/>
                <w:szCs w:val="24"/>
              </w:rPr>
              <w:t>资</w:t>
            </w:r>
            <w:r>
              <w:rPr>
                <w:rFonts w:hint="eastAsia" w:ascii="宋体" w:hAnsi="宋体" w:cs="宋体"/>
                <w:sz w:val="24"/>
                <w:szCs w:val="24"/>
                <w:lang w:val="en-US" w:eastAsia="zh-CN"/>
              </w:rPr>
              <w:t>格</w:t>
            </w:r>
            <w:r>
              <w:rPr>
                <w:rFonts w:hint="eastAsia" w:ascii="宋体" w:hAnsi="宋体" w:cs="宋体"/>
                <w:sz w:val="24"/>
                <w:szCs w:val="24"/>
              </w:rPr>
              <w:t>要求</w:t>
            </w:r>
          </w:p>
        </w:tc>
        <w:tc>
          <w:tcPr>
            <w:tcW w:w="7947" w:type="dxa"/>
            <w:tcBorders>
              <w:top w:val="single" w:color="auto" w:sz="4" w:space="0"/>
              <w:left w:val="nil"/>
              <w:bottom w:val="single" w:color="auto" w:sz="4" w:space="0"/>
              <w:right w:val="single" w:color="auto" w:sz="4" w:space="0"/>
            </w:tcBorders>
            <w:vAlign w:val="center"/>
          </w:tcPr>
          <w:p>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详见招标公告</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13</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是否采用电子评标和技术标评审方式</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bCs/>
                <w:sz w:val="24"/>
                <w:szCs w:val="24"/>
              </w:rPr>
              <w:t>本项目采用电子评标，其中本项目技术标采用明标评审。</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14</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资格审查</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资格后审</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15</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资格审查文件</w:t>
            </w:r>
          </w:p>
        </w:tc>
        <w:tc>
          <w:tcPr>
            <w:tcW w:w="7947" w:type="dxa"/>
            <w:tcBorders>
              <w:top w:val="single" w:color="auto" w:sz="4" w:space="0"/>
              <w:left w:val="nil"/>
              <w:bottom w:val="single" w:color="auto" w:sz="4" w:space="0"/>
              <w:right w:val="single" w:color="auto" w:sz="4" w:space="0"/>
            </w:tcBorders>
            <w:vAlign w:val="center"/>
          </w:tcPr>
          <w:p>
            <w:pPr>
              <w:spacing w:line="360" w:lineRule="auto"/>
              <w:rPr>
                <w:sz w:val="24"/>
              </w:rPr>
            </w:pPr>
            <w:r>
              <w:rPr>
                <w:rFonts w:hint="eastAsia" w:ascii="宋体" w:hAnsi="宋体" w:cs="宋体"/>
                <w:b/>
                <w:sz w:val="24"/>
                <w:szCs w:val="24"/>
                <w:lang w:val="en-US" w:eastAsia="zh-CN"/>
              </w:rPr>
              <w:t>包一、包二</w:t>
            </w:r>
            <w:r>
              <w:rPr>
                <w:rFonts w:hint="eastAsia" w:ascii="宋体" w:hAnsi="宋体" w:cs="宋体"/>
                <w:b/>
                <w:sz w:val="24"/>
                <w:szCs w:val="24"/>
              </w:rPr>
              <w:t>投标文件中提供如下资格审查文件：</w:t>
            </w:r>
          </w:p>
          <w:p>
            <w:pPr>
              <w:pStyle w:val="46"/>
              <w:numPr>
                <w:ilvl w:val="0"/>
                <w:numId w:val="2"/>
              </w:numPr>
              <w:autoSpaceDE w:val="0"/>
              <w:autoSpaceDN w:val="0"/>
              <w:adjustRightInd w:val="0"/>
              <w:snapToGrid w:val="0"/>
              <w:spacing w:line="360" w:lineRule="auto"/>
              <w:rPr>
                <w:sz w:val="24"/>
              </w:rPr>
            </w:pPr>
            <w:r>
              <w:rPr>
                <w:sz w:val="24"/>
              </w:rPr>
              <w:t>营业执照；</w:t>
            </w:r>
          </w:p>
          <w:p>
            <w:pPr>
              <w:pStyle w:val="46"/>
              <w:numPr>
                <w:ilvl w:val="0"/>
                <w:numId w:val="2"/>
              </w:numPr>
              <w:autoSpaceDE w:val="0"/>
              <w:autoSpaceDN w:val="0"/>
              <w:adjustRightInd w:val="0"/>
              <w:snapToGrid w:val="0"/>
              <w:spacing w:line="360" w:lineRule="auto"/>
              <w:rPr>
                <w:sz w:val="24"/>
              </w:rPr>
            </w:pPr>
            <w:r>
              <w:rPr>
                <w:rFonts w:hint="eastAsia"/>
                <w:sz w:val="24"/>
              </w:rPr>
              <w:t>基本开户许可证</w:t>
            </w:r>
            <w:r>
              <w:rPr>
                <w:rFonts w:hint="eastAsia"/>
                <w:sz w:val="24"/>
                <w:lang w:val="en-US" w:eastAsia="zh-CN"/>
              </w:rPr>
              <w:t>扫描件加盖公章</w:t>
            </w:r>
            <w:r>
              <w:rPr>
                <w:rFonts w:hint="eastAsia"/>
                <w:sz w:val="24"/>
              </w:rPr>
              <w:t>或基本存款账户承诺书（含《基本存款账户信息》（具体格式参照附件）；</w:t>
            </w:r>
          </w:p>
          <w:p>
            <w:pPr>
              <w:pStyle w:val="46"/>
              <w:autoSpaceDE w:val="0"/>
              <w:autoSpaceDN w:val="0"/>
              <w:adjustRightInd w:val="0"/>
              <w:snapToGrid w:val="0"/>
              <w:spacing w:line="360" w:lineRule="auto"/>
              <w:rPr>
                <w:bCs/>
                <w:sz w:val="24"/>
                <w:szCs w:val="24"/>
                <w:lang w:val="en-US"/>
              </w:rPr>
            </w:pPr>
            <w:r>
              <w:rPr>
                <w:rFonts w:hint="eastAsia"/>
                <w:spacing w:val="-3"/>
                <w:sz w:val="24"/>
                <w:lang w:val="en-US" w:eastAsia="zh-CN"/>
              </w:rPr>
              <w:t>3</w:t>
            </w:r>
            <w:r>
              <w:rPr>
                <w:rFonts w:hint="eastAsia"/>
                <w:spacing w:val="-3"/>
                <w:sz w:val="24"/>
                <w:lang w:val="en-US"/>
              </w:rPr>
              <w:t>、</w:t>
            </w:r>
            <w:r>
              <w:rPr>
                <w:rFonts w:hint="eastAsia"/>
                <w:bCs/>
                <w:sz w:val="24"/>
                <w:szCs w:val="24"/>
                <w:lang w:val="en-US"/>
              </w:rPr>
              <w:t>财务状况报告。是指提供2022年度财务状况报告证明，财务报告或财务报告表或银行开具的资信证明；（</w:t>
            </w:r>
            <w:r>
              <w:rPr>
                <w:rFonts w:hint="eastAsia"/>
                <w:bCs/>
                <w:sz w:val="24"/>
                <w:szCs w:val="24"/>
                <w:lang w:val="en-US" w:eastAsia="zh-CN"/>
              </w:rPr>
              <w:t>新公司参与投标可提供近期的财务状况证明）</w:t>
            </w:r>
            <w:r>
              <w:rPr>
                <w:rFonts w:hint="eastAsia"/>
                <w:bCs/>
                <w:sz w:val="24"/>
                <w:szCs w:val="24"/>
                <w:lang w:val="en-US"/>
              </w:rPr>
              <w:t>；</w:t>
            </w:r>
          </w:p>
          <w:p>
            <w:pPr>
              <w:pStyle w:val="46"/>
              <w:autoSpaceDE w:val="0"/>
              <w:autoSpaceDN w:val="0"/>
              <w:adjustRightInd w:val="0"/>
              <w:snapToGrid w:val="0"/>
              <w:spacing w:line="360" w:lineRule="auto"/>
              <w:rPr>
                <w:rFonts w:hint="eastAsia" w:eastAsia="宋体"/>
                <w:bCs/>
                <w:sz w:val="24"/>
                <w:szCs w:val="24"/>
                <w:lang w:val="en-US" w:eastAsia="zh-CN"/>
              </w:rPr>
            </w:pPr>
            <w:r>
              <w:rPr>
                <w:rFonts w:hint="eastAsia"/>
                <w:bCs/>
                <w:sz w:val="24"/>
                <w:szCs w:val="24"/>
                <w:lang w:val="en-US" w:eastAsia="zh-CN"/>
              </w:rPr>
              <w:t>4</w:t>
            </w:r>
            <w:r>
              <w:rPr>
                <w:rFonts w:hint="eastAsia"/>
                <w:bCs/>
                <w:sz w:val="24"/>
                <w:szCs w:val="24"/>
                <w:lang w:val="en-US"/>
              </w:rPr>
              <w:t>、</w:t>
            </w:r>
            <w:r>
              <w:rPr>
                <w:rFonts w:hint="eastAsia" w:cs="宋体"/>
                <w:kern w:val="0"/>
                <w:sz w:val="24"/>
                <w:highlight w:val="none"/>
                <w:lang w:val="en-US" w:eastAsia="zh-CN"/>
              </w:rPr>
              <w:t>提供近半年以来（连续三个月）</w:t>
            </w:r>
            <w:r>
              <w:rPr>
                <w:rFonts w:hint="eastAsia" w:ascii="宋体" w:hAnsi="宋体" w:eastAsia="宋体" w:cs="宋体"/>
                <w:kern w:val="0"/>
                <w:sz w:val="24"/>
                <w:highlight w:val="none"/>
              </w:rPr>
              <w:t>依法缴纳税收的证明。</w:t>
            </w:r>
            <w:r>
              <w:rPr>
                <w:rFonts w:hint="eastAsia" w:cs="宋体"/>
                <w:kern w:val="0"/>
                <w:sz w:val="24"/>
                <w:highlight w:val="none"/>
                <w:lang w:eastAsia="zh-CN"/>
              </w:rPr>
              <w:t>是</w:t>
            </w:r>
            <w:r>
              <w:rPr>
                <w:rFonts w:hint="eastAsia" w:ascii="宋体" w:hAnsi="宋体" w:eastAsia="宋体" w:cs="宋体"/>
                <w:kern w:val="0"/>
                <w:sz w:val="24"/>
                <w:highlight w:val="none"/>
              </w:rPr>
              <w:t>指提供本单位</w:t>
            </w:r>
            <w:r>
              <w:rPr>
                <w:rFonts w:hint="eastAsia" w:ascii="宋体" w:hAnsi="宋体" w:eastAsia="宋体" w:cs="宋体"/>
                <w:kern w:val="0"/>
                <w:sz w:val="24"/>
                <w:highlight w:val="none"/>
                <w:lang w:val="en-US" w:eastAsia="zh-CN"/>
              </w:rPr>
              <w:t>近</w:t>
            </w:r>
            <w:r>
              <w:rPr>
                <w:rFonts w:hint="eastAsia" w:ascii="宋体" w:hAnsi="宋体" w:eastAsia="宋体" w:cs="宋体"/>
                <w:kern w:val="0"/>
                <w:sz w:val="24"/>
                <w:highlight w:val="none"/>
              </w:rPr>
              <w:t>的缴税证明，为税务部门出具的完税凭证或交税证明或银行出具的“银行电子缴税付款凭证”</w:t>
            </w:r>
            <w:r>
              <w:rPr>
                <w:rFonts w:hint="eastAsia" w:cs="宋体"/>
                <w:kern w:val="0"/>
                <w:sz w:val="24"/>
                <w:highlight w:val="none"/>
                <w:lang w:eastAsia="zh-CN"/>
              </w:rPr>
              <w:t>；</w:t>
            </w:r>
          </w:p>
          <w:p>
            <w:pPr>
              <w:spacing w:line="360" w:lineRule="auto"/>
              <w:rPr>
                <w:rFonts w:ascii="宋体" w:hAnsi="宋体" w:cs="宋体"/>
                <w:bCs/>
                <w:sz w:val="24"/>
                <w:szCs w:val="24"/>
              </w:rPr>
            </w:pPr>
            <w:r>
              <w:rPr>
                <w:rFonts w:hint="eastAsia" w:ascii="宋体" w:hAnsi="宋体" w:cs="宋体"/>
                <w:bCs/>
                <w:sz w:val="24"/>
                <w:szCs w:val="24"/>
                <w:lang w:val="en-US" w:eastAsia="zh-CN"/>
              </w:rPr>
              <w:t>5</w:t>
            </w:r>
            <w:r>
              <w:rPr>
                <w:rFonts w:hint="eastAsia" w:ascii="宋体" w:hAnsi="宋体" w:cs="宋体"/>
                <w:bCs/>
                <w:sz w:val="24"/>
                <w:szCs w:val="24"/>
              </w:rPr>
              <w:t>、</w:t>
            </w:r>
            <w:r>
              <w:rPr>
                <w:rFonts w:hint="eastAsia" w:cs="宋体"/>
                <w:kern w:val="0"/>
                <w:sz w:val="24"/>
                <w:highlight w:val="none"/>
                <w:lang w:val="en-US" w:eastAsia="zh-CN"/>
              </w:rPr>
              <w:t>提供近半年以来（连续三个月）</w:t>
            </w:r>
            <w:r>
              <w:rPr>
                <w:rFonts w:hint="eastAsia" w:ascii="宋体" w:hAnsi="宋体" w:eastAsia="宋体" w:cs="宋体"/>
                <w:kern w:val="0"/>
                <w:sz w:val="24"/>
                <w:highlight w:val="none"/>
              </w:rPr>
              <w:t>依法缴纳社会保障资金</w:t>
            </w:r>
            <w:r>
              <w:rPr>
                <w:rFonts w:hint="eastAsia" w:ascii="宋体" w:hAnsi="宋体" w:cs="宋体"/>
                <w:kern w:val="0"/>
                <w:sz w:val="24"/>
                <w:highlight w:val="none"/>
                <w:lang w:eastAsia="zh-CN"/>
              </w:rPr>
              <w:t>的</w:t>
            </w:r>
            <w:r>
              <w:rPr>
                <w:rFonts w:hint="eastAsia" w:ascii="宋体" w:hAnsi="宋体" w:eastAsia="宋体" w:cs="宋体"/>
                <w:kern w:val="0"/>
                <w:sz w:val="24"/>
                <w:highlight w:val="none"/>
              </w:rPr>
              <w:t>证明。指社会保障主管部门出具</w:t>
            </w:r>
            <w:r>
              <w:rPr>
                <w:rFonts w:hint="eastAsia" w:ascii="宋体" w:hAnsi="宋体" w:eastAsia="宋体" w:cs="宋体"/>
                <w:kern w:val="0"/>
                <w:sz w:val="24"/>
                <w:highlight w:val="none"/>
                <w:lang w:val="en-US" w:eastAsia="zh-CN"/>
              </w:rPr>
              <w:t>的</w:t>
            </w:r>
            <w:r>
              <w:rPr>
                <w:rFonts w:hint="eastAsia" w:ascii="宋体" w:hAnsi="宋体" w:eastAsia="宋体" w:cs="宋体"/>
                <w:kern w:val="0"/>
                <w:sz w:val="24"/>
                <w:highlight w:val="none"/>
              </w:rPr>
              <w:t>本单位</w:t>
            </w:r>
            <w:r>
              <w:rPr>
                <w:rFonts w:hint="eastAsia" w:ascii="宋体" w:hAnsi="宋体" w:cs="宋体"/>
                <w:kern w:val="0"/>
                <w:sz w:val="24"/>
                <w:highlight w:val="none"/>
                <w:lang w:val="en-US" w:eastAsia="zh-CN"/>
              </w:rPr>
              <w:t>职工</w:t>
            </w:r>
            <w:r>
              <w:rPr>
                <w:rFonts w:hint="eastAsia" w:ascii="宋体" w:hAnsi="宋体" w:eastAsia="宋体" w:cs="宋体"/>
                <w:kern w:val="0"/>
                <w:sz w:val="24"/>
                <w:highlight w:val="none"/>
              </w:rPr>
              <w:t>社会保障缴纳证明或社会保障缴费清单；</w:t>
            </w:r>
          </w:p>
          <w:p>
            <w:pPr>
              <w:pStyle w:val="18"/>
              <w:rPr>
                <w:spacing w:val="-3"/>
                <w:sz w:val="24"/>
              </w:rPr>
            </w:pPr>
            <w:r>
              <w:rPr>
                <w:rFonts w:hint="eastAsia" w:ascii="宋体" w:hAnsi="宋体" w:cs="宋体"/>
                <w:bCs/>
                <w:sz w:val="24"/>
                <w:szCs w:val="24"/>
                <w:lang w:val="en-US" w:eastAsia="zh-CN"/>
              </w:rPr>
              <w:t>6</w:t>
            </w:r>
            <w:r>
              <w:rPr>
                <w:rFonts w:hint="eastAsia" w:ascii="宋体" w:hAnsi="宋体" w:cs="宋体"/>
                <w:bCs/>
                <w:sz w:val="24"/>
                <w:szCs w:val="24"/>
              </w:rPr>
              <w:t>、法定代表人的授权委托书及授权代表的身份证；若法定代表人参加，仅提供法定代表人的身份证扫描件；</w:t>
            </w:r>
            <w:r>
              <w:rPr>
                <w:rFonts w:hint="eastAsia"/>
                <w:spacing w:val="-3"/>
                <w:sz w:val="24"/>
              </w:rPr>
              <w:t>（格式见附件）；</w:t>
            </w:r>
          </w:p>
          <w:p>
            <w:pPr>
              <w:spacing w:line="360" w:lineRule="auto"/>
              <w:rPr>
                <w:rFonts w:hint="eastAsia" w:eastAsia="宋体"/>
                <w:lang w:eastAsia="zh-CN"/>
              </w:rPr>
            </w:pPr>
            <w:r>
              <w:rPr>
                <w:rFonts w:hint="eastAsia" w:ascii="宋体" w:hAnsi="宋体" w:cs="宋体"/>
                <w:bCs/>
                <w:sz w:val="24"/>
                <w:szCs w:val="24"/>
                <w:lang w:val="en-US" w:eastAsia="zh-CN"/>
              </w:rPr>
              <w:t>7</w:t>
            </w:r>
            <w:r>
              <w:rPr>
                <w:rFonts w:hint="eastAsia" w:ascii="宋体" w:hAnsi="宋体" w:cs="宋体"/>
                <w:bCs/>
                <w:sz w:val="24"/>
                <w:szCs w:val="24"/>
              </w:rPr>
              <w:t>、具备履行合同所必需的设备和专业技术能力的证明材料。是指提供主要生产设备、检验设备表和主要技术、管理、服务人员数量表。格式见附件《履行合同的设备技术能力证明表》；</w:t>
            </w:r>
          </w:p>
          <w:p>
            <w:pPr>
              <w:spacing w:line="360" w:lineRule="auto"/>
              <w:rPr>
                <w:rFonts w:ascii="宋体" w:hAnsi="宋体" w:cs="宋体"/>
                <w:bCs/>
                <w:sz w:val="24"/>
                <w:szCs w:val="24"/>
              </w:rPr>
            </w:pPr>
            <w:r>
              <w:rPr>
                <w:rFonts w:hint="eastAsia" w:ascii="宋体" w:hAnsi="宋体" w:cs="宋体"/>
                <w:bCs/>
                <w:sz w:val="24"/>
                <w:szCs w:val="24"/>
                <w:lang w:val="en-US" w:eastAsia="zh-CN"/>
              </w:rPr>
              <w:t>8</w:t>
            </w:r>
            <w:r>
              <w:rPr>
                <w:rFonts w:hint="eastAsia" w:ascii="宋体" w:hAnsi="宋体" w:cs="宋体"/>
                <w:bCs/>
                <w:sz w:val="24"/>
                <w:szCs w:val="24"/>
              </w:rPr>
              <w:t>、参加政府采购活动前3年内在经营活动中没有重大违法记录的书面声明和</w:t>
            </w:r>
            <w:r>
              <w:rPr>
                <w:rFonts w:hint="eastAsia" w:ascii="宋体" w:hAnsi="宋体" w:cs="宋体"/>
                <w:sz w:val="24"/>
                <w:szCs w:val="24"/>
              </w:rPr>
              <w:t>信用记录承诺</w:t>
            </w:r>
            <w:r>
              <w:rPr>
                <w:rFonts w:hint="eastAsia" w:ascii="宋体" w:hAnsi="宋体" w:cs="宋体"/>
                <w:bCs/>
                <w:sz w:val="24"/>
                <w:szCs w:val="24"/>
              </w:rPr>
              <w:t>。格式按附件《无重大违规违法声明》和《信用记录承诺》；</w:t>
            </w:r>
          </w:p>
          <w:p>
            <w:pPr>
              <w:pStyle w:val="46"/>
              <w:autoSpaceDE w:val="0"/>
              <w:autoSpaceDN w:val="0"/>
              <w:adjustRightInd w:val="0"/>
              <w:snapToGrid w:val="0"/>
              <w:spacing w:line="360" w:lineRule="auto"/>
              <w:rPr>
                <w:spacing w:val="-3"/>
                <w:sz w:val="24"/>
                <w:lang w:val="en-US"/>
              </w:rPr>
            </w:pPr>
            <w:r>
              <w:rPr>
                <w:rFonts w:hint="eastAsia"/>
                <w:spacing w:val="-3"/>
                <w:sz w:val="24"/>
                <w:lang w:val="en-US" w:eastAsia="zh-CN"/>
              </w:rPr>
              <w:t>9</w:t>
            </w:r>
            <w:r>
              <w:rPr>
                <w:rFonts w:hint="eastAsia"/>
                <w:spacing w:val="-3"/>
                <w:sz w:val="24"/>
                <w:lang w:val="en-US"/>
              </w:rPr>
              <w:t>、</w:t>
            </w:r>
            <w:r>
              <w:rPr>
                <w:rFonts w:hint="eastAsia"/>
                <w:bCs/>
                <w:sz w:val="24"/>
                <w:szCs w:val="24"/>
                <w:lang w:val="en-US"/>
              </w:rPr>
              <w:t>中小企业声明函（格式见附件）</w:t>
            </w:r>
          </w:p>
          <w:p>
            <w:pPr>
              <w:pStyle w:val="46"/>
              <w:autoSpaceDE w:val="0"/>
              <w:autoSpaceDN w:val="0"/>
              <w:adjustRightInd w:val="0"/>
              <w:snapToGrid w:val="0"/>
              <w:spacing w:line="360" w:lineRule="auto"/>
              <w:rPr>
                <w:spacing w:val="-3"/>
                <w:sz w:val="24"/>
                <w:lang w:val="en-US"/>
              </w:rPr>
            </w:pPr>
            <w:r>
              <w:rPr>
                <w:rFonts w:hint="eastAsia"/>
                <w:sz w:val="24"/>
                <w:szCs w:val="24"/>
              </w:rPr>
              <w:t>重要说明：</w:t>
            </w:r>
            <w:r>
              <w:rPr>
                <w:rFonts w:hint="eastAsia"/>
                <w:spacing w:val="-3"/>
                <w:sz w:val="24"/>
                <w:lang w:val="en-US"/>
              </w:rPr>
              <w:t>1.资格审查采用资格后审，</w:t>
            </w:r>
            <w:r>
              <w:rPr>
                <w:rFonts w:hint="eastAsia"/>
                <w:spacing w:val="-3"/>
                <w:sz w:val="24"/>
                <w:lang w:val="en-US" w:eastAsia="zh-CN"/>
              </w:rPr>
              <w:t>以上传至电子响应文件中的原件扫描件或清晰照片为准</w:t>
            </w:r>
            <w:r>
              <w:rPr>
                <w:rFonts w:hint="eastAsia"/>
                <w:spacing w:val="-3"/>
                <w:sz w:val="24"/>
                <w:lang w:val="en-US"/>
              </w:rPr>
              <w:t>。</w:t>
            </w:r>
          </w:p>
          <w:p>
            <w:pPr>
              <w:pStyle w:val="46"/>
              <w:autoSpaceDE w:val="0"/>
              <w:autoSpaceDN w:val="0"/>
              <w:adjustRightInd w:val="0"/>
              <w:snapToGrid w:val="0"/>
              <w:spacing w:line="360" w:lineRule="auto"/>
              <w:rPr>
                <w:spacing w:val="-3"/>
                <w:sz w:val="24"/>
                <w:lang w:val="en-US"/>
              </w:rPr>
            </w:pPr>
            <w:r>
              <w:rPr>
                <w:rFonts w:hint="eastAsia"/>
                <w:spacing w:val="-3"/>
                <w:sz w:val="24"/>
                <w:lang w:val="en-US"/>
              </w:rPr>
              <w:t>2.电子标书制作，资格审查的 1-</w:t>
            </w:r>
            <w:r>
              <w:rPr>
                <w:rFonts w:hint="eastAsia"/>
                <w:spacing w:val="-3"/>
                <w:sz w:val="24"/>
                <w:lang w:val="en-US" w:eastAsia="zh-CN"/>
              </w:rPr>
              <w:t xml:space="preserve">5 </w:t>
            </w:r>
            <w:r>
              <w:rPr>
                <w:rFonts w:hint="eastAsia"/>
                <w:spacing w:val="-3"/>
                <w:sz w:val="24"/>
                <w:lang w:val="en-US"/>
              </w:rPr>
              <w:t>项</w:t>
            </w:r>
            <w:r>
              <w:rPr>
                <w:rFonts w:hint="eastAsia"/>
                <w:spacing w:val="-3"/>
                <w:sz w:val="24"/>
                <w:lang w:val="en-US" w:eastAsia="zh-CN"/>
              </w:rPr>
              <w:t>原件扫描件可导入word版本上传至电子标书中；6</w:t>
            </w:r>
            <w:r>
              <w:rPr>
                <w:rFonts w:hint="eastAsia"/>
                <w:spacing w:val="-3"/>
                <w:sz w:val="24"/>
                <w:lang w:val="en-US"/>
              </w:rPr>
              <w:t>-</w:t>
            </w:r>
            <w:r>
              <w:rPr>
                <w:rFonts w:hint="eastAsia"/>
                <w:spacing w:val="-3"/>
                <w:sz w:val="24"/>
                <w:lang w:val="en-US" w:eastAsia="zh-CN"/>
              </w:rPr>
              <w:t>9</w:t>
            </w:r>
            <w:r>
              <w:rPr>
                <w:rFonts w:hint="eastAsia"/>
                <w:spacing w:val="-3"/>
                <w:sz w:val="24"/>
                <w:lang w:val="en-US"/>
              </w:rPr>
              <w:t xml:space="preserve"> 项，应按招标文件规定格式填写</w:t>
            </w:r>
            <w:r>
              <w:rPr>
                <w:rFonts w:hint="eastAsia"/>
                <w:spacing w:val="-3"/>
                <w:sz w:val="24"/>
                <w:lang w:val="en-US" w:eastAsia="zh-CN"/>
              </w:rPr>
              <w:t>并签字盖章后（电子签章具有同等法律效力），</w:t>
            </w:r>
            <w:r>
              <w:rPr>
                <w:rFonts w:hint="eastAsia"/>
                <w:spacing w:val="-3"/>
                <w:sz w:val="24"/>
                <w:highlight w:val="none"/>
                <w:lang w:val="en-US"/>
              </w:rPr>
              <w:t>直接上传</w:t>
            </w:r>
            <w:r>
              <w:rPr>
                <w:rFonts w:hint="eastAsia"/>
                <w:spacing w:val="-3"/>
                <w:sz w:val="24"/>
                <w:highlight w:val="none"/>
                <w:lang w:val="en-US" w:eastAsia="zh-CN"/>
              </w:rPr>
              <w:t>至电子标书系统中，电子标书中资格审查项获取的所有扫描件均为原件扫描件或彩色照片，否则不予认可。</w:t>
            </w:r>
            <w:r>
              <w:rPr>
                <w:rFonts w:hint="eastAsia"/>
                <w:spacing w:val="-3"/>
                <w:sz w:val="24"/>
                <w:lang w:val="en-US"/>
              </w:rPr>
              <w:t>涉及打分的，不予计算，资格审查的，不予通过。</w:t>
            </w:r>
          </w:p>
          <w:p>
            <w:pPr>
              <w:pStyle w:val="46"/>
              <w:autoSpaceDE w:val="0"/>
              <w:autoSpaceDN w:val="0"/>
              <w:adjustRightInd w:val="0"/>
              <w:snapToGrid w:val="0"/>
              <w:spacing w:line="360" w:lineRule="auto"/>
              <w:rPr>
                <w:spacing w:val="-3"/>
                <w:sz w:val="24"/>
                <w:lang w:val="en-US"/>
              </w:rPr>
            </w:pPr>
            <w:r>
              <w:rPr>
                <w:rFonts w:hint="eastAsia"/>
                <w:spacing w:val="-3"/>
                <w:sz w:val="24"/>
                <w:lang w:val="en-US"/>
              </w:rPr>
              <w:t>3.投标企业未按上述 1-2 项重要说明的要求提供材料、证件或制作电子标书的，作无效标处理。</w:t>
            </w:r>
          </w:p>
          <w:p>
            <w:pPr>
              <w:pStyle w:val="46"/>
              <w:autoSpaceDE w:val="0"/>
              <w:autoSpaceDN w:val="0"/>
              <w:adjustRightInd w:val="0"/>
              <w:snapToGrid w:val="0"/>
              <w:spacing w:line="360" w:lineRule="auto"/>
              <w:rPr>
                <w:spacing w:val="-3"/>
                <w:sz w:val="24"/>
                <w:lang w:val="en-US"/>
              </w:rPr>
            </w:pPr>
            <w:r>
              <w:rPr>
                <w:rFonts w:hint="eastAsia"/>
                <w:spacing w:val="-3"/>
                <w:sz w:val="24"/>
                <w:lang w:val="en-US" w:eastAsia="zh-CN"/>
              </w:rPr>
              <w:t>4</w:t>
            </w:r>
            <w:r>
              <w:rPr>
                <w:rFonts w:hint="eastAsia"/>
                <w:spacing w:val="-3"/>
                <w:sz w:val="24"/>
                <w:lang w:val="en-US"/>
              </w:rPr>
              <w:t>.供应商制作响应文件，无相应模块，上传至“投标所需其他材料”。</w:t>
            </w:r>
          </w:p>
          <w:p>
            <w:pPr>
              <w:spacing w:line="360" w:lineRule="auto"/>
              <w:rPr>
                <w:rFonts w:ascii="宋体" w:hAnsi="宋体" w:cs="宋体"/>
                <w:sz w:val="24"/>
                <w:szCs w:val="24"/>
              </w:rPr>
            </w:pPr>
            <w:r>
              <w:rPr>
                <w:rFonts w:hint="eastAsia" w:ascii="宋体" w:hAnsi="宋体" w:cs="宋体"/>
                <w:spacing w:val="-3"/>
                <w:sz w:val="24"/>
                <w:lang w:val="en-US" w:bidi="zh-CN"/>
              </w:rPr>
              <w:t>5</w:t>
            </w:r>
            <w:r>
              <w:rPr>
                <w:rFonts w:hint="eastAsia" w:ascii="宋体" w:hAnsi="宋体" w:cs="宋体"/>
                <w:spacing w:val="-3"/>
                <w:sz w:val="24"/>
                <w:lang w:bidi="zh-CN"/>
              </w:rPr>
              <w:t>.</w:t>
            </w:r>
            <w:r>
              <w:rPr>
                <w:rFonts w:hint="eastAsia"/>
                <w:spacing w:val="-3"/>
                <w:sz w:val="24"/>
              </w:rPr>
              <w:t>因本项目执行不见面开标，需将【资格审查表】加盖单位公章后上传至响应文件指定位置或其他材料中，否则不予认定其资格，作无效标处理。</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16</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踏勘现场</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b/>
                <w:sz w:val="24"/>
                <w:szCs w:val="24"/>
              </w:rPr>
            </w:pPr>
            <w:r>
              <w:rPr>
                <w:rFonts w:hint="eastAsia" w:ascii="宋体" w:hAnsi="宋体" w:cs="宋体"/>
                <w:sz w:val="24"/>
                <w:szCs w:val="24"/>
              </w:rPr>
              <w:t>本项目不安排统一踏勘现场，请各投标人自行踏勘。</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17</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 </w:t>
            </w:r>
            <w:r>
              <w:rPr>
                <w:rFonts w:hint="eastAsia" w:ascii="宋体" w:hAnsi="宋体" w:eastAsia="宋体" w:cs="宋体"/>
                <w:b w:val="0"/>
                <w:bCs w:val="0"/>
                <w:sz w:val="24"/>
                <w:szCs w:val="24"/>
                <w:lang w:val="en-US" w:eastAsia="zh-CN"/>
              </w:rPr>
              <w:t>投标</w:t>
            </w:r>
            <w:r>
              <w:rPr>
                <w:rFonts w:hint="eastAsia" w:ascii="宋体" w:hAnsi="宋体" w:eastAsia="宋体" w:cs="宋体"/>
                <w:b w:val="0"/>
                <w:bCs w:val="0"/>
                <w:sz w:val="24"/>
                <w:szCs w:val="24"/>
              </w:rPr>
              <w:t>有效期</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90日历天</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val="0"/>
                <w:bCs w:val="0"/>
                <w:sz w:val="24"/>
                <w:szCs w:val="24"/>
              </w:rPr>
            </w:pPr>
            <w:r>
              <w:rPr>
                <w:rFonts w:hint="eastAsia" w:ascii="宋体" w:hAnsi="宋体" w:cs="宋体"/>
                <w:b w:val="0"/>
                <w:bCs w:val="0"/>
                <w:sz w:val="24"/>
                <w:szCs w:val="24"/>
              </w:rPr>
              <w:t>18</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cs="宋体"/>
                <w:b w:val="0"/>
                <w:bCs w:val="0"/>
                <w:sz w:val="24"/>
                <w:szCs w:val="24"/>
                <w:highlight w:val="none"/>
                <w:lang w:val="en-US"/>
              </w:rPr>
            </w:pPr>
            <w:r>
              <w:rPr>
                <w:rFonts w:hint="default" w:ascii="宋体" w:hAnsi="宋体" w:cs="宋体"/>
                <w:b w:val="0"/>
                <w:bCs w:val="0"/>
                <w:sz w:val="24"/>
                <w:szCs w:val="24"/>
                <w:highlight w:val="none"/>
                <w:lang w:val="en-US"/>
              </w:rPr>
              <w:t>付款方式</w:t>
            </w:r>
          </w:p>
        </w:tc>
        <w:tc>
          <w:tcPr>
            <w:tcW w:w="7947" w:type="dxa"/>
            <w:tcBorders>
              <w:top w:val="single" w:color="auto" w:sz="4" w:space="0"/>
              <w:left w:val="nil"/>
              <w:bottom w:val="single" w:color="auto" w:sz="4" w:space="0"/>
              <w:right w:val="single" w:color="auto" w:sz="4" w:space="0"/>
            </w:tcBorders>
            <w:vAlign w:val="center"/>
          </w:tcPr>
          <w:p>
            <w:pPr>
              <w:spacing w:line="360" w:lineRule="auto"/>
              <w:jc w:val="both"/>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合同签订后支付合同额的30%，验收合格后支付合同额的40%，合同金额的30%作为服务运维费，分3年按运维考核结果分期支付。支付第三年运维服务费前，供应商需再支付2年流量费，否则不予支付第三年度运维服务费。</w:t>
            </w:r>
          </w:p>
          <w:p>
            <w:pPr>
              <w:spacing w:line="360" w:lineRule="auto"/>
              <w:jc w:val="both"/>
              <w:rPr>
                <w:rFonts w:ascii="宋体" w:hAnsi="宋体" w:cs="宋体"/>
                <w:b w:val="0"/>
                <w:bCs w:val="0"/>
                <w:sz w:val="24"/>
                <w:szCs w:val="24"/>
                <w:highlight w:val="none"/>
              </w:rPr>
            </w:pPr>
            <w:r>
              <w:rPr>
                <w:rFonts w:hint="eastAsia" w:ascii="宋体" w:hAnsi="宋体" w:cs="宋体"/>
                <w:b w:val="0"/>
                <w:bCs w:val="0"/>
                <w:sz w:val="24"/>
                <w:szCs w:val="24"/>
                <w:highlight w:val="none"/>
                <w:lang w:val="en-US" w:eastAsia="zh-CN"/>
              </w:rPr>
              <w:t>2、进入运维期后，定位装置年度在线率大于70%（含）支付合同金额的10%，定位装置年度在线率大于60%（含）小于70%支付合同金额的8%，定位装置年度在线率大于50%（含）小于60%支付合同金额的6%,定位装置年度在线率小于50%，视为考核不合格，不予支付运维费。</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19</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代理服务费</w:t>
            </w:r>
          </w:p>
        </w:tc>
        <w:tc>
          <w:tcPr>
            <w:tcW w:w="7947" w:type="dxa"/>
            <w:tcBorders>
              <w:top w:val="single" w:color="auto" w:sz="4" w:space="0"/>
              <w:left w:val="nil"/>
              <w:bottom w:val="single" w:color="auto" w:sz="4" w:space="0"/>
              <w:right w:val="single" w:color="auto" w:sz="4" w:space="0"/>
            </w:tcBorders>
            <w:vAlign w:val="center"/>
          </w:tcPr>
          <w:p>
            <w:pPr>
              <w:pStyle w:val="48"/>
              <w:spacing w:line="360" w:lineRule="auto"/>
              <w:rPr>
                <w:rFonts w:ascii="宋体" w:hAnsi="宋体" w:cs="宋体"/>
                <w:sz w:val="24"/>
                <w:szCs w:val="24"/>
              </w:rPr>
            </w:pPr>
            <w:r>
              <w:rPr>
                <w:rFonts w:hint="eastAsia" w:ascii="宋体" w:hAnsi="宋体" w:cs="宋体"/>
                <w:sz w:val="24"/>
                <w:szCs w:val="24"/>
                <w:highlight w:val="none"/>
              </w:rPr>
              <w:t>自中标结果公告之日起 5 个工作日内由成交投标人参照发改价格[2011]534号文件规定的服务类标准向采购代理机构交纳代理费。请在签订合同前将采购代理服务费电汇至招标代理机构账户。</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20</w:t>
            </w:r>
          </w:p>
        </w:tc>
        <w:tc>
          <w:tcPr>
            <w:tcW w:w="1698" w:type="dxa"/>
            <w:tcBorders>
              <w:top w:val="single" w:color="auto" w:sz="4" w:space="0"/>
              <w:left w:val="nil"/>
              <w:bottom w:val="single" w:color="auto" w:sz="4" w:space="0"/>
              <w:right w:val="single" w:color="auto" w:sz="4" w:space="0"/>
            </w:tcBorders>
            <w:vAlign w:val="center"/>
          </w:tcPr>
          <w:p>
            <w:pPr>
              <w:pStyle w:val="48"/>
              <w:spacing w:line="360" w:lineRule="auto"/>
              <w:jc w:val="center"/>
              <w:rPr>
                <w:rFonts w:ascii="宋体" w:hAnsi="宋体" w:cs="宋体"/>
                <w:sz w:val="24"/>
                <w:szCs w:val="24"/>
              </w:rPr>
            </w:pPr>
            <w:r>
              <w:rPr>
                <w:rFonts w:hint="eastAsia" w:ascii="宋体" w:hAnsi="宋体" w:cs="宋体"/>
                <w:sz w:val="24"/>
                <w:szCs w:val="24"/>
              </w:rPr>
              <w:t>答疑安排</w:t>
            </w:r>
          </w:p>
        </w:tc>
        <w:tc>
          <w:tcPr>
            <w:tcW w:w="7947" w:type="dxa"/>
            <w:tcBorders>
              <w:top w:val="single" w:color="auto" w:sz="4" w:space="0"/>
              <w:left w:val="nil"/>
              <w:bottom w:val="single" w:color="auto" w:sz="4" w:space="0"/>
              <w:right w:val="single" w:color="auto" w:sz="4" w:space="0"/>
            </w:tcBorders>
            <w:vAlign w:val="center"/>
          </w:tcPr>
          <w:p>
            <w:pPr>
              <w:pStyle w:val="48"/>
              <w:spacing w:line="360" w:lineRule="auto"/>
              <w:rPr>
                <w:rFonts w:hint="eastAsia" w:ascii="宋体" w:hAnsi="宋体" w:eastAsia="宋体" w:cs="宋体"/>
                <w:sz w:val="24"/>
                <w:szCs w:val="24"/>
                <w:lang w:eastAsia="zh-CN"/>
              </w:rPr>
            </w:pPr>
            <w:r>
              <w:rPr>
                <w:rFonts w:hint="eastAsia" w:ascii="宋体" w:hAnsi="宋体" w:cs="宋体"/>
                <w:sz w:val="24"/>
                <w:szCs w:val="24"/>
              </w:rPr>
              <w:t>一、投标人提交疑问时间：</w:t>
            </w:r>
            <w:r>
              <w:rPr>
                <w:rFonts w:hint="eastAsia" w:ascii="宋体" w:hAnsi="宋体" w:cs="宋体"/>
                <w:kern w:val="0"/>
                <w:sz w:val="24"/>
              </w:rPr>
              <w:t>获取招标文件截止时间1日内；</w:t>
            </w:r>
          </w:p>
          <w:p>
            <w:pPr>
              <w:pStyle w:val="48"/>
              <w:spacing w:line="360" w:lineRule="auto"/>
              <w:rPr>
                <w:rFonts w:ascii="宋体" w:hAnsi="宋体" w:cs="宋体"/>
                <w:sz w:val="24"/>
                <w:szCs w:val="24"/>
              </w:rPr>
            </w:pPr>
            <w:r>
              <w:rPr>
                <w:rFonts w:hint="eastAsia" w:ascii="宋体" w:hAnsi="宋体" w:cs="宋体"/>
                <w:sz w:val="24"/>
                <w:szCs w:val="24"/>
              </w:rPr>
              <w:t>投标企业对招标文件、踏勘现场有询问或者疑问，需招标人解答或者答疑时，</w:t>
            </w:r>
            <w:r>
              <w:rPr>
                <w:rFonts w:hint="eastAsia" w:ascii="宋体" w:hAnsi="宋体" w:cs="宋体"/>
                <w:kern w:val="0"/>
                <w:sz w:val="24"/>
              </w:rPr>
              <w:t>应于获取招标文件截止时间1日内</w:t>
            </w:r>
            <w:r>
              <w:rPr>
                <w:rFonts w:hint="eastAsia" w:ascii="宋体" w:hAnsi="宋体" w:cs="宋体"/>
                <w:sz w:val="24"/>
                <w:szCs w:val="24"/>
              </w:rPr>
              <w:t>，可选择直接联系代理公司或者在平台系统内提问等形式提出疑问，其中系统发起的提问不得透漏投标企业的名称和联系方式；直接联系代理公司的，应以加盖投标人公章的书面文件提出，同时将电子版文件以电子邮件的形式发送至lccyxmgl@163.com。</w:t>
            </w:r>
          </w:p>
          <w:p>
            <w:pPr>
              <w:pStyle w:val="48"/>
              <w:spacing w:line="360" w:lineRule="auto"/>
              <w:rPr>
                <w:rFonts w:ascii="宋体" w:hAnsi="宋体" w:cs="宋体"/>
                <w:b/>
                <w:sz w:val="24"/>
                <w:szCs w:val="24"/>
                <w:u w:val="single"/>
              </w:rPr>
            </w:pPr>
            <w:r>
              <w:rPr>
                <w:rFonts w:hint="eastAsia" w:ascii="宋体" w:hAnsi="宋体" w:cs="宋体"/>
                <w:sz w:val="24"/>
                <w:szCs w:val="24"/>
              </w:rPr>
              <w:t>二、我代理机构根据项目的实际情况或投标人提出的问题，决定是否对招标文件进行澄清说明或补充修改，澄清说明或者补充修改在中国山东政府采购网（http://www.ccgp-shandong.gov.cn）、聊城市公共资源交易网上报名系统中发布，发布之日即视为已通知所有获取招标文件的投标人，各投标企业应随时关注报名项目信息并及时登录中国山东政府采购网（http://www.ccgp-shandong.gov.cn）、聊城市公共资源交易系统下载电子版各类澄清答疑，否则所造成的一切后果由投标人自负。补充文件作为招标文件的组成部分，对所有投标人具有最终约束力。另投标人务必把最新的澄清文件导入到电子投标文件制作工具中，否则无法生成最新的投标文件。</w:t>
            </w:r>
          </w:p>
          <w:p>
            <w:pPr>
              <w:pStyle w:val="48"/>
              <w:spacing w:line="360" w:lineRule="auto"/>
              <w:rPr>
                <w:rFonts w:ascii="宋体" w:hAnsi="宋体" w:cs="宋体"/>
                <w:sz w:val="24"/>
                <w:szCs w:val="24"/>
              </w:rPr>
            </w:pPr>
            <w:r>
              <w:rPr>
                <w:rFonts w:hint="eastAsia" w:ascii="宋体" w:hAnsi="宋体" w:cs="宋体"/>
                <w:sz w:val="24"/>
                <w:szCs w:val="24"/>
              </w:rPr>
              <w:t>三、投标企业未在规定时间内提出询问或者疑问，视为认同招标文件以及答疑文件内的所有要求，投标企业未按照招标文件、解答或者答疑要求投标的，后果自负。</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21</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投标文件份数</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加密文件1份，为.lctf文件，在会员系统中上传；</w:t>
            </w:r>
          </w:p>
          <w:p>
            <w:pPr>
              <w:spacing w:line="360" w:lineRule="auto"/>
              <w:rPr>
                <w:rFonts w:ascii="宋体" w:hAnsi="宋体" w:cs="宋体"/>
                <w:sz w:val="24"/>
                <w:szCs w:val="24"/>
              </w:rPr>
            </w:pPr>
            <w:r>
              <w:rPr>
                <w:rFonts w:hint="eastAsia" w:ascii="宋体" w:hAnsi="宋体" w:cs="宋体"/>
                <w:sz w:val="24"/>
                <w:szCs w:val="24"/>
              </w:rPr>
              <w:t>中标人应在中标通知书发出后三日内提交四份胶装的系统内生成的 PDF 版纸质标书，并加盖公章。</w:t>
            </w:r>
          </w:p>
        </w:tc>
      </w:tr>
      <w:tr>
        <w:tblPrEx>
          <w:tblCellMar>
            <w:top w:w="0" w:type="dxa"/>
            <w:left w:w="108" w:type="dxa"/>
            <w:bottom w:w="0" w:type="dxa"/>
            <w:right w:w="108" w:type="dxa"/>
          </w:tblCellMar>
        </w:tblPrEx>
        <w:trPr>
          <w:trHeight w:val="2267"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22</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递交投标文件的形式</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1、将电子投标文件（加密版，后缀名格式为LCTF）传送到聊城市公共资源交易网会员系统投标文件上传栏目；</w:t>
            </w:r>
          </w:p>
          <w:p>
            <w:pPr>
              <w:spacing w:line="360" w:lineRule="auto"/>
              <w:rPr>
                <w:rFonts w:ascii="宋体" w:hAnsi="宋体" w:cs="宋体"/>
                <w:sz w:val="24"/>
                <w:szCs w:val="24"/>
              </w:rPr>
            </w:pPr>
            <w:r>
              <w:rPr>
                <w:rFonts w:hint="eastAsia" w:ascii="宋体" w:hAnsi="宋体" w:cs="宋体"/>
                <w:sz w:val="24"/>
                <w:szCs w:val="24"/>
              </w:rPr>
              <w:t>2、开标当日投标人不必抵达开标现场，仅需登录聊城市公共资源交易中心不见面开标大厅参与开标会议；开标前登录网上不见面开标大厅，完成签到工作。</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23</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开标时间</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详见招标公告。</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24</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评标方法</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b/>
                <w:sz w:val="24"/>
                <w:szCs w:val="24"/>
              </w:rPr>
            </w:pPr>
            <w:r>
              <w:rPr>
                <w:sz w:val="24"/>
              </w:rPr>
              <w:t xml:space="preserve">综合评分法，详见招标文件第四部分。 </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25</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履约保证金</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无</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26</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电子投标文件签章要求</w:t>
            </w:r>
          </w:p>
        </w:tc>
        <w:tc>
          <w:tcPr>
            <w:tcW w:w="7947"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投标文件封面、开标一览表及电子招标文件规定的其他应签章处。未按要求进行签章的投标文件，作无效标处理。</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27</w:t>
            </w:r>
          </w:p>
        </w:tc>
        <w:tc>
          <w:tcPr>
            <w:tcW w:w="1698" w:type="dxa"/>
            <w:tcBorders>
              <w:top w:val="single" w:color="auto" w:sz="4" w:space="0"/>
              <w:left w:val="nil"/>
              <w:bottom w:val="single" w:color="auto" w:sz="4" w:space="0"/>
              <w:right w:val="single" w:color="auto" w:sz="4" w:space="0"/>
            </w:tcBorders>
            <w:vAlign w:val="center"/>
          </w:tcPr>
          <w:p>
            <w:pPr>
              <w:spacing w:line="360" w:lineRule="auto"/>
              <w:ind w:firstLine="120" w:firstLineChars="50"/>
              <w:jc w:val="center"/>
              <w:rPr>
                <w:rFonts w:ascii="宋体" w:hAnsi="宋体" w:cs="宋体"/>
                <w:b/>
                <w:bCs/>
                <w:sz w:val="24"/>
                <w:szCs w:val="24"/>
              </w:rPr>
            </w:pPr>
            <w:r>
              <w:rPr>
                <w:rFonts w:hint="eastAsia" w:ascii="宋体" w:hAnsi="宋体" w:cs="宋体"/>
                <w:bCs/>
                <w:kern w:val="0"/>
                <w:sz w:val="24"/>
                <w:szCs w:val="24"/>
              </w:rPr>
              <w:t>开标形式</w:t>
            </w:r>
          </w:p>
        </w:tc>
        <w:tc>
          <w:tcPr>
            <w:tcW w:w="7947" w:type="dxa"/>
            <w:tcBorders>
              <w:top w:val="single" w:color="auto" w:sz="4" w:space="0"/>
              <w:left w:val="nil"/>
              <w:bottom w:val="single" w:color="auto" w:sz="4" w:space="0"/>
              <w:right w:val="single" w:color="auto" w:sz="4" w:space="0"/>
            </w:tcBorders>
            <w:vAlign w:val="center"/>
          </w:tcPr>
          <w:p>
            <w:pPr>
              <w:spacing w:line="360" w:lineRule="auto"/>
              <w:jc w:val="left"/>
              <w:rPr>
                <w:rFonts w:ascii="宋体" w:hAnsi="宋体" w:cs="宋体"/>
                <w:sz w:val="24"/>
                <w:szCs w:val="24"/>
              </w:rPr>
            </w:pPr>
            <w:r>
              <w:rPr>
                <w:rFonts w:hint="eastAsia" w:ascii="宋体" w:hAnsi="宋体" w:cs="宋体"/>
                <w:sz w:val="24"/>
                <w:szCs w:val="24"/>
              </w:rPr>
              <w:t>1.签到时间：投标企业需在开标前登录不见面开标大厅，并完成签到工作，未在开标前完成签到的投标被拒绝且投标文件被退回。</w:t>
            </w:r>
          </w:p>
          <w:p>
            <w:pPr>
              <w:spacing w:line="360" w:lineRule="auto"/>
              <w:jc w:val="left"/>
              <w:rPr>
                <w:rFonts w:ascii="宋体" w:hAnsi="宋体" w:cs="宋体"/>
                <w:sz w:val="24"/>
                <w:szCs w:val="24"/>
              </w:rPr>
            </w:pPr>
            <w:r>
              <w:rPr>
                <w:rFonts w:hint="eastAsia" w:ascii="宋体" w:hAnsi="宋体" w:cs="宋体"/>
                <w:sz w:val="24"/>
                <w:szCs w:val="24"/>
              </w:rPr>
              <w:t xml:space="preserve">2.解密时间：投标企业需提前60分钟登录不见面开标大厅，因投标人自身原因导致在规定的解密时间（从投标人解密环节开始计时，每个投标人限30分钟）内解密失败的，其投标被拒绝且投标文件被退回。 </w:t>
            </w:r>
          </w:p>
          <w:p>
            <w:pPr>
              <w:spacing w:line="360" w:lineRule="auto"/>
              <w:jc w:val="left"/>
              <w:rPr>
                <w:rFonts w:ascii="宋体" w:hAnsi="宋体" w:cs="宋体"/>
                <w:sz w:val="24"/>
                <w:szCs w:val="24"/>
              </w:rPr>
            </w:pPr>
            <w:r>
              <w:rPr>
                <w:rFonts w:hint="eastAsia" w:ascii="宋体" w:hAnsi="宋体" w:cs="宋体"/>
                <w:sz w:val="24"/>
                <w:szCs w:val="24"/>
              </w:rPr>
              <w:t>3.投标企业对线上投标文件开启过程和开标记录有异议的， 可在不见面开标大厅互动交流板块提出并询问，如未提出异议视为认同开标结果。</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28</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电子招投标的应急措施</w:t>
            </w:r>
          </w:p>
        </w:tc>
        <w:tc>
          <w:tcPr>
            <w:tcW w:w="7947" w:type="dxa"/>
            <w:tcBorders>
              <w:top w:val="single" w:color="auto" w:sz="4" w:space="0"/>
              <w:left w:val="nil"/>
              <w:bottom w:val="single" w:color="auto" w:sz="4" w:space="0"/>
              <w:right w:val="single" w:color="auto" w:sz="4" w:space="0"/>
            </w:tcBorders>
            <w:vAlign w:val="center"/>
          </w:tcPr>
          <w:p>
            <w:pPr>
              <w:spacing w:line="360" w:lineRule="auto"/>
              <w:jc w:val="left"/>
              <w:rPr>
                <w:rFonts w:ascii="宋体" w:hAnsi="宋体" w:cs="宋体"/>
                <w:sz w:val="24"/>
                <w:szCs w:val="24"/>
              </w:rPr>
            </w:pPr>
            <w:r>
              <w:rPr>
                <w:rFonts w:hint="eastAsia" w:ascii="宋体" w:hAnsi="宋体" w:cs="宋体"/>
                <w:sz w:val="24"/>
                <w:szCs w:val="24"/>
              </w:rPr>
              <w:t>不见面开标的应急措施：</w:t>
            </w:r>
          </w:p>
          <w:p>
            <w:pPr>
              <w:spacing w:line="360" w:lineRule="auto"/>
              <w:jc w:val="left"/>
              <w:rPr>
                <w:rFonts w:ascii="宋体" w:hAnsi="宋体" w:cs="宋体"/>
                <w:sz w:val="24"/>
                <w:szCs w:val="24"/>
              </w:rPr>
            </w:pPr>
            <w:r>
              <w:rPr>
                <w:rFonts w:hint="eastAsia" w:ascii="宋体" w:hAnsi="宋体" w:cs="宋体"/>
                <w:sz w:val="24"/>
                <w:szCs w:val="24"/>
              </w:rPr>
              <w:t>在不见面开标过程中，如出现下列原因，导致系统无法正常运行或无法正常评标时，应采取应急措施。</w:t>
            </w:r>
          </w:p>
          <w:p>
            <w:pPr>
              <w:spacing w:line="360" w:lineRule="auto"/>
              <w:jc w:val="left"/>
              <w:rPr>
                <w:rFonts w:ascii="宋体" w:hAnsi="宋体" w:cs="宋体"/>
                <w:sz w:val="24"/>
                <w:szCs w:val="24"/>
              </w:rPr>
            </w:pPr>
            <w:r>
              <w:rPr>
                <w:rFonts w:hint="eastAsia" w:ascii="宋体" w:hAnsi="宋体" w:cs="宋体"/>
                <w:sz w:val="24"/>
                <w:szCs w:val="24"/>
              </w:rPr>
              <w:t>（1）系统服务器发生故障，无法访问或无法使用系统；</w:t>
            </w:r>
          </w:p>
          <w:p>
            <w:pPr>
              <w:spacing w:line="360" w:lineRule="auto"/>
              <w:jc w:val="left"/>
              <w:rPr>
                <w:rFonts w:ascii="宋体" w:hAnsi="宋体" w:cs="宋体"/>
                <w:sz w:val="24"/>
                <w:szCs w:val="24"/>
              </w:rPr>
            </w:pPr>
            <w:r>
              <w:rPr>
                <w:rFonts w:hint="eastAsia" w:ascii="宋体" w:hAnsi="宋体" w:cs="宋体"/>
                <w:sz w:val="24"/>
                <w:szCs w:val="24"/>
              </w:rPr>
              <w:t>（2）系统的软件或数据库出现错误，不能进行正常操作；</w:t>
            </w:r>
          </w:p>
          <w:p>
            <w:pPr>
              <w:spacing w:line="360" w:lineRule="auto"/>
              <w:jc w:val="left"/>
              <w:rPr>
                <w:rFonts w:ascii="宋体" w:hAnsi="宋体" w:cs="宋体"/>
                <w:sz w:val="24"/>
                <w:szCs w:val="24"/>
              </w:rPr>
            </w:pPr>
            <w:r>
              <w:rPr>
                <w:rFonts w:hint="eastAsia" w:ascii="宋体" w:hAnsi="宋体" w:cs="宋体"/>
                <w:sz w:val="24"/>
                <w:szCs w:val="24"/>
              </w:rPr>
              <w:t>（3）系统发现有安全漏洞，有潜在的泄密危险；</w:t>
            </w:r>
          </w:p>
          <w:p>
            <w:pPr>
              <w:spacing w:line="360" w:lineRule="auto"/>
              <w:jc w:val="left"/>
              <w:rPr>
                <w:rFonts w:ascii="宋体" w:hAnsi="宋体" w:cs="宋体"/>
                <w:sz w:val="24"/>
                <w:szCs w:val="24"/>
              </w:rPr>
            </w:pPr>
            <w:r>
              <w:rPr>
                <w:rFonts w:hint="eastAsia" w:ascii="宋体" w:hAnsi="宋体" w:cs="宋体"/>
                <w:sz w:val="24"/>
                <w:szCs w:val="24"/>
              </w:rPr>
              <w:t>（4）病毒发作或受到外来病毒的攻击；</w:t>
            </w:r>
          </w:p>
          <w:p>
            <w:pPr>
              <w:spacing w:line="360" w:lineRule="auto"/>
              <w:jc w:val="left"/>
              <w:rPr>
                <w:rFonts w:ascii="宋体" w:hAnsi="宋体" w:cs="宋体"/>
                <w:sz w:val="24"/>
                <w:szCs w:val="24"/>
              </w:rPr>
            </w:pPr>
            <w:r>
              <w:rPr>
                <w:rFonts w:hint="eastAsia" w:ascii="宋体" w:hAnsi="宋体" w:cs="宋体"/>
                <w:sz w:val="24"/>
                <w:szCs w:val="24"/>
              </w:rPr>
              <w:t>（5）电力系统发生故障导致交易系统无法运行的；</w:t>
            </w:r>
          </w:p>
          <w:p>
            <w:pPr>
              <w:spacing w:line="360" w:lineRule="auto"/>
              <w:jc w:val="left"/>
              <w:rPr>
                <w:rFonts w:ascii="宋体" w:hAnsi="宋体" w:cs="宋体"/>
                <w:sz w:val="24"/>
                <w:szCs w:val="24"/>
              </w:rPr>
            </w:pPr>
            <w:r>
              <w:rPr>
                <w:rFonts w:hint="eastAsia" w:ascii="宋体" w:hAnsi="宋体" w:cs="宋体"/>
                <w:sz w:val="24"/>
                <w:szCs w:val="24"/>
              </w:rPr>
              <w:t>（6）出现其他非投标人（供应商）原因导致开标活动无法正常进行的不可抗拒的客观原因造成开评标系统无法正常使用；</w:t>
            </w:r>
          </w:p>
          <w:p>
            <w:pPr>
              <w:spacing w:line="360" w:lineRule="auto"/>
              <w:jc w:val="left"/>
              <w:rPr>
                <w:rFonts w:ascii="宋体" w:hAnsi="宋体" w:cs="宋体"/>
                <w:sz w:val="24"/>
                <w:szCs w:val="24"/>
              </w:rPr>
            </w:pPr>
            <w:r>
              <w:rPr>
                <w:rFonts w:hint="eastAsia" w:ascii="宋体" w:hAnsi="宋体" w:cs="宋体"/>
                <w:sz w:val="24"/>
                <w:szCs w:val="24"/>
              </w:rPr>
              <w:t>对于不能及时解决的，应由招标（采购）人、监管部门和交易中心及时进行协商。可以采取以下办法处理：</w:t>
            </w:r>
          </w:p>
          <w:p>
            <w:pPr>
              <w:spacing w:line="360" w:lineRule="auto"/>
              <w:jc w:val="left"/>
              <w:rPr>
                <w:rFonts w:ascii="宋体" w:hAnsi="宋体" w:cs="宋体"/>
                <w:sz w:val="24"/>
                <w:szCs w:val="24"/>
              </w:rPr>
            </w:pPr>
            <w:r>
              <w:rPr>
                <w:rFonts w:hint="eastAsia" w:ascii="宋体" w:hAnsi="宋体" w:cs="宋体"/>
                <w:sz w:val="24"/>
                <w:szCs w:val="24"/>
              </w:rPr>
              <w:t>（1）项目暂停，系统或网络故障在三个小时内排除并通过可靠测试的，恢复系统运行并重新启动在系统中实施暂停的项目开标；</w:t>
            </w:r>
          </w:p>
          <w:p>
            <w:pPr>
              <w:spacing w:line="360" w:lineRule="auto"/>
              <w:jc w:val="left"/>
              <w:rPr>
                <w:rFonts w:ascii="宋体" w:hAnsi="宋体" w:cs="宋体"/>
                <w:sz w:val="24"/>
                <w:szCs w:val="24"/>
              </w:rPr>
            </w:pPr>
            <w:r>
              <w:rPr>
                <w:rFonts w:hint="eastAsia" w:ascii="宋体" w:hAnsi="宋体" w:cs="宋体"/>
                <w:sz w:val="24"/>
                <w:szCs w:val="24"/>
              </w:rPr>
              <w:t>（2）系统或网络故障在三个小时内未能排除的，已在线解密的，继续进行开标或视情况另行通知不见面开标时间；未解密的，另行通知不见面开标时间。</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29</w:t>
            </w:r>
          </w:p>
        </w:tc>
        <w:tc>
          <w:tcPr>
            <w:tcW w:w="169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b/>
                <w:sz w:val="24"/>
                <w:szCs w:val="24"/>
              </w:rPr>
            </w:pPr>
            <w:r>
              <w:rPr>
                <w:rFonts w:hint="eastAsia" w:ascii="宋体" w:hAnsi="宋体" w:cs="宋体"/>
                <w:bCs/>
                <w:sz w:val="24"/>
                <w:szCs w:val="24"/>
              </w:rPr>
              <w:t>备注</w:t>
            </w:r>
          </w:p>
        </w:tc>
        <w:tc>
          <w:tcPr>
            <w:tcW w:w="7947" w:type="dxa"/>
            <w:tcBorders>
              <w:top w:val="single" w:color="auto" w:sz="4" w:space="0"/>
              <w:left w:val="nil"/>
              <w:bottom w:val="single" w:color="auto" w:sz="4" w:space="0"/>
              <w:right w:val="single" w:color="auto" w:sz="4" w:space="0"/>
            </w:tcBorders>
          </w:tcPr>
          <w:p>
            <w:pPr>
              <w:pStyle w:val="48"/>
              <w:spacing w:line="360" w:lineRule="auto"/>
              <w:rPr>
                <w:rFonts w:ascii="宋体" w:hAnsi="宋体" w:cs="宋体"/>
                <w:sz w:val="24"/>
                <w:szCs w:val="24"/>
              </w:rPr>
            </w:pPr>
            <w:r>
              <w:rPr>
                <w:rFonts w:hint="eastAsia" w:ascii="宋体" w:hAnsi="宋体" w:cs="宋体"/>
                <w:sz w:val="24"/>
                <w:szCs w:val="24"/>
              </w:rPr>
              <w:t>1、获取招标文件的成功不代表资格审查的最终通过或合格，投标人最终资格的确认以最后的资格后审为准。</w:t>
            </w:r>
          </w:p>
          <w:p>
            <w:pPr>
              <w:pStyle w:val="48"/>
              <w:spacing w:line="360" w:lineRule="auto"/>
              <w:rPr>
                <w:rFonts w:ascii="宋体" w:hAnsi="宋体" w:cs="宋体"/>
                <w:sz w:val="24"/>
                <w:szCs w:val="24"/>
              </w:rPr>
            </w:pPr>
            <w:r>
              <w:rPr>
                <w:rFonts w:hint="eastAsia" w:ascii="宋体" w:hAnsi="宋体" w:cs="宋体"/>
                <w:sz w:val="24"/>
                <w:szCs w:val="24"/>
              </w:rPr>
              <w:t>2、本次招标文件以中国山东政府采购网、聊城市公共资源交易平台系统内获取下载的为准，各投标企业需及时查看系统内澄清答疑情况，澄清答疑后的文件为最终文件。电子评标答疑文件的格式为.lccf，请投标人务必把最新的澄清文件导入到投标文件制作工具中，否则无法生成最新投标文件。</w:t>
            </w:r>
          </w:p>
          <w:p>
            <w:pPr>
              <w:pStyle w:val="48"/>
              <w:spacing w:line="360" w:lineRule="auto"/>
              <w:rPr>
                <w:rFonts w:ascii="宋体" w:hAnsi="宋体" w:cs="宋体"/>
                <w:sz w:val="24"/>
                <w:szCs w:val="24"/>
              </w:rPr>
            </w:pPr>
            <w:r>
              <w:rPr>
                <w:rFonts w:hint="eastAsia" w:ascii="宋体" w:hAnsi="宋体" w:cs="宋体"/>
                <w:sz w:val="24"/>
                <w:szCs w:val="24"/>
              </w:rPr>
              <w:t>3、严禁投标企业借用他人资质投标，如经发现取消投标资格，骗取中标的中标无效，给招标人造成损失的依法承担赔偿责任、构成犯罪的依法追究刑事责任。</w:t>
            </w:r>
          </w:p>
          <w:p>
            <w:pPr>
              <w:pStyle w:val="48"/>
              <w:wordWrap w:val="0"/>
              <w:spacing w:line="360" w:lineRule="auto"/>
              <w:rPr>
                <w:rFonts w:ascii="宋体" w:hAnsi="宋体" w:cs="宋体"/>
                <w:sz w:val="24"/>
                <w:szCs w:val="24"/>
              </w:rPr>
            </w:pPr>
            <w:r>
              <w:rPr>
                <w:rFonts w:hint="eastAsia" w:ascii="宋体" w:hAnsi="宋体" w:cs="宋体"/>
                <w:sz w:val="24"/>
                <w:szCs w:val="24"/>
              </w:rPr>
              <w:t>4、投标人可按相关规定申请政府采购合同融资，具体规定、操作流程详见山东省政府采购合同融资与履约保函服务平台（http://www.ccgp-shandong-rz.cn/）。</w:t>
            </w:r>
          </w:p>
          <w:p>
            <w:pPr>
              <w:pStyle w:val="48"/>
              <w:spacing w:line="360" w:lineRule="auto"/>
              <w:rPr>
                <w:rFonts w:ascii="宋体" w:hAnsi="宋体" w:cs="宋体"/>
                <w:sz w:val="24"/>
                <w:szCs w:val="24"/>
              </w:rPr>
            </w:pPr>
            <w:r>
              <w:rPr>
                <w:rFonts w:hint="eastAsia" w:ascii="宋体" w:hAnsi="宋体" w:cs="宋体"/>
                <w:sz w:val="24"/>
                <w:szCs w:val="24"/>
              </w:rPr>
              <w:t>5、本项目采用电子评标，其中本项目技术标采用明标评审。</w:t>
            </w:r>
          </w:p>
          <w:p>
            <w:pPr>
              <w:pStyle w:val="48"/>
              <w:spacing w:line="360" w:lineRule="auto"/>
              <w:rPr>
                <w:rFonts w:ascii="宋体" w:hAnsi="宋体" w:cs="宋体"/>
                <w:sz w:val="24"/>
                <w:szCs w:val="24"/>
              </w:rPr>
            </w:pPr>
            <w:r>
              <w:rPr>
                <w:rFonts w:hint="eastAsia" w:ascii="宋体" w:hAnsi="宋体" w:cs="宋体"/>
                <w:b/>
                <w:bCs/>
                <w:sz w:val="24"/>
                <w:szCs w:val="24"/>
              </w:rPr>
              <w:t>另：电子标书的制作，获取的该企业的所有扫描件均为原件</w:t>
            </w:r>
            <w:r>
              <w:rPr>
                <w:rFonts w:hint="eastAsia" w:ascii="宋体" w:hAnsi="宋体" w:cs="宋体"/>
                <w:b/>
                <w:bCs/>
                <w:sz w:val="24"/>
                <w:szCs w:val="24"/>
                <w:lang w:eastAsia="zh-CN"/>
              </w:rPr>
              <w:t>的</w:t>
            </w:r>
            <w:r>
              <w:rPr>
                <w:rFonts w:hint="eastAsia" w:ascii="宋体" w:hAnsi="宋体" w:cs="宋体"/>
                <w:b/>
                <w:bCs/>
                <w:sz w:val="24"/>
                <w:szCs w:val="24"/>
                <w:lang w:val="en-US" w:eastAsia="zh-CN"/>
              </w:rPr>
              <w:t>彩色</w:t>
            </w:r>
            <w:r>
              <w:rPr>
                <w:rFonts w:hint="eastAsia" w:ascii="宋体" w:hAnsi="宋体" w:cs="宋体"/>
                <w:b/>
                <w:bCs/>
                <w:sz w:val="24"/>
                <w:szCs w:val="24"/>
              </w:rPr>
              <w:t>扫描件，否则不予认可。涉及打分的，不予计算，资格审查的，不予通过。</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30</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highlight w:val="none"/>
              </w:rPr>
              <w:t>政府采购政策</w:t>
            </w:r>
          </w:p>
        </w:tc>
        <w:tc>
          <w:tcPr>
            <w:tcW w:w="7947"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sz w:val="24"/>
                <w:szCs w:val="24"/>
                <w:lang w:val="zh-CN"/>
              </w:rPr>
            </w:pPr>
            <w:r>
              <w:rPr>
                <w:rFonts w:hint="eastAsia" w:ascii="宋体" w:hAnsi="宋体" w:cs="宋体"/>
                <w:sz w:val="24"/>
                <w:szCs w:val="24"/>
                <w:lang w:val="zh-CN"/>
              </w:rPr>
              <w:t>1、除本采购文件中明确规定使用进口产品外，响应文件中不允许含有产自境外的进口产品，否则其响应文件按无效处理。</w:t>
            </w:r>
          </w:p>
          <w:p>
            <w:pPr>
              <w:spacing w:line="360" w:lineRule="auto"/>
              <w:jc w:val="left"/>
              <w:rPr>
                <w:rFonts w:ascii="宋体" w:hAnsi="宋体" w:cs="宋体"/>
                <w:sz w:val="24"/>
                <w:szCs w:val="24"/>
                <w:lang w:val="zh-CN"/>
              </w:rPr>
            </w:pPr>
            <w:r>
              <w:rPr>
                <w:rFonts w:hint="eastAsia" w:ascii="宋体" w:hAnsi="宋体" w:cs="宋体"/>
                <w:sz w:val="24"/>
                <w:szCs w:val="24"/>
                <w:lang w:val="zh-CN"/>
              </w:rPr>
              <w:t>进口产品是省级以上人民政府公布的政府集中采购目录以内或者采购限额标准以上的产自关境外的产品。</w:t>
            </w:r>
          </w:p>
          <w:p>
            <w:pPr>
              <w:spacing w:line="360" w:lineRule="auto"/>
              <w:jc w:val="left"/>
              <w:rPr>
                <w:rFonts w:ascii="宋体" w:hAnsi="宋体" w:cs="宋体"/>
                <w:sz w:val="24"/>
                <w:szCs w:val="24"/>
                <w:lang w:val="zh-CN"/>
              </w:rPr>
            </w:pPr>
            <w:r>
              <w:rPr>
                <w:rFonts w:hint="eastAsia" w:ascii="宋体" w:hAnsi="宋体" w:cs="宋体"/>
                <w:sz w:val="24"/>
                <w:szCs w:val="24"/>
                <w:lang w:val="zh-CN"/>
              </w:rPr>
              <w:t>2、政府采购节能产品、环境标志产品实施品目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pPr>
              <w:spacing w:line="360" w:lineRule="auto"/>
              <w:jc w:val="left"/>
              <w:rPr>
                <w:rFonts w:ascii="宋体" w:hAnsi="宋体" w:cs="宋体"/>
                <w:sz w:val="24"/>
                <w:szCs w:val="24"/>
                <w:lang w:val="zh-CN"/>
              </w:rPr>
            </w:pPr>
            <w:r>
              <w:rPr>
                <w:rFonts w:hint="eastAsia" w:ascii="宋体" w:hAnsi="宋体" w:cs="宋体"/>
                <w:sz w:val="24"/>
                <w:szCs w:val="24"/>
                <w:lang w:val="zh-CN"/>
              </w:rPr>
              <w:t>2.1.本次采购若涉及《节能产品政府采购品目清单》内强制采购的节能产品，无论项目说明中是否明确为强制节能产品，供应商都必须投报强制节能产品并提供有效的认证证书，供应商必须填写《节能产品报价说明表一》，格式见附件，填表要求按附件表下附注，否则按无效响应文件处理。</w:t>
            </w:r>
          </w:p>
          <w:p>
            <w:pPr>
              <w:spacing w:line="360" w:lineRule="auto"/>
              <w:jc w:val="left"/>
              <w:rPr>
                <w:rFonts w:ascii="宋体" w:hAnsi="宋体" w:cs="宋体"/>
                <w:sz w:val="24"/>
                <w:szCs w:val="24"/>
                <w:lang w:val="zh-CN"/>
              </w:rPr>
            </w:pPr>
            <w:r>
              <w:rPr>
                <w:rFonts w:hint="eastAsia" w:ascii="宋体" w:hAnsi="宋体" w:cs="宋体"/>
                <w:sz w:val="24"/>
                <w:szCs w:val="24"/>
                <w:lang w:val="zh-CN"/>
              </w:rPr>
              <w:t>如果在《节能产品政府采购品目清单》中无对应细化分类或该清单中的产品确实无法满足工作需要的，允许在节能清单之外选择。</w:t>
            </w:r>
          </w:p>
          <w:p>
            <w:pPr>
              <w:spacing w:line="360" w:lineRule="auto"/>
              <w:jc w:val="left"/>
              <w:rPr>
                <w:rFonts w:ascii="宋体" w:hAnsi="宋体" w:cs="宋体"/>
                <w:sz w:val="24"/>
                <w:szCs w:val="24"/>
                <w:lang w:val="zh-CN"/>
              </w:rPr>
            </w:pPr>
            <w:r>
              <w:rPr>
                <w:rFonts w:hint="eastAsia" w:ascii="宋体" w:hAnsi="宋体" w:cs="宋体"/>
                <w:sz w:val="24"/>
                <w:szCs w:val="24"/>
                <w:lang w:val="zh-CN"/>
              </w:rPr>
              <w:t>本次采购的产品如是列入《节能产品政府采购品目清单》中优先采购的节能产品，需要享受价格扣除或加分的政策的，须填写《节能产品报价说明表二》，格式见附件，填写要求按附件中表下附注。</w:t>
            </w:r>
          </w:p>
          <w:p>
            <w:pPr>
              <w:spacing w:line="360" w:lineRule="auto"/>
              <w:jc w:val="left"/>
              <w:rPr>
                <w:rFonts w:ascii="宋体" w:hAnsi="宋体" w:cs="宋体"/>
                <w:sz w:val="24"/>
                <w:szCs w:val="24"/>
                <w:lang w:val="zh-CN"/>
              </w:rPr>
            </w:pPr>
            <w:r>
              <w:rPr>
                <w:rFonts w:hint="eastAsia" w:ascii="宋体" w:hAnsi="宋体" w:cs="宋体"/>
                <w:sz w:val="24"/>
                <w:szCs w:val="24"/>
                <w:lang w:val="zh-CN"/>
              </w:rPr>
              <w:t>要求提供的节能产品认证证书，是指由市场监管总局《关于发布参与实施政府采购节能产品、环境标志产品认证机构名录的公告》 2019 年第16 号文件公布的机构出具的有效期内的节能认证证书原件的扫描件。</w:t>
            </w:r>
          </w:p>
          <w:p>
            <w:pPr>
              <w:spacing w:line="360" w:lineRule="auto"/>
              <w:jc w:val="left"/>
              <w:rPr>
                <w:rFonts w:ascii="宋体" w:hAnsi="宋体" w:cs="宋体"/>
                <w:sz w:val="24"/>
                <w:szCs w:val="24"/>
                <w:lang w:val="zh-CN"/>
              </w:rPr>
            </w:pPr>
            <w:r>
              <w:rPr>
                <w:rFonts w:hint="eastAsia" w:ascii="宋体" w:hAnsi="宋体" w:cs="宋体"/>
                <w:sz w:val="24"/>
                <w:szCs w:val="24"/>
                <w:lang w:val="zh-CN"/>
              </w:rPr>
              <w:t>2.2.本次采购的产品如是列入《环境标志产品政府采购品目清单》内的环境标志产品，需要享受价格扣除或加分的政策的，须填写《环境标志产品报价说明表》，格式见附件，填写要求按附件中表下附注。</w:t>
            </w:r>
          </w:p>
          <w:p>
            <w:pPr>
              <w:spacing w:line="360" w:lineRule="auto"/>
              <w:jc w:val="left"/>
              <w:rPr>
                <w:rFonts w:ascii="宋体" w:hAnsi="宋体" w:cs="宋体"/>
                <w:sz w:val="24"/>
                <w:szCs w:val="24"/>
                <w:lang w:val="zh-CN"/>
              </w:rPr>
            </w:pPr>
            <w:r>
              <w:rPr>
                <w:rFonts w:hint="eastAsia" w:ascii="宋体" w:hAnsi="宋体" w:cs="宋体"/>
                <w:sz w:val="24"/>
                <w:szCs w:val="24"/>
                <w:lang w:val="zh-CN"/>
              </w:rPr>
              <w:t>要求提供的环境标志产品认证证书，是指由市场监管总局《关于发布参与实施政府采购节能产品、环境标志产品认证机构名录的公告》 2019年第16号文件公布的机构出具的有效期内的环境标志产品认证证书原件的扫描件。</w:t>
            </w:r>
          </w:p>
          <w:p>
            <w:pPr>
              <w:spacing w:line="360" w:lineRule="auto"/>
              <w:jc w:val="left"/>
              <w:rPr>
                <w:rFonts w:ascii="宋体" w:hAnsi="宋体" w:cs="宋体"/>
                <w:sz w:val="24"/>
                <w:szCs w:val="24"/>
                <w:lang w:val="zh-CN"/>
              </w:rPr>
            </w:pPr>
            <w:r>
              <w:rPr>
                <w:rFonts w:hint="eastAsia" w:ascii="宋体" w:hAnsi="宋体" w:cs="宋体"/>
                <w:sz w:val="24"/>
                <w:szCs w:val="24"/>
                <w:lang w:val="zh-CN"/>
              </w:rPr>
              <w:t>2.3对环保、节能产品评审时加分：环保和节能产品加分=（环保和节能产品报价/总报价）×4%×技术分（仅为技术条件得分），得分≤5分。</w:t>
            </w:r>
          </w:p>
          <w:p>
            <w:pPr>
              <w:spacing w:line="360" w:lineRule="auto"/>
              <w:jc w:val="left"/>
              <w:rPr>
                <w:rFonts w:ascii="宋体" w:hAnsi="宋体" w:cs="宋体"/>
                <w:sz w:val="24"/>
                <w:szCs w:val="24"/>
                <w:lang w:val="zh-CN"/>
              </w:rPr>
            </w:pPr>
            <w:r>
              <w:rPr>
                <w:rFonts w:hint="eastAsia" w:ascii="宋体" w:hAnsi="宋体" w:cs="宋体"/>
                <w:sz w:val="24"/>
                <w:szCs w:val="24"/>
                <w:lang w:val="zh-CN"/>
              </w:rPr>
              <w:t>3、对农副产品的采购项目，政府优先采购贫困地区的农副产品，供应商在响应文件中声明原产地，招标代理机构在评标时通过国务院相关网站提供相关证据。</w:t>
            </w:r>
          </w:p>
          <w:p>
            <w:pPr>
              <w:spacing w:line="360" w:lineRule="auto"/>
              <w:jc w:val="left"/>
              <w:rPr>
                <w:rFonts w:ascii="宋体" w:hAnsi="宋体" w:cs="宋体"/>
                <w:sz w:val="24"/>
                <w:szCs w:val="24"/>
                <w:lang w:val="zh-CN"/>
              </w:rPr>
            </w:pPr>
            <w:r>
              <w:rPr>
                <w:rFonts w:hint="eastAsia" w:ascii="宋体" w:hAnsi="宋体" w:cs="宋体"/>
                <w:sz w:val="24"/>
                <w:szCs w:val="24"/>
                <w:lang w:val="zh-CN"/>
              </w:rPr>
              <w:t>对注册地在832个国家级贫困县域内，且聘用建档立卡贫困人员达到公司员工（含服务外包用工）30%以上的物业公司在物业政府采购时优先采购，物业公司出具贫困县物业公司声明，格式自拟，并附贫困人员卡。</w:t>
            </w:r>
          </w:p>
          <w:p>
            <w:pPr>
              <w:spacing w:line="360" w:lineRule="auto"/>
              <w:jc w:val="left"/>
              <w:rPr>
                <w:rFonts w:ascii="宋体" w:hAnsi="宋体" w:cs="宋体"/>
                <w:sz w:val="24"/>
                <w:szCs w:val="24"/>
                <w:lang w:val="zh-CN"/>
              </w:rPr>
            </w:pPr>
            <w:r>
              <w:rPr>
                <w:rFonts w:hint="eastAsia" w:ascii="宋体" w:hAnsi="宋体" w:cs="宋体"/>
                <w:sz w:val="24"/>
                <w:szCs w:val="24"/>
                <w:lang w:val="zh-CN"/>
              </w:rPr>
              <w:t>4、政府采购项目，支持监狱企业、中小企业发展，支持残疾人就业。</w:t>
            </w:r>
          </w:p>
          <w:p>
            <w:pPr>
              <w:spacing w:line="360" w:lineRule="auto"/>
              <w:jc w:val="left"/>
              <w:rPr>
                <w:rFonts w:ascii="宋体" w:hAnsi="宋体" w:cs="宋体"/>
                <w:sz w:val="24"/>
                <w:szCs w:val="24"/>
                <w:lang w:val="zh-CN"/>
              </w:rPr>
            </w:pPr>
            <w:r>
              <w:rPr>
                <w:rFonts w:hint="eastAsia" w:ascii="宋体" w:hAnsi="宋体" w:cs="宋体"/>
                <w:sz w:val="24"/>
                <w:szCs w:val="24"/>
                <w:lang w:val="zh-CN"/>
              </w:rPr>
              <w:t>4.1 供应商为监狱企业或所报产品为监狱企业产品并需要价格扣除的，应当提供省级以上监狱管理局、戒毒管理局（含新疆生产建设兵团）出具的属于监狱企业的证明文件原件的扫描件，并且填写《监狱企业、小型和微型企业、残疾人福利性单位产品报价说明表》（格式见响应文件附件，填写要求按附件中表下附注）。</w:t>
            </w:r>
          </w:p>
          <w:p>
            <w:pPr>
              <w:spacing w:line="360" w:lineRule="auto"/>
              <w:jc w:val="left"/>
              <w:rPr>
                <w:rFonts w:ascii="宋体" w:hAnsi="宋体" w:cs="宋体"/>
                <w:sz w:val="24"/>
                <w:szCs w:val="24"/>
                <w:lang w:val="zh-CN"/>
              </w:rPr>
            </w:pPr>
            <w:r>
              <w:rPr>
                <w:rFonts w:hint="eastAsia" w:ascii="宋体" w:hAnsi="宋体" w:cs="宋体"/>
                <w:sz w:val="24"/>
                <w:szCs w:val="24"/>
                <w:lang w:val="zh-CN"/>
              </w:rPr>
              <w:t>4.2 政府采购活动中，供应商提供的货物、工程或者服务符合下列情形的，享受中小企业扶持政策：</w:t>
            </w:r>
          </w:p>
          <w:p>
            <w:pPr>
              <w:spacing w:line="360" w:lineRule="auto"/>
              <w:jc w:val="left"/>
              <w:rPr>
                <w:rFonts w:ascii="宋体" w:hAnsi="宋体" w:cs="宋体"/>
                <w:sz w:val="24"/>
                <w:szCs w:val="24"/>
                <w:lang w:val="zh-CN"/>
              </w:rPr>
            </w:pPr>
            <w:r>
              <w:rPr>
                <w:rFonts w:hint="eastAsia" w:ascii="宋体" w:hAnsi="宋体" w:cs="宋体"/>
                <w:sz w:val="24"/>
                <w:szCs w:val="24"/>
                <w:lang w:val="zh-CN"/>
              </w:rPr>
              <w:t>4.2.1 货物采购项目中，货物由中小企业制造，即货物由中小企业生产且使用该中小企业商号或者注册商标。</w:t>
            </w:r>
          </w:p>
          <w:p>
            <w:pPr>
              <w:spacing w:line="360" w:lineRule="auto"/>
              <w:jc w:val="left"/>
              <w:rPr>
                <w:rFonts w:ascii="宋体" w:hAnsi="宋体" w:cs="宋体"/>
                <w:sz w:val="24"/>
                <w:szCs w:val="24"/>
                <w:lang w:val="zh-CN"/>
              </w:rPr>
            </w:pPr>
            <w:r>
              <w:rPr>
                <w:rFonts w:hint="eastAsia" w:ascii="宋体" w:hAnsi="宋体" w:cs="宋体"/>
                <w:sz w:val="24"/>
                <w:szCs w:val="24"/>
                <w:lang w:val="zh-CN"/>
              </w:rPr>
              <w:t>4.2.2 在工程采购项目中，工程由中小企业承建，即工程施工单位为中小企业。</w:t>
            </w:r>
          </w:p>
          <w:p>
            <w:pPr>
              <w:spacing w:line="360" w:lineRule="auto"/>
              <w:jc w:val="left"/>
              <w:rPr>
                <w:rFonts w:ascii="宋体" w:hAnsi="宋体" w:cs="宋体"/>
                <w:sz w:val="24"/>
                <w:szCs w:val="24"/>
                <w:lang w:val="zh-CN"/>
              </w:rPr>
            </w:pPr>
            <w:r>
              <w:rPr>
                <w:rFonts w:hint="eastAsia" w:ascii="宋体" w:hAnsi="宋体" w:cs="宋体"/>
                <w:sz w:val="24"/>
                <w:szCs w:val="24"/>
                <w:lang w:val="zh-CN"/>
              </w:rPr>
              <w:t>4.2.3 在服务采购项目中，服务由中小企业承接，即提供服务的人员为中小企业依照《中华人民共和国劳动民法典》订立劳动合同的从业人员。</w:t>
            </w:r>
          </w:p>
          <w:p>
            <w:pPr>
              <w:spacing w:line="360" w:lineRule="auto"/>
              <w:jc w:val="left"/>
              <w:rPr>
                <w:rFonts w:ascii="宋体" w:hAnsi="宋体" w:cs="宋体"/>
                <w:sz w:val="24"/>
                <w:szCs w:val="24"/>
                <w:lang w:val="zh-CN"/>
              </w:rPr>
            </w:pPr>
            <w:r>
              <w:rPr>
                <w:rFonts w:hint="eastAsia" w:ascii="宋体" w:hAnsi="宋体" w:cs="宋体"/>
                <w:sz w:val="24"/>
                <w:szCs w:val="24"/>
                <w:lang w:val="zh-CN"/>
              </w:rPr>
              <w:t>4.2.4 在货物采购项目中，供应商提供的货物既有中小企业制造货物，也有大型企业制造货物的，不享受《政府采购促进中小企业发展管理办法》（聊财采〔2021〕6号）规定的中小企业扶持政策。</w:t>
            </w:r>
          </w:p>
          <w:p>
            <w:pPr>
              <w:spacing w:line="360" w:lineRule="auto"/>
              <w:jc w:val="left"/>
              <w:rPr>
                <w:rFonts w:ascii="宋体" w:hAnsi="宋体" w:cs="宋体"/>
                <w:sz w:val="24"/>
                <w:szCs w:val="24"/>
                <w:lang w:val="zh-CN"/>
              </w:rPr>
            </w:pPr>
            <w:r>
              <w:rPr>
                <w:rFonts w:hint="eastAsia" w:ascii="宋体" w:hAnsi="宋体" w:cs="宋体"/>
                <w:sz w:val="24"/>
                <w:szCs w:val="24"/>
                <w:lang w:val="zh-CN"/>
              </w:rPr>
              <w:t>4.2.5 以联合体形式参加政府采购活动，联合体各方均为中小企业的，联合体视同中小企业。其中，联合体各方均为小微企业，联合体视同小微企业。</w:t>
            </w:r>
          </w:p>
          <w:p>
            <w:pPr>
              <w:spacing w:line="360" w:lineRule="auto"/>
              <w:jc w:val="left"/>
              <w:rPr>
                <w:rFonts w:ascii="宋体" w:hAnsi="宋体" w:cs="宋体"/>
                <w:sz w:val="24"/>
                <w:szCs w:val="24"/>
                <w:lang w:val="zh-CN"/>
              </w:rPr>
            </w:pPr>
            <w:r>
              <w:rPr>
                <w:rFonts w:hint="eastAsia" w:ascii="宋体" w:hAnsi="宋体" w:cs="宋体"/>
                <w:sz w:val="24"/>
                <w:szCs w:val="24"/>
                <w:lang w:val="zh-CN"/>
              </w:rPr>
              <w:t>4.2.6 组成联合体或者接受分包的小微企业与联合体内其他企业、分包企业之间存在直接控股、管理关系的，不享受价格扣除优惠政策。</w:t>
            </w:r>
          </w:p>
          <w:p>
            <w:pPr>
              <w:spacing w:line="360" w:lineRule="auto"/>
              <w:jc w:val="left"/>
              <w:rPr>
                <w:rFonts w:ascii="宋体" w:hAnsi="宋体" w:cs="宋体"/>
                <w:sz w:val="24"/>
                <w:szCs w:val="24"/>
                <w:lang w:val="zh-CN"/>
              </w:rPr>
            </w:pPr>
            <w:r>
              <w:rPr>
                <w:rFonts w:hint="eastAsia" w:ascii="宋体" w:hAnsi="宋体" w:cs="宋体"/>
                <w:sz w:val="24"/>
                <w:szCs w:val="24"/>
                <w:lang w:val="zh-CN"/>
              </w:rPr>
              <w:t>4.2.7 对于经主管预算单位统筹后未预留份额专门面向中小企业采购的采购项目，以及预留份额项目中的非预留部分采购包采购人、采购代理机构应当对符合《政府采购促进中小企业发展管理办法》(财库【2020】46号）和《山东省财政厅关于落实政府采购支持中小企业发展有关政策措施的通知》(鲁财采【2022】12号）规定的小微企业报价给予10%（工程项目为 5%）的扣除，用扣除后的价格参加评审。适用招标投标法的政府采购工程建设项目，采用综合评估法但未采用低价优先法计算价格分的，评标时应当在采用原报价进行评分的基础上增加其价格得分的5%作为其价格分。中小企业参加政府采购活动， 应当出具《中小企业声明函》，并且填写《监狱企业、小型和微型企业、残疾人福利性单位产品报价说明表》（格式见响应文件附件，填写要求按附件中表下附注），否则不得享受相关中小企业扶持政策。</w:t>
            </w:r>
          </w:p>
          <w:p>
            <w:pPr>
              <w:spacing w:line="360" w:lineRule="auto"/>
              <w:jc w:val="left"/>
              <w:rPr>
                <w:rFonts w:ascii="宋体" w:hAnsi="宋体" w:cs="宋体"/>
                <w:sz w:val="24"/>
                <w:szCs w:val="24"/>
                <w:lang w:val="zh-CN"/>
              </w:rPr>
            </w:pPr>
            <w:r>
              <w:rPr>
                <w:rFonts w:hint="eastAsia" w:ascii="宋体" w:hAnsi="宋体" w:cs="宋体"/>
                <w:sz w:val="24"/>
                <w:szCs w:val="24"/>
                <w:lang w:val="zh-CN"/>
              </w:rPr>
              <w:t>4.2.8 接受大中型企业与小微企业组成联合体或者允许大中型企业向一家或者多家小微企业分包的采购项目，对于联合协议或者分包意向协议约定小微企业的合同份额占到合同总金额 30% 以上的，采购人、采购代理机构应当对联合体或者大中型企业的报价给予3%（工程项目为2%）的扣除，用扣除后的价格参加评审适用招标投标法的政府采购工程建设项目，采用综合评估法但未采用低价优先法计算价格分的，评标时应当在采用原报价进行评分的基础上增加其价格得分的 1% 作为其价格分。</w:t>
            </w:r>
          </w:p>
          <w:p>
            <w:pPr>
              <w:spacing w:line="360" w:lineRule="auto"/>
              <w:jc w:val="left"/>
              <w:rPr>
                <w:rFonts w:ascii="宋体" w:hAnsi="宋体" w:cs="宋体"/>
                <w:sz w:val="24"/>
                <w:szCs w:val="24"/>
                <w:lang w:val="zh-CN"/>
              </w:rPr>
            </w:pPr>
            <w:r>
              <w:rPr>
                <w:rFonts w:hint="eastAsia" w:ascii="宋体" w:hAnsi="宋体" w:cs="宋体"/>
                <w:sz w:val="24"/>
                <w:szCs w:val="24"/>
                <w:lang w:val="zh-CN"/>
              </w:rPr>
              <w:t>4.2.9 价格扣除比例对小型企业和微型企业同等对待，不作区分。</w:t>
            </w:r>
          </w:p>
          <w:p>
            <w:pPr>
              <w:spacing w:line="360" w:lineRule="auto"/>
              <w:jc w:val="left"/>
              <w:rPr>
                <w:rFonts w:hint="eastAsia" w:ascii="宋体" w:hAnsi="宋体" w:cs="宋体"/>
                <w:sz w:val="24"/>
                <w:szCs w:val="24"/>
                <w:lang w:val="zh-CN"/>
              </w:rPr>
            </w:pPr>
            <w:r>
              <w:rPr>
                <w:rFonts w:hint="eastAsia" w:ascii="宋体" w:hAnsi="宋体" w:cs="宋体"/>
                <w:sz w:val="24"/>
                <w:szCs w:val="24"/>
                <w:lang w:val="zh-CN"/>
              </w:rPr>
              <w:t>4.3 按照《财政部 民政部 中国残疾人联合会关于促进残疾人就业政府采购政策的通知》（财库〔2017〕141 号）的规定，在政府采购活动中，残疾人福利性单位视同小型、微型企业，享受评审中价格扣除的政府采购政策。如供应商为残疾人福利性单位，应当提供《残疾人福利性单位声明函》（格式见</w:t>
            </w:r>
            <w:r>
              <w:rPr>
                <w:rFonts w:hint="eastAsia" w:ascii="宋体" w:hAnsi="宋体" w:cs="宋体"/>
                <w:sz w:val="24"/>
                <w:szCs w:val="24"/>
              </w:rPr>
              <w:t>招标</w:t>
            </w:r>
            <w:r>
              <w:rPr>
                <w:rFonts w:hint="eastAsia" w:ascii="宋体" w:hAnsi="宋体" w:cs="宋体"/>
                <w:sz w:val="24"/>
                <w:szCs w:val="24"/>
                <w:lang w:val="zh-CN"/>
              </w:rPr>
              <w:t>文件附件）。</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bookmarkStart w:id="8" w:name="_Toc518923060"/>
            <w:bookmarkStart w:id="9" w:name="_Toc51257677"/>
            <w:bookmarkStart w:id="10" w:name="_Toc520356143"/>
            <w:bookmarkStart w:id="11" w:name="_Toc216582805"/>
            <w:r>
              <w:rPr>
                <w:rFonts w:hint="eastAsia" w:ascii="宋体" w:hAnsi="宋体" w:cs="宋体"/>
                <w:sz w:val="24"/>
                <w:szCs w:val="24"/>
              </w:rPr>
              <w:t>31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bCs/>
                <w:sz w:val="24"/>
                <w:szCs w:val="24"/>
              </w:rPr>
              <w:t>其他说明</w:t>
            </w:r>
          </w:p>
        </w:tc>
        <w:tc>
          <w:tcPr>
            <w:tcW w:w="7947" w:type="dxa"/>
            <w:tcBorders>
              <w:top w:val="single" w:color="auto" w:sz="4" w:space="0"/>
              <w:left w:val="single" w:color="auto" w:sz="4" w:space="0"/>
              <w:bottom w:val="single" w:color="auto" w:sz="4" w:space="0"/>
              <w:right w:val="single" w:color="auto" w:sz="4" w:space="0"/>
            </w:tcBorders>
            <w:vAlign w:val="center"/>
          </w:tcPr>
          <w:p>
            <w:pPr>
              <w:tabs>
                <w:tab w:val="left" w:pos="312"/>
              </w:tabs>
              <w:autoSpaceDE w:val="0"/>
              <w:autoSpaceDN w:val="0"/>
              <w:spacing w:line="360" w:lineRule="auto"/>
              <w:rPr>
                <w:rFonts w:ascii="宋体" w:hAnsi="宋体" w:cs="宋体"/>
                <w:bCs/>
                <w:sz w:val="24"/>
              </w:rPr>
            </w:pPr>
            <w:r>
              <w:rPr>
                <w:rFonts w:hint="eastAsia" w:ascii="宋体" w:hAnsi="宋体" w:cs="宋体"/>
                <w:bCs/>
                <w:sz w:val="24"/>
              </w:rPr>
              <w:t>1、本次招标文件以</w:t>
            </w:r>
            <w:r>
              <w:rPr>
                <w:rFonts w:hint="eastAsia" w:ascii="宋体" w:hAnsi="宋体" w:cs="宋体"/>
                <w:sz w:val="24"/>
                <w:szCs w:val="24"/>
              </w:rPr>
              <w:t>中国山东政府采购网和</w:t>
            </w:r>
            <w:r>
              <w:rPr>
                <w:rFonts w:hint="eastAsia" w:ascii="宋体" w:hAnsi="宋体" w:cs="宋体"/>
                <w:bCs/>
                <w:sz w:val="24"/>
              </w:rPr>
              <w:t>聊城市公共资源交易平台系统内发售下载的为准，各投标人需及时查看系统内澄清答疑情况，澄清答疑后的文件为最终文件。电子评标答疑文件的格式为.lccf，请投标人务必把最新的澄清文件</w:t>
            </w:r>
            <w:r>
              <w:rPr>
                <w:rFonts w:hint="eastAsia" w:ascii="宋体" w:hAnsi="宋体" w:cs="宋体"/>
                <w:bCs/>
                <w:sz w:val="24"/>
                <w:highlight w:val="none"/>
              </w:rPr>
              <w:t>导入到投标文件制作工具中，否则无法生成最新投标文件。</w:t>
            </w:r>
          </w:p>
          <w:p>
            <w:pPr>
              <w:spacing w:line="360" w:lineRule="auto"/>
              <w:rPr>
                <w:rFonts w:ascii="宋体" w:hAnsi="宋体" w:cs="宋体"/>
                <w:sz w:val="24"/>
                <w:szCs w:val="24"/>
              </w:rPr>
            </w:pPr>
            <w:r>
              <w:rPr>
                <w:rFonts w:hint="eastAsia" w:ascii="宋体" w:hAnsi="宋体" w:cs="宋体"/>
                <w:bCs/>
                <w:sz w:val="24"/>
              </w:rPr>
              <w:t>2、网上报名的成功不代表资格审查的最终通过或合格，投标人最终资格的确认以评标委员会组织的最后资格后审为准。</w:t>
            </w:r>
          </w:p>
        </w:tc>
      </w:tr>
      <w:tr>
        <w:tblPrEx>
          <w:tblCellMar>
            <w:top w:w="0" w:type="dxa"/>
            <w:left w:w="108" w:type="dxa"/>
            <w:bottom w:w="0" w:type="dxa"/>
            <w:right w:w="108" w:type="dxa"/>
          </w:tblCellMar>
        </w:tblPrEx>
        <w:trPr>
          <w:trHeight w:val="23"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32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Cs/>
                <w:sz w:val="24"/>
                <w:szCs w:val="24"/>
              </w:rPr>
            </w:pPr>
            <w:r>
              <w:rPr>
                <w:rFonts w:hint="eastAsia" w:ascii="宋体" w:hAnsi="宋体" w:cs="宋体"/>
                <w:sz w:val="24"/>
                <w:szCs w:val="24"/>
              </w:rPr>
              <w:t>解释权</w:t>
            </w:r>
          </w:p>
        </w:tc>
        <w:tc>
          <w:tcPr>
            <w:tcW w:w="7947"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 w:val="24"/>
                <w:szCs w:val="24"/>
              </w:rPr>
            </w:pPr>
            <w:r>
              <w:rPr>
                <w:rFonts w:hint="eastAsia" w:ascii="宋体" w:hAnsi="宋体" w:cs="宋体"/>
                <w:sz w:val="24"/>
                <w:szCs w:val="24"/>
              </w:rPr>
              <w:t>1、构成本招标文件的各个组成文件应互为解释，互为说明；如有不明确或不一致，构成合同文件组成内容的，以合同文件约定内容为准；除招标文件中有特别规定外，仅适用于招标投标阶段的规定，按招标公告、投标人须知、评标办法、响应文件格式的先后顺序解释；按本款前述规定仍不能形成结论的，由采购代理机构负责解释。</w:t>
            </w:r>
          </w:p>
          <w:p>
            <w:pPr>
              <w:spacing w:line="360" w:lineRule="auto"/>
              <w:rPr>
                <w:rFonts w:ascii="宋体" w:hAnsi="宋体" w:cs="宋体"/>
                <w:bCs/>
                <w:sz w:val="24"/>
              </w:rPr>
            </w:pPr>
            <w:r>
              <w:rPr>
                <w:rFonts w:hint="eastAsia" w:ascii="宋体" w:hAnsi="宋体" w:cs="宋体"/>
                <w:sz w:val="24"/>
                <w:szCs w:val="24"/>
              </w:rPr>
              <w:t>2、招标文件未作须知明示，而又有相关法律、法规规定的，采购代理机构对此所做解释以相关的法律、法规的规定为依据。</w:t>
            </w:r>
          </w:p>
        </w:tc>
      </w:tr>
      <w:bookmarkEnd w:id="8"/>
      <w:bookmarkEnd w:id="9"/>
      <w:bookmarkEnd w:id="10"/>
      <w:bookmarkEnd w:id="11"/>
    </w:tbl>
    <w:p>
      <w:pPr>
        <w:rPr>
          <w:rFonts w:ascii="宋体" w:hAnsi="宋体" w:cs="宋体"/>
          <w:b/>
          <w:sz w:val="24"/>
          <w:szCs w:val="24"/>
        </w:rPr>
      </w:pPr>
      <w:bookmarkStart w:id="12" w:name="_Toc339294745"/>
      <w:bookmarkEnd w:id="12"/>
      <w:bookmarkStart w:id="13" w:name="_Toc339294945"/>
      <w:bookmarkEnd w:id="13"/>
      <w:bookmarkStart w:id="14" w:name="_Toc456255158"/>
      <w:bookmarkEnd w:id="14"/>
      <w:bookmarkStart w:id="15" w:name="_Toc27196"/>
      <w:bookmarkStart w:id="16" w:name="_Toc12439"/>
      <w:bookmarkStart w:id="17" w:name="_Toc29612"/>
      <w:bookmarkStart w:id="18" w:name="_Toc19847"/>
      <w:r>
        <w:rPr>
          <w:rFonts w:hint="eastAsia" w:ascii="宋体" w:hAnsi="宋体" w:cs="宋体"/>
          <w:b/>
          <w:sz w:val="24"/>
          <w:szCs w:val="24"/>
        </w:rPr>
        <w:br w:type="page"/>
      </w:r>
    </w:p>
    <w:p>
      <w:pPr>
        <w:snapToGrid w:val="0"/>
        <w:spacing w:line="360" w:lineRule="auto"/>
        <w:ind w:firstLine="482" w:firstLineChars="200"/>
        <w:outlineLvl w:val="0"/>
        <w:rPr>
          <w:rFonts w:ascii="宋体" w:hAnsi="宋体" w:cs="宋体"/>
          <w:b/>
          <w:sz w:val="24"/>
          <w:szCs w:val="24"/>
        </w:rPr>
      </w:pPr>
      <w:r>
        <w:rPr>
          <w:rFonts w:hint="eastAsia" w:ascii="宋体" w:hAnsi="宋体" w:cs="宋体"/>
          <w:b/>
          <w:sz w:val="24"/>
          <w:szCs w:val="24"/>
        </w:rPr>
        <w:t>一、适用范围</w:t>
      </w:r>
      <w:bookmarkEnd w:id="15"/>
      <w:bookmarkEnd w:id="16"/>
      <w:bookmarkEnd w:id="17"/>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本招标文件仅适用于本次招标公告中所叙述的项目。投标人应当按照本招标文件的要求进行投标。</w:t>
      </w:r>
    </w:p>
    <w:p>
      <w:pPr>
        <w:snapToGrid w:val="0"/>
        <w:spacing w:line="360" w:lineRule="auto"/>
        <w:ind w:firstLine="482" w:firstLineChars="200"/>
        <w:outlineLvl w:val="0"/>
        <w:rPr>
          <w:rFonts w:ascii="宋体" w:hAnsi="宋体" w:cs="宋体"/>
          <w:b/>
          <w:sz w:val="24"/>
          <w:szCs w:val="24"/>
        </w:rPr>
      </w:pPr>
      <w:bookmarkStart w:id="19" w:name="_Toc3597"/>
      <w:bookmarkStart w:id="20" w:name="_Toc4478"/>
      <w:bookmarkStart w:id="21" w:name="_Toc14238"/>
      <w:r>
        <w:rPr>
          <w:rFonts w:hint="eastAsia" w:ascii="宋体" w:hAnsi="宋体" w:cs="宋体"/>
          <w:b/>
          <w:sz w:val="24"/>
          <w:szCs w:val="24"/>
        </w:rPr>
        <w:t>二、总则</w:t>
      </w:r>
      <w:bookmarkEnd w:id="19"/>
      <w:bookmarkEnd w:id="20"/>
      <w:bookmarkEnd w:id="21"/>
    </w:p>
    <w:p>
      <w:pPr>
        <w:snapToGrid w:val="0"/>
        <w:spacing w:line="360" w:lineRule="auto"/>
        <w:outlineLvl w:val="0"/>
        <w:rPr>
          <w:rFonts w:ascii="宋体" w:hAnsi="宋体" w:cs="宋体"/>
          <w:sz w:val="24"/>
          <w:szCs w:val="24"/>
        </w:rPr>
      </w:pPr>
      <w:bookmarkStart w:id="22" w:name="_Toc21860"/>
      <w:bookmarkStart w:id="23" w:name="_Toc23696"/>
      <w:bookmarkStart w:id="24" w:name="_Toc31522"/>
      <w:r>
        <w:rPr>
          <w:rFonts w:hint="eastAsia" w:ascii="宋体" w:hAnsi="宋体" w:cs="宋体"/>
          <w:sz w:val="24"/>
          <w:szCs w:val="24"/>
        </w:rPr>
        <w:t>（一）定义</w:t>
      </w:r>
      <w:bookmarkEnd w:id="22"/>
      <w:bookmarkEnd w:id="23"/>
      <w:bookmarkEnd w:id="24"/>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1、“采购人”系指</w:t>
      </w:r>
      <w:r>
        <w:rPr>
          <w:rFonts w:hint="eastAsia" w:ascii="宋体" w:hAnsi="宋体" w:cs="宋体"/>
          <w:sz w:val="24"/>
          <w:szCs w:val="24"/>
          <w:lang w:val="en-US" w:eastAsia="zh-CN"/>
        </w:rPr>
        <w:t>聊城</w:t>
      </w:r>
      <w:r>
        <w:rPr>
          <w:rFonts w:hint="eastAsia" w:ascii="宋体" w:hAnsi="宋体" w:cs="宋体"/>
          <w:sz w:val="24"/>
          <w:szCs w:val="24"/>
        </w:rPr>
        <w:t>市生态环境局。</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2、“采购代理机构”系指聊城诚亿项目管理有限公司。</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3、“投标人”系指向采购代理机构索取招标文件并提交投标文件的企业。</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预）中标人”系指由评标委员会对入围投标人综合评审后，评选出的对招标文件做出实质性响应、综合竞争实力强、报价合理且有能力为采购人提供货物和服务，遵守投标文件和询标时的承诺，赢得或潜在赢得供货合同的投标人。</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5、“服务”系指招标文件规定投标人须承担的服务以及其它相关的义务。</w:t>
      </w:r>
    </w:p>
    <w:p>
      <w:pPr>
        <w:snapToGrid w:val="0"/>
        <w:spacing w:line="360" w:lineRule="auto"/>
        <w:outlineLvl w:val="0"/>
        <w:rPr>
          <w:rFonts w:ascii="宋体" w:hAnsi="宋体" w:cs="宋体"/>
          <w:sz w:val="24"/>
          <w:szCs w:val="24"/>
        </w:rPr>
      </w:pPr>
      <w:bookmarkStart w:id="25" w:name="_Toc17767"/>
      <w:bookmarkStart w:id="26" w:name="_Toc26676"/>
      <w:bookmarkStart w:id="27" w:name="_Toc30399"/>
      <w:r>
        <w:rPr>
          <w:rFonts w:hint="eastAsia" w:ascii="宋体" w:hAnsi="宋体" w:cs="宋体"/>
          <w:sz w:val="24"/>
          <w:szCs w:val="24"/>
        </w:rPr>
        <w:t>（二）合格的投标人</w:t>
      </w:r>
      <w:bookmarkEnd w:id="25"/>
      <w:bookmarkEnd w:id="26"/>
      <w:bookmarkEnd w:id="27"/>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1、符合招标公告中“投标人资格要求”；</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2、投标人须按要求提供资格、质量证明材料。</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3、提供的资格资质文件均真实有效；</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4、索取招标文件并登记备案；</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5、在以往的投标活动中没有违法、违规、违纪和违约行为；</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6、遵守《中华人民共和国政府采购法》、《中华人民共和国招标投标法》及其他有关的中国法律、法规和规定；</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7、本项目不接受联合体投标。</w:t>
      </w:r>
    </w:p>
    <w:p>
      <w:pPr>
        <w:snapToGrid w:val="0"/>
        <w:spacing w:line="360" w:lineRule="auto"/>
        <w:outlineLvl w:val="0"/>
        <w:rPr>
          <w:rFonts w:ascii="宋体" w:hAnsi="宋体" w:cs="宋体"/>
          <w:sz w:val="24"/>
          <w:szCs w:val="24"/>
        </w:rPr>
      </w:pPr>
      <w:bookmarkStart w:id="28" w:name="_Toc7499"/>
      <w:bookmarkStart w:id="29" w:name="_Toc15099"/>
      <w:bookmarkStart w:id="30" w:name="_Toc8376"/>
      <w:r>
        <w:rPr>
          <w:rFonts w:hint="eastAsia" w:ascii="宋体" w:hAnsi="宋体" w:cs="宋体"/>
          <w:sz w:val="24"/>
          <w:szCs w:val="24"/>
        </w:rPr>
        <w:t>（三）投标费用</w:t>
      </w:r>
      <w:bookmarkEnd w:id="28"/>
      <w:bookmarkEnd w:id="29"/>
      <w:bookmarkEnd w:id="30"/>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1、无论评标方法和结果如何，投标人均应自行承担所有与本次投标活动有关的相关费用；</w:t>
      </w:r>
    </w:p>
    <w:p>
      <w:pPr>
        <w:snapToGrid w:val="0"/>
        <w:spacing w:line="360" w:lineRule="auto"/>
        <w:outlineLvl w:val="0"/>
        <w:rPr>
          <w:rFonts w:ascii="宋体" w:hAnsi="宋体" w:cs="宋体"/>
          <w:sz w:val="24"/>
          <w:szCs w:val="24"/>
        </w:rPr>
      </w:pPr>
      <w:bookmarkStart w:id="31" w:name="_Toc24486"/>
      <w:bookmarkStart w:id="32" w:name="_Toc12630"/>
      <w:bookmarkStart w:id="33" w:name="_Toc2594"/>
      <w:r>
        <w:rPr>
          <w:rFonts w:hint="eastAsia" w:ascii="宋体" w:hAnsi="宋体" w:cs="宋体"/>
          <w:sz w:val="24"/>
          <w:szCs w:val="24"/>
        </w:rPr>
        <w:t>（四）投标保证金</w:t>
      </w:r>
      <w:bookmarkEnd w:id="31"/>
      <w:bookmarkEnd w:id="32"/>
      <w:bookmarkEnd w:id="33"/>
    </w:p>
    <w:p>
      <w:pPr>
        <w:pStyle w:val="37"/>
        <w:ind w:left="0" w:leftChars="0" w:firstLine="480"/>
        <w:rPr>
          <w:color w:val="000000"/>
        </w:rPr>
      </w:pPr>
      <w:r>
        <w:rPr>
          <w:rFonts w:hint="eastAsia"/>
          <w:color w:val="000000"/>
          <w:u w:val="single"/>
        </w:rPr>
        <w:t>无</w:t>
      </w:r>
    </w:p>
    <w:p>
      <w:pPr>
        <w:pStyle w:val="37"/>
        <w:ind w:left="0" w:leftChars="0" w:firstLine="480"/>
      </w:pPr>
      <w:r>
        <w:rPr>
          <w:rFonts w:hint="eastAsia"/>
        </w:rPr>
        <w:t>(鲁财采〔2019〕40号山东省财政厅&lt;关于取消政府采购投标保证金等有关事项的通知&gt;)</w:t>
      </w:r>
    </w:p>
    <w:p>
      <w:pPr>
        <w:snapToGrid w:val="0"/>
        <w:spacing w:line="360" w:lineRule="auto"/>
        <w:rPr>
          <w:rFonts w:ascii="宋体" w:hAnsi="宋体" w:cs="宋体"/>
          <w:sz w:val="24"/>
          <w:szCs w:val="24"/>
        </w:rPr>
      </w:pPr>
      <w:r>
        <w:rPr>
          <w:rFonts w:hint="eastAsia" w:ascii="宋体" w:hAnsi="宋体" w:cs="宋体"/>
          <w:sz w:val="24"/>
          <w:szCs w:val="24"/>
        </w:rPr>
        <w:t>（五）履约保证金</w:t>
      </w:r>
    </w:p>
    <w:p>
      <w:pPr>
        <w:spacing w:line="360" w:lineRule="auto"/>
        <w:ind w:firstLine="482" w:firstLineChars="200"/>
        <w:rPr>
          <w:rFonts w:ascii="宋体" w:hAnsi="宋体" w:cs="宋体"/>
          <w:b/>
          <w:sz w:val="24"/>
          <w:szCs w:val="24"/>
        </w:rPr>
      </w:pPr>
      <w:r>
        <w:rPr>
          <w:rFonts w:hint="eastAsia" w:ascii="宋体" w:hAnsi="宋体" w:cs="宋体"/>
          <w:b/>
          <w:sz w:val="24"/>
          <w:szCs w:val="24"/>
        </w:rPr>
        <w:t>无履约保证金</w:t>
      </w:r>
    </w:p>
    <w:p>
      <w:pPr>
        <w:snapToGrid w:val="0"/>
        <w:spacing w:line="360" w:lineRule="auto"/>
        <w:rPr>
          <w:rFonts w:ascii="宋体" w:hAnsi="宋体" w:cs="宋体"/>
          <w:sz w:val="24"/>
          <w:szCs w:val="24"/>
        </w:rPr>
      </w:pPr>
      <w:r>
        <w:rPr>
          <w:rFonts w:hint="eastAsia" w:ascii="宋体" w:hAnsi="宋体" w:cs="宋体"/>
          <w:sz w:val="24"/>
          <w:szCs w:val="24"/>
        </w:rPr>
        <w:t>（六）投标有效期</w:t>
      </w:r>
    </w:p>
    <w:p>
      <w:pPr>
        <w:tabs>
          <w:tab w:val="left" w:pos="180"/>
          <w:tab w:val="left" w:pos="360"/>
          <w:tab w:val="left" w:pos="540"/>
        </w:tabs>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eastAsia="宋体" w:cs="宋体"/>
          <w:color w:val="auto"/>
          <w:sz w:val="24"/>
          <w:szCs w:val="24"/>
          <w:highlight w:val="none"/>
        </w:rPr>
        <w:t>自</w:t>
      </w:r>
      <w:r>
        <w:rPr>
          <w:rFonts w:hint="eastAsia" w:ascii="宋体" w:hAnsi="宋体" w:cs="宋体"/>
          <w:color w:val="auto"/>
          <w:sz w:val="24"/>
          <w:szCs w:val="24"/>
          <w:highlight w:val="none"/>
          <w:lang w:val="en-US" w:eastAsia="zh-CN"/>
        </w:rPr>
        <w:t>开标</w:t>
      </w:r>
      <w:r>
        <w:rPr>
          <w:rFonts w:hint="eastAsia" w:ascii="宋体" w:hAnsi="宋体" w:eastAsia="宋体" w:cs="宋体"/>
          <w:color w:val="auto"/>
          <w:sz w:val="24"/>
          <w:szCs w:val="24"/>
          <w:highlight w:val="none"/>
        </w:rPr>
        <w:t>响应文件截止之日起</w:t>
      </w:r>
      <w:r>
        <w:rPr>
          <w:rFonts w:hint="eastAsia" w:ascii="宋体" w:hAnsi="宋体" w:cs="宋体"/>
          <w:sz w:val="24"/>
          <w:szCs w:val="24"/>
        </w:rPr>
        <w:t>，投标报价有效期为90日历天。有效期比本须知规定的有效期短的，为非响应投标，将视为无效投标；</w:t>
      </w:r>
    </w:p>
    <w:p>
      <w:pPr>
        <w:snapToGrid w:val="0"/>
        <w:spacing w:line="360" w:lineRule="auto"/>
        <w:ind w:firstLine="480" w:firstLineChars="200"/>
        <w:rPr>
          <w:rFonts w:hint="eastAsia" w:eastAsia="宋体"/>
          <w:lang w:eastAsia="zh-CN"/>
        </w:rPr>
      </w:pPr>
      <w:r>
        <w:rPr>
          <w:rFonts w:hint="eastAsia" w:ascii="宋体" w:hAnsi="宋体" w:cs="宋体"/>
          <w:sz w:val="24"/>
          <w:szCs w:val="24"/>
        </w:rPr>
        <w:t>2、特殊情况下，在投标有效期满之前，采购代理机构可以以书面形式要求投标人同意延长有效期。投标人可以以书面的形式拒绝或接受上述要求。</w:t>
      </w:r>
    </w:p>
    <w:p>
      <w:pPr>
        <w:spacing w:line="360" w:lineRule="auto"/>
        <w:rPr>
          <w:rFonts w:ascii="宋体" w:hAnsi="宋体" w:cs="宋体"/>
          <w:sz w:val="24"/>
          <w:szCs w:val="24"/>
        </w:rPr>
      </w:pPr>
      <w:r>
        <w:rPr>
          <w:rFonts w:hint="eastAsia" w:ascii="宋体" w:hAnsi="宋体" w:cs="宋体"/>
          <w:sz w:val="24"/>
          <w:szCs w:val="24"/>
        </w:rPr>
        <w:t>（七）现场踏勘</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  如有需要，各投标人经采购人允许可自行踏勘现场以便获取有关编制投标文件和签署合同所涉及现场的资料。投标人自行承担踏勘现场所发生的所有费用。</w:t>
      </w:r>
    </w:p>
    <w:p>
      <w:pPr>
        <w:spacing w:line="360" w:lineRule="auto"/>
        <w:ind w:firstLine="480" w:firstLineChars="200"/>
        <w:rPr>
          <w:rFonts w:ascii="宋体" w:hAnsi="宋体" w:cs="宋体"/>
          <w:sz w:val="24"/>
          <w:szCs w:val="24"/>
        </w:rPr>
      </w:pPr>
      <w:r>
        <w:rPr>
          <w:rFonts w:hint="eastAsia" w:ascii="宋体" w:hAnsi="宋体" w:cs="宋体"/>
          <w:sz w:val="24"/>
          <w:szCs w:val="24"/>
        </w:rPr>
        <w:t>采购人向投标人提供的有关现场的数据和资料，是采购人现有的能被投标人利用的资料，采购人对投标人做出的任何推论、理解和结论均不负责任。</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经采购人允许，投标人可为踏勘目的进入采购人的项目现场，但投标人不得因此使采购人承担有关的责任和蒙受损失。投标人应承担踏勘现场的责任和风险。</w:t>
      </w:r>
    </w:p>
    <w:p>
      <w:pPr>
        <w:snapToGrid w:val="0"/>
        <w:spacing w:line="360" w:lineRule="auto"/>
        <w:rPr>
          <w:rFonts w:ascii="宋体" w:hAnsi="宋体" w:cs="宋体"/>
          <w:sz w:val="24"/>
          <w:szCs w:val="24"/>
        </w:rPr>
      </w:pPr>
      <w:r>
        <w:rPr>
          <w:rFonts w:hint="eastAsia" w:ascii="宋体" w:hAnsi="宋体" w:cs="宋体"/>
          <w:sz w:val="24"/>
          <w:szCs w:val="24"/>
        </w:rPr>
        <w:t>（八）接受和拒绝任何或所有投标的权力</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为维护国家利益，在授予合同之前，采购人可依法做出选择或拒绝任何或全部投标的决定。</w:t>
      </w:r>
    </w:p>
    <w:p>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三、招标文件说明</w:t>
      </w:r>
    </w:p>
    <w:p>
      <w:pPr>
        <w:snapToGrid w:val="0"/>
        <w:spacing w:line="360" w:lineRule="auto"/>
        <w:rPr>
          <w:rFonts w:ascii="宋体" w:hAnsi="宋体" w:cs="宋体"/>
          <w:sz w:val="24"/>
          <w:szCs w:val="24"/>
        </w:rPr>
      </w:pPr>
      <w:r>
        <w:rPr>
          <w:rFonts w:hint="eastAsia" w:ascii="宋体" w:hAnsi="宋体" w:cs="宋体"/>
          <w:sz w:val="24"/>
          <w:szCs w:val="24"/>
        </w:rPr>
        <w:t>（一）招标文件的组成</w:t>
      </w:r>
    </w:p>
    <w:p>
      <w:pPr>
        <w:pStyle w:val="12"/>
        <w:snapToGrid w:val="0"/>
        <w:spacing w:line="360" w:lineRule="auto"/>
        <w:ind w:firstLine="480" w:firstLineChars="200"/>
        <w:rPr>
          <w:rFonts w:ascii="宋体" w:hAnsi="宋体" w:cs="宋体"/>
          <w:sz w:val="24"/>
          <w:szCs w:val="24"/>
        </w:rPr>
      </w:pPr>
      <w:r>
        <w:rPr>
          <w:rFonts w:hint="eastAsia" w:ascii="宋体" w:hAnsi="宋体" w:cs="宋体"/>
          <w:sz w:val="24"/>
          <w:szCs w:val="24"/>
        </w:rPr>
        <w:t>1、招标公告；</w:t>
      </w:r>
    </w:p>
    <w:p>
      <w:pPr>
        <w:pStyle w:val="12"/>
        <w:tabs>
          <w:tab w:val="left" w:pos="180"/>
          <w:tab w:val="left" w:pos="360"/>
          <w:tab w:val="left" w:pos="540"/>
        </w:tabs>
        <w:snapToGrid w:val="0"/>
        <w:spacing w:line="360" w:lineRule="auto"/>
        <w:ind w:firstLine="480" w:firstLineChars="200"/>
        <w:rPr>
          <w:rFonts w:ascii="宋体" w:hAnsi="宋体" w:cs="宋体"/>
          <w:sz w:val="24"/>
          <w:szCs w:val="24"/>
        </w:rPr>
      </w:pPr>
      <w:r>
        <w:rPr>
          <w:rFonts w:hint="eastAsia" w:ascii="宋体" w:hAnsi="宋体" w:cs="宋体"/>
          <w:sz w:val="24"/>
          <w:szCs w:val="24"/>
        </w:rPr>
        <w:t>2、投标人须知；</w:t>
      </w:r>
    </w:p>
    <w:p>
      <w:pPr>
        <w:pStyle w:val="12"/>
        <w:snapToGrid w:val="0"/>
        <w:spacing w:line="360" w:lineRule="auto"/>
        <w:ind w:firstLine="480" w:firstLineChars="200"/>
        <w:rPr>
          <w:rFonts w:ascii="宋体" w:hAnsi="宋体" w:cs="宋体"/>
          <w:sz w:val="24"/>
          <w:szCs w:val="24"/>
        </w:rPr>
      </w:pPr>
      <w:r>
        <w:rPr>
          <w:rFonts w:hint="eastAsia" w:ascii="宋体" w:hAnsi="宋体" w:cs="宋体"/>
          <w:sz w:val="24"/>
          <w:szCs w:val="24"/>
        </w:rPr>
        <w:t>3、项目说明；</w:t>
      </w:r>
    </w:p>
    <w:p>
      <w:pPr>
        <w:pStyle w:val="12"/>
        <w:snapToGrid w:val="0"/>
        <w:spacing w:line="360" w:lineRule="auto"/>
        <w:ind w:firstLine="480" w:firstLineChars="200"/>
        <w:rPr>
          <w:rFonts w:ascii="宋体" w:hAnsi="宋体" w:cs="宋体"/>
          <w:sz w:val="24"/>
          <w:szCs w:val="24"/>
        </w:rPr>
      </w:pPr>
      <w:r>
        <w:rPr>
          <w:rFonts w:hint="eastAsia" w:ascii="宋体" w:hAnsi="宋体" w:cs="宋体"/>
          <w:sz w:val="24"/>
          <w:szCs w:val="24"/>
        </w:rPr>
        <w:t>4、开标、评标、定标；</w:t>
      </w:r>
    </w:p>
    <w:p>
      <w:pPr>
        <w:pStyle w:val="12"/>
        <w:snapToGrid w:val="0"/>
        <w:spacing w:line="360" w:lineRule="auto"/>
        <w:ind w:firstLine="480" w:firstLineChars="200"/>
        <w:rPr>
          <w:rFonts w:ascii="宋体" w:hAnsi="宋体" w:cs="宋体"/>
          <w:sz w:val="24"/>
          <w:szCs w:val="24"/>
        </w:rPr>
      </w:pPr>
      <w:r>
        <w:rPr>
          <w:rFonts w:hint="eastAsia" w:ascii="宋体" w:hAnsi="宋体" w:cs="宋体"/>
          <w:sz w:val="24"/>
          <w:szCs w:val="24"/>
        </w:rPr>
        <w:t>5、授予合同；</w:t>
      </w:r>
    </w:p>
    <w:p>
      <w:pPr>
        <w:pStyle w:val="12"/>
        <w:snapToGrid w:val="0"/>
        <w:spacing w:line="360" w:lineRule="auto"/>
        <w:ind w:firstLine="480" w:firstLineChars="200"/>
        <w:rPr>
          <w:rFonts w:ascii="宋体" w:hAnsi="宋体" w:cs="宋体"/>
          <w:sz w:val="24"/>
          <w:szCs w:val="24"/>
        </w:rPr>
      </w:pPr>
      <w:r>
        <w:rPr>
          <w:rFonts w:hint="eastAsia" w:ascii="宋体" w:hAnsi="宋体" w:cs="宋体"/>
          <w:sz w:val="24"/>
          <w:szCs w:val="24"/>
        </w:rPr>
        <w:t>6、投标文件格式。</w:t>
      </w:r>
    </w:p>
    <w:p>
      <w:pPr>
        <w:snapToGrid w:val="0"/>
        <w:spacing w:line="360" w:lineRule="auto"/>
        <w:rPr>
          <w:rFonts w:ascii="宋体" w:hAnsi="宋体" w:cs="宋体"/>
          <w:sz w:val="24"/>
          <w:szCs w:val="24"/>
        </w:rPr>
      </w:pPr>
      <w:r>
        <w:rPr>
          <w:rFonts w:hint="eastAsia" w:ascii="宋体" w:hAnsi="宋体" w:cs="宋体"/>
          <w:sz w:val="24"/>
          <w:szCs w:val="24"/>
        </w:rPr>
        <w:t>（二）招标文件的修改</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1、采购代理机构对招标文件必要的澄清或修改须在法律规定的时间前，以书面形式通知所有购买招标文件的潜在投标人。澄清或修改的内容将构成招标文件的组成部分，对所有投标人具有约束力；</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2、为使投标人有足够的时间按照招标文件的修改要求考虑修正投标文件，采购代理机构可酌情推迟投标的截止日期和开标日期，并将此变更通知上述每一潜在投标人。</w:t>
      </w:r>
    </w:p>
    <w:p>
      <w:pPr>
        <w:snapToGrid w:val="0"/>
        <w:spacing w:line="360" w:lineRule="auto"/>
        <w:outlineLvl w:val="0"/>
        <w:rPr>
          <w:rFonts w:ascii="宋体" w:hAnsi="宋体" w:cs="宋体"/>
          <w:sz w:val="24"/>
          <w:szCs w:val="24"/>
        </w:rPr>
      </w:pPr>
      <w:bookmarkStart w:id="34" w:name="_Toc13599"/>
      <w:bookmarkStart w:id="35" w:name="_Toc3214"/>
      <w:bookmarkStart w:id="36" w:name="_Toc25850"/>
      <w:r>
        <w:rPr>
          <w:rFonts w:hint="eastAsia" w:ascii="宋体" w:hAnsi="宋体" w:cs="宋体"/>
          <w:sz w:val="24"/>
          <w:szCs w:val="24"/>
        </w:rPr>
        <w:t>（三）招标文件的澄清</w:t>
      </w:r>
      <w:bookmarkEnd w:id="34"/>
      <w:bookmarkEnd w:id="35"/>
      <w:bookmarkEnd w:id="36"/>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各潜在投标人若对招标文件有任何疑问，应按本招标文件投标人须知前附表规定的时间及要求提出澄清要求，采购人或采购代理机构将以书面方式予以解答，书面答复将上传至聊城市公共资源交易中心系统。该答复作为招标文件的组成部分，具有约束作用。</w:t>
      </w:r>
    </w:p>
    <w:p>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四、投标文件的编制</w:t>
      </w:r>
    </w:p>
    <w:p>
      <w:pPr>
        <w:snapToGrid w:val="0"/>
        <w:spacing w:line="360" w:lineRule="auto"/>
        <w:outlineLvl w:val="0"/>
        <w:rPr>
          <w:rFonts w:ascii="宋体" w:hAnsi="宋体" w:cs="宋体"/>
          <w:sz w:val="24"/>
          <w:szCs w:val="24"/>
        </w:rPr>
      </w:pPr>
      <w:bookmarkStart w:id="37" w:name="_Toc23235"/>
      <w:bookmarkStart w:id="38" w:name="_Toc29195"/>
      <w:bookmarkStart w:id="39" w:name="_Toc11093"/>
      <w:r>
        <w:rPr>
          <w:rFonts w:hint="eastAsia" w:ascii="宋体" w:hAnsi="宋体" w:cs="宋体"/>
          <w:sz w:val="24"/>
          <w:szCs w:val="24"/>
        </w:rPr>
        <w:t>（一）投标文件的组成</w:t>
      </w:r>
      <w:bookmarkEnd w:id="37"/>
      <w:bookmarkEnd w:id="38"/>
      <w:bookmarkEnd w:id="39"/>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投标人应按照招标文件及聊城市公共资源交易中心的要求编制投标文件，提交包括证明其有资格进行投标和有能力履行合同的文件，内容如下（根据电子投标文件制作软件可酌情增删）：</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1、开标一览表</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2、投标函</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3、法定代表人身份证明</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4、授权委托书</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5、联合体协议书（本项目不适用）</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6、资格审查资料</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7、近年类似业绩</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8、拟投入本项目从业人员</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9、商务和技术偏差表</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10、分项报价表</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11、政府采购政策（若有）</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12、技术标</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13、投标人需要加以说明的其他材料</w:t>
      </w:r>
    </w:p>
    <w:p>
      <w:pPr>
        <w:snapToGrid w:val="0"/>
        <w:spacing w:line="360" w:lineRule="auto"/>
        <w:rPr>
          <w:rFonts w:ascii="宋体" w:hAnsi="宋体" w:cs="宋体"/>
          <w:sz w:val="24"/>
          <w:szCs w:val="24"/>
        </w:rPr>
      </w:pPr>
      <w:r>
        <w:rPr>
          <w:rFonts w:hint="eastAsia" w:ascii="宋体" w:hAnsi="宋体" w:cs="宋体"/>
          <w:sz w:val="24"/>
          <w:szCs w:val="24"/>
        </w:rPr>
        <w:t>（二）投标文件的语言要求及计量单位</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1、投标人提交的投标文件及投标人就有关投标的所有来往函电均应使用标准简体中文。投标人可以提交用其他语言印制的资料，但必须译成中文，在有差异和矛盾时以中文材料为准；</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 除招标文件的技术规格中另有规定外，投标文件中所使用的计量单位须使用中华人民共和国法定计量单位。</w:t>
      </w:r>
    </w:p>
    <w:p>
      <w:pPr>
        <w:snapToGrid w:val="0"/>
        <w:spacing w:line="360" w:lineRule="auto"/>
        <w:outlineLvl w:val="0"/>
        <w:rPr>
          <w:rFonts w:ascii="宋体" w:hAnsi="宋体" w:cs="宋体"/>
          <w:sz w:val="24"/>
          <w:szCs w:val="24"/>
        </w:rPr>
      </w:pPr>
      <w:bookmarkStart w:id="40" w:name="_Toc15309"/>
      <w:bookmarkStart w:id="41" w:name="_Toc2445"/>
      <w:bookmarkStart w:id="42" w:name="_Toc17564"/>
      <w:r>
        <w:rPr>
          <w:rFonts w:hint="eastAsia" w:ascii="宋体" w:hAnsi="宋体" w:cs="宋体"/>
          <w:sz w:val="24"/>
          <w:szCs w:val="24"/>
        </w:rPr>
        <w:t>（三）投标文件的格式要求</w:t>
      </w:r>
      <w:bookmarkEnd w:id="40"/>
      <w:bookmarkEnd w:id="41"/>
      <w:bookmarkEnd w:id="42"/>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1、投标文件：投标时不需要提供，确定中标人后，中标人须根据招标人要求打印与投标文件一致的纸质投标文件四份并加盖公章。（注：纸质投标文件为使用电子投标文件制作工具编制的投标文件的打印件）</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2、投标文件封面、投标函及电子招标文件规定的其它应签章处。未按要求进行签章的投标文件，作无效标处理。</w:t>
      </w:r>
    </w:p>
    <w:p>
      <w:pPr>
        <w:snapToGrid w:val="0"/>
        <w:spacing w:line="360" w:lineRule="auto"/>
        <w:rPr>
          <w:rFonts w:ascii="宋体" w:hAnsi="宋体" w:cs="宋体"/>
          <w:sz w:val="24"/>
          <w:szCs w:val="24"/>
        </w:rPr>
      </w:pPr>
      <w:r>
        <w:rPr>
          <w:rFonts w:hint="eastAsia" w:ascii="宋体" w:hAnsi="宋体" w:cs="宋体"/>
          <w:sz w:val="24"/>
          <w:szCs w:val="24"/>
        </w:rPr>
        <w:t>（四）投标报价要求</w:t>
      </w:r>
    </w:p>
    <w:p>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1、</w:t>
      </w:r>
      <w:r>
        <w:rPr>
          <w:rFonts w:hint="eastAsia" w:ascii="宋体" w:hAnsi="宋体" w:cs="宋体"/>
          <w:b/>
          <w:sz w:val="24"/>
          <w:szCs w:val="24"/>
          <w:u w:val="none"/>
        </w:rPr>
        <w:t>本次投标报价为一次性报价且只允许有一种方案，报价币种为人民币。</w:t>
      </w:r>
      <w:r>
        <w:rPr>
          <w:rFonts w:hint="eastAsia" w:ascii="宋体" w:hAnsi="宋体" w:cs="宋体"/>
          <w:b/>
          <w:sz w:val="24"/>
          <w:szCs w:val="24"/>
        </w:rPr>
        <w:t>投标报价应包括完成本项目所确定的服务范围、人员报酬费用、社会保险费、物资配备费、税费及完成本项目所必须的其他服务等费用。</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2、“开标一览表”不允许涂抹、修改，表中相应内容的报价必须计算正确</w:t>
      </w:r>
      <w:r>
        <w:rPr>
          <w:rFonts w:hint="eastAsia" w:ascii="宋体" w:hAnsi="宋体" w:cs="宋体"/>
          <w:sz w:val="24"/>
          <w:szCs w:val="24"/>
          <w:lang w:eastAsia="zh-CN"/>
        </w:rPr>
        <w:t>；</w:t>
      </w:r>
      <w:r>
        <w:rPr>
          <w:rFonts w:hint="eastAsia" w:ascii="宋体" w:hAnsi="宋体" w:cs="宋体"/>
          <w:sz w:val="24"/>
          <w:szCs w:val="24"/>
        </w:rPr>
        <w:t xml:space="preserve">（1）投标文件中开标一览表（报价表）内容与投标文件中相应内容不一致的，以开标一览表（报价表）为准；（2）如果大写金额与小写金额不一致，以大写金额为准；（3）单价金额小数点或者百分比有明显错位的，以开标一览表的总价为准，并修改单价；（4）总价金额与按单价汇总金额不一致的，以单价金额计算结果为准。同时出现两种以上不一致的，按照前款规定的顺序修正。经投标人确认后产生约束力，投标人不确认的，其投标无效。 </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3、投标人必须报出所投服务的分项报价；</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4、投标人免费提供的项目，应先写明该项目的实际价格，并注明免费，此项不计入总价或合计价；</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5、最低投标报价不是中标的唯一条件。</w:t>
      </w:r>
    </w:p>
    <w:p>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五、投标文件的递交</w:t>
      </w:r>
    </w:p>
    <w:p>
      <w:pPr>
        <w:snapToGrid w:val="0"/>
        <w:spacing w:line="360" w:lineRule="auto"/>
        <w:outlineLvl w:val="0"/>
        <w:rPr>
          <w:rFonts w:ascii="宋体" w:hAnsi="宋体" w:cs="宋体"/>
          <w:sz w:val="24"/>
          <w:szCs w:val="24"/>
        </w:rPr>
      </w:pPr>
      <w:bookmarkStart w:id="43" w:name="_Toc26410"/>
      <w:bookmarkStart w:id="44" w:name="_Toc20468"/>
      <w:bookmarkStart w:id="45" w:name="_Toc8916"/>
      <w:r>
        <w:rPr>
          <w:rFonts w:hint="eastAsia" w:ascii="宋体" w:hAnsi="宋体" w:cs="宋体"/>
          <w:sz w:val="24"/>
          <w:szCs w:val="24"/>
        </w:rPr>
        <w:t>（一）投标文件的密封和标记</w:t>
      </w:r>
      <w:bookmarkEnd w:id="43"/>
      <w:bookmarkEnd w:id="44"/>
      <w:bookmarkEnd w:id="45"/>
    </w:p>
    <w:p>
      <w:pPr>
        <w:spacing w:line="360" w:lineRule="auto"/>
        <w:ind w:firstLine="480" w:firstLineChars="200"/>
        <w:rPr>
          <w:rFonts w:ascii="宋体" w:hAnsi="宋体" w:cs="宋体"/>
          <w:sz w:val="24"/>
          <w:szCs w:val="24"/>
        </w:rPr>
      </w:pPr>
      <w:r>
        <w:rPr>
          <w:rFonts w:hint="eastAsia" w:ascii="宋体" w:hAnsi="宋体" w:cs="宋体"/>
          <w:sz w:val="24"/>
          <w:szCs w:val="24"/>
        </w:rPr>
        <w:t>（1）将电子投标文件在投标文件递交截止时间前上传到聊城公共资源招投标会员网上交易系统；</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（2）开标前登录网上聊城不见面开标大厅，完成签到工作； </w:t>
      </w:r>
    </w:p>
    <w:p>
      <w:pPr>
        <w:spacing w:line="360" w:lineRule="auto"/>
        <w:ind w:firstLine="480" w:firstLineChars="200"/>
        <w:rPr>
          <w:rFonts w:ascii="宋体" w:hAnsi="宋体" w:cs="宋体"/>
          <w:sz w:val="24"/>
          <w:szCs w:val="24"/>
        </w:rPr>
      </w:pPr>
      <w:r>
        <w:rPr>
          <w:rFonts w:hint="eastAsia" w:ascii="宋体" w:hAnsi="宋体" w:cs="宋体"/>
          <w:sz w:val="24"/>
          <w:szCs w:val="24"/>
        </w:rPr>
        <w:t>（3）投标人开标前未在聊城不见面开标大厅完成签到工作、逾期解密的投标文件，招标人将不予受理。</w:t>
      </w:r>
    </w:p>
    <w:p>
      <w:pPr>
        <w:spacing w:line="360" w:lineRule="auto"/>
        <w:ind w:firstLine="480" w:firstLineChars="200"/>
        <w:rPr>
          <w:rFonts w:ascii="宋体" w:hAnsi="宋体" w:cs="宋体"/>
          <w:sz w:val="24"/>
          <w:szCs w:val="24"/>
        </w:rPr>
      </w:pPr>
      <w:r>
        <w:rPr>
          <w:rFonts w:hint="eastAsia" w:ascii="宋体" w:hAnsi="宋体" w:cs="宋体"/>
          <w:sz w:val="24"/>
          <w:szCs w:val="24"/>
        </w:rPr>
        <w:t>投标文件提交的截止时间见本须知前附表。</w:t>
      </w:r>
    </w:p>
    <w:p>
      <w:pPr>
        <w:spacing w:line="360" w:lineRule="auto"/>
        <w:ind w:firstLine="480" w:firstLineChars="200"/>
        <w:rPr>
          <w:rFonts w:ascii="宋体" w:hAnsi="宋体" w:cs="宋体"/>
          <w:sz w:val="24"/>
          <w:szCs w:val="24"/>
        </w:rPr>
      </w:pPr>
      <w:r>
        <w:rPr>
          <w:rFonts w:hint="eastAsia" w:ascii="宋体" w:hAnsi="宋体" w:cs="宋体"/>
          <w:sz w:val="24"/>
          <w:szCs w:val="24"/>
        </w:rPr>
        <w:t>采购人可以按本须知有关规定以补充通知的方式，酌情延长提交投标文件的截止时间。在上述情况下，采购人与投标人截止期方面的全部权力、责任和义务，将适用于延长后新的截止时间。</w:t>
      </w:r>
    </w:p>
    <w:p>
      <w:pPr>
        <w:spacing w:line="360" w:lineRule="auto"/>
        <w:ind w:firstLine="480" w:firstLineChars="200"/>
        <w:rPr>
          <w:rFonts w:ascii="宋体" w:hAnsi="宋体" w:cs="宋体"/>
          <w:sz w:val="24"/>
          <w:szCs w:val="24"/>
        </w:rPr>
      </w:pPr>
      <w:r>
        <w:rPr>
          <w:rFonts w:hint="eastAsia" w:ascii="宋体" w:hAnsi="宋体" w:cs="宋体"/>
          <w:sz w:val="24"/>
          <w:szCs w:val="24"/>
        </w:rPr>
        <w:t>到投标文件递交截止时间止，采购人收到的投标文件少于 3 个的，采购人将依法重新组织采购。</w:t>
      </w:r>
    </w:p>
    <w:p>
      <w:pPr>
        <w:spacing w:line="360" w:lineRule="auto"/>
        <w:rPr>
          <w:rFonts w:ascii="宋体" w:hAnsi="宋体" w:cs="宋体"/>
          <w:bCs/>
          <w:sz w:val="24"/>
          <w:szCs w:val="24"/>
        </w:rPr>
      </w:pPr>
      <w:r>
        <w:rPr>
          <w:rFonts w:hint="eastAsia" w:ascii="宋体" w:hAnsi="宋体" w:cs="宋体"/>
          <w:bCs/>
          <w:sz w:val="24"/>
          <w:szCs w:val="24"/>
        </w:rPr>
        <w:t>（二）电子投标文件制作：</w:t>
      </w:r>
    </w:p>
    <w:p>
      <w:pPr>
        <w:spacing w:line="360" w:lineRule="auto"/>
        <w:ind w:firstLine="480" w:firstLineChars="200"/>
        <w:rPr>
          <w:rFonts w:ascii="宋体" w:hAnsi="宋体" w:cs="宋体"/>
          <w:sz w:val="24"/>
          <w:szCs w:val="24"/>
        </w:rPr>
      </w:pPr>
      <w:r>
        <w:rPr>
          <w:rFonts w:hint="eastAsia" w:ascii="宋体" w:hAnsi="宋体" w:cs="宋体"/>
          <w:sz w:val="24"/>
          <w:szCs w:val="24"/>
        </w:rPr>
        <w:t>投标文件制作时，不同内容按标签提示制作导入，按照招标文件中明确的投标文件目录和技术标格式进行编制，保证目录清晰、内容完整。</w:t>
      </w:r>
    </w:p>
    <w:p>
      <w:pPr>
        <w:spacing w:line="360" w:lineRule="auto"/>
        <w:ind w:firstLine="480" w:firstLineChars="200"/>
        <w:rPr>
          <w:rFonts w:ascii="宋体" w:hAnsi="宋体" w:cs="宋体"/>
          <w:sz w:val="24"/>
          <w:szCs w:val="24"/>
        </w:rPr>
      </w:pPr>
      <w:r>
        <w:rPr>
          <w:rFonts w:hint="eastAsia" w:ascii="宋体" w:hAnsi="宋体" w:cs="宋体"/>
          <w:sz w:val="24"/>
          <w:szCs w:val="24"/>
        </w:rPr>
        <w:t>供应商递交的电子投标文件因供应商自身原因而导致无法导入电子辅助评标系统，该投标文件视为无效投标文件。</w:t>
      </w:r>
    </w:p>
    <w:p>
      <w:pPr>
        <w:spacing w:line="360" w:lineRule="auto"/>
        <w:ind w:firstLine="480" w:firstLineChars="200"/>
        <w:rPr>
          <w:rFonts w:ascii="宋体" w:hAnsi="宋体" w:cs="宋体"/>
          <w:sz w:val="24"/>
          <w:szCs w:val="24"/>
        </w:rPr>
      </w:pPr>
      <w:r>
        <w:rPr>
          <w:rFonts w:hint="eastAsia" w:ascii="宋体" w:hAnsi="宋体" w:cs="宋体"/>
          <w:sz w:val="24"/>
          <w:szCs w:val="24"/>
        </w:rPr>
        <w:t>为了保证电子标书的合法性、安全性和完整性，电子标书转换完成后，应在规定部位加盖供应商单位电子签章和法定代表人 CA 印章。电子投标文件签章要求：投标文件封面、开标一览表及电子招标文件规定的其它应签章处。电子招标文件制作工具中的签字统一要求如下：“法定代表人”要求通过CA签章锁盖法定代表人电子章；“委托代理人”只要求键盘输入委托代理人姓名即可。</w:t>
      </w:r>
    </w:p>
    <w:p>
      <w:pPr>
        <w:spacing w:line="360" w:lineRule="auto"/>
        <w:ind w:firstLine="480" w:firstLineChars="200"/>
        <w:rPr>
          <w:rFonts w:ascii="宋体" w:hAnsi="宋体" w:cs="宋体"/>
          <w:sz w:val="24"/>
          <w:szCs w:val="24"/>
        </w:rPr>
      </w:pPr>
      <w:r>
        <w:rPr>
          <w:rFonts w:hint="eastAsia" w:ascii="宋体" w:hAnsi="宋体" w:cs="宋体"/>
          <w:sz w:val="24"/>
          <w:szCs w:val="24"/>
        </w:rPr>
        <w:t>投标文件不得随意涂改和增删，错漏处如有修改，必须由供应商或其授权代理人签字和盖章；投标文件因字迹不清晰或表达不清楚所引起的后果由供应商负责；电子邮件、电话、传真形式的投标文件概不接受；</w:t>
      </w:r>
    </w:p>
    <w:p>
      <w:pPr>
        <w:snapToGrid w:val="0"/>
        <w:spacing w:line="360" w:lineRule="auto"/>
        <w:outlineLvl w:val="0"/>
        <w:rPr>
          <w:rFonts w:ascii="宋体" w:hAnsi="宋体" w:cs="宋体"/>
          <w:sz w:val="24"/>
          <w:szCs w:val="24"/>
        </w:rPr>
      </w:pPr>
      <w:bookmarkStart w:id="46" w:name="_Toc1972"/>
      <w:bookmarkStart w:id="47" w:name="_Toc9530"/>
      <w:bookmarkStart w:id="48" w:name="_Toc9159"/>
      <w:r>
        <w:rPr>
          <w:rFonts w:hint="eastAsia" w:ascii="宋体" w:hAnsi="宋体" w:cs="宋体"/>
          <w:sz w:val="24"/>
          <w:szCs w:val="24"/>
        </w:rPr>
        <w:t>（三）投标截止日期</w:t>
      </w:r>
      <w:bookmarkEnd w:id="46"/>
      <w:bookmarkEnd w:id="47"/>
      <w:bookmarkEnd w:id="48"/>
    </w:p>
    <w:p>
      <w:pPr>
        <w:tabs>
          <w:tab w:val="left" w:pos="180"/>
          <w:tab w:val="left" w:pos="360"/>
          <w:tab w:val="left" w:pos="540"/>
        </w:tabs>
        <w:snapToGrid w:val="0"/>
        <w:spacing w:line="360" w:lineRule="auto"/>
        <w:ind w:firstLine="480" w:firstLineChars="200"/>
        <w:rPr>
          <w:rFonts w:ascii="宋体" w:hAnsi="宋体" w:cs="宋体"/>
          <w:sz w:val="24"/>
          <w:szCs w:val="24"/>
        </w:rPr>
      </w:pPr>
      <w:r>
        <w:rPr>
          <w:rFonts w:hint="eastAsia" w:ascii="宋体" w:hAnsi="宋体" w:cs="宋体"/>
          <w:sz w:val="24"/>
          <w:szCs w:val="24"/>
        </w:rPr>
        <w:t>1、投标文件递交时间：</w:t>
      </w:r>
    </w:p>
    <w:p>
      <w:pPr>
        <w:snapToGrid w:val="0"/>
        <w:spacing w:line="360" w:lineRule="auto"/>
        <w:ind w:firstLine="960" w:firstLineChars="400"/>
        <w:rPr>
          <w:rFonts w:ascii="宋体" w:hAnsi="宋体" w:cs="宋体"/>
          <w:sz w:val="24"/>
          <w:szCs w:val="24"/>
        </w:rPr>
      </w:pPr>
      <w:r>
        <w:rPr>
          <w:rFonts w:hint="eastAsia" w:ascii="宋体" w:hAnsi="宋体" w:cs="宋体"/>
          <w:sz w:val="24"/>
          <w:szCs w:val="24"/>
        </w:rPr>
        <w:t>详见招标公告</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2、投标人代表必须在投标截止时间前将投标文件在聊城不见面开标大厅完成签到工作、逾期解密的投标文件。如因招标文件的修改，提前或推迟截止时间的，则按采购代理机构通知的时间递交；</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3、对投标人递交的投标文件不予以退还。</w:t>
      </w:r>
    </w:p>
    <w:p>
      <w:pPr>
        <w:snapToGrid w:val="0"/>
        <w:spacing w:line="360" w:lineRule="auto"/>
        <w:outlineLvl w:val="0"/>
        <w:rPr>
          <w:rFonts w:ascii="宋体" w:hAnsi="宋体" w:cs="宋体"/>
          <w:sz w:val="24"/>
          <w:szCs w:val="24"/>
        </w:rPr>
      </w:pPr>
      <w:bookmarkStart w:id="49" w:name="_Toc30152"/>
      <w:bookmarkStart w:id="50" w:name="_Toc26436"/>
      <w:bookmarkStart w:id="51" w:name="_Toc13830"/>
      <w:r>
        <w:rPr>
          <w:rFonts w:hint="eastAsia" w:ascii="宋体" w:hAnsi="宋体" w:cs="宋体"/>
          <w:sz w:val="24"/>
          <w:szCs w:val="24"/>
        </w:rPr>
        <w:t>（四）投标文件的修改和撤回</w:t>
      </w:r>
      <w:bookmarkEnd w:id="49"/>
      <w:bookmarkEnd w:id="50"/>
      <w:bookmarkEnd w:id="51"/>
    </w:p>
    <w:p>
      <w:pPr>
        <w:spacing w:line="360" w:lineRule="auto"/>
        <w:ind w:firstLine="480" w:firstLineChars="200"/>
        <w:rPr>
          <w:rFonts w:ascii="宋体" w:hAnsi="宋体" w:cs="宋体"/>
          <w:sz w:val="24"/>
          <w:szCs w:val="24"/>
        </w:rPr>
      </w:pPr>
      <w:r>
        <w:rPr>
          <w:rFonts w:hint="eastAsia" w:ascii="宋体" w:hAnsi="宋体" w:cs="宋体"/>
          <w:sz w:val="24"/>
          <w:szCs w:val="24"/>
        </w:rPr>
        <w:t>1、投标人在上传投标文件以后，在规定的投标文件递交截止时间之前，可以以书面形式补充、修改或撤回已提交的投标文件，并以书面形式通知采购人。补充、修改的内容为投标文件的组成部分。</w:t>
      </w:r>
    </w:p>
    <w:p>
      <w:pPr>
        <w:spacing w:line="360" w:lineRule="auto"/>
        <w:ind w:firstLine="480" w:firstLineChars="200"/>
        <w:rPr>
          <w:rFonts w:ascii="宋体" w:hAnsi="宋体" w:cs="宋体"/>
          <w:sz w:val="24"/>
          <w:szCs w:val="24"/>
        </w:rPr>
      </w:pPr>
      <w:r>
        <w:rPr>
          <w:rFonts w:hint="eastAsia" w:ascii="宋体" w:hAnsi="宋体" w:cs="宋体"/>
          <w:sz w:val="24"/>
          <w:szCs w:val="24"/>
        </w:rPr>
        <w:t>2、在投标文件递交截止时间之后，投标人不得补充、修改投标文件。</w:t>
      </w:r>
    </w:p>
    <w:p>
      <w:pPr>
        <w:spacing w:line="360" w:lineRule="auto"/>
        <w:ind w:firstLine="480" w:firstLineChars="200"/>
        <w:rPr>
          <w:rFonts w:ascii="宋体" w:hAnsi="宋体" w:cs="宋体"/>
          <w:sz w:val="24"/>
          <w:szCs w:val="24"/>
        </w:rPr>
      </w:pPr>
      <w:r>
        <w:rPr>
          <w:rFonts w:hint="eastAsia" w:ascii="宋体" w:hAnsi="宋体" w:cs="宋体"/>
          <w:sz w:val="24"/>
          <w:szCs w:val="24"/>
        </w:rPr>
        <w:t>3、根据须知表的规定,在报价有效期内投标人不能撤回投标文件。</w:t>
      </w:r>
    </w:p>
    <w:p>
      <w:pPr>
        <w:spacing w:line="360" w:lineRule="auto"/>
        <w:ind w:firstLine="480" w:firstLineChars="200"/>
        <w:rPr>
          <w:rFonts w:ascii="宋体" w:hAnsi="宋体" w:cs="宋体"/>
          <w:color w:val="FF0000"/>
          <w:sz w:val="24"/>
          <w:szCs w:val="24"/>
        </w:rPr>
      </w:pPr>
      <w:r>
        <w:rPr>
          <w:rFonts w:hint="eastAsia" w:ascii="宋体" w:hAnsi="宋体" w:cs="宋体"/>
          <w:sz w:val="24"/>
          <w:szCs w:val="24"/>
        </w:rPr>
        <w:t>4、投标人可在开标前任意时间制作并上传投标文件，若投标文件已上传且距离开标时间不足30分钟，投标文件将无法更改，也不可自行撤回。若投标文件已处于待解密状态，开标前放弃投标的，请现场联系代理公司工作人员撤回投标文件。</w:t>
      </w:r>
    </w:p>
    <w:p>
      <w:pPr>
        <w:snapToGrid w:val="0"/>
        <w:spacing w:line="360" w:lineRule="auto"/>
        <w:rPr>
          <w:rFonts w:ascii="宋体" w:hAnsi="宋体" w:cs="宋体"/>
          <w:sz w:val="24"/>
          <w:szCs w:val="24"/>
        </w:rPr>
      </w:pPr>
      <w:r>
        <w:rPr>
          <w:rFonts w:hint="eastAsia" w:ascii="宋体" w:hAnsi="宋体" w:cs="宋体"/>
          <w:sz w:val="24"/>
          <w:szCs w:val="24"/>
        </w:rPr>
        <w:t>（五）无效投标</w:t>
      </w:r>
    </w:p>
    <w:p>
      <w:pPr>
        <w:spacing w:line="360" w:lineRule="auto"/>
        <w:ind w:firstLine="480" w:firstLineChars="200"/>
        <w:rPr>
          <w:rFonts w:ascii="宋体" w:hAnsi="宋体" w:cs="宋体"/>
          <w:sz w:val="24"/>
          <w:szCs w:val="24"/>
        </w:rPr>
      </w:pPr>
      <w:r>
        <w:rPr>
          <w:rFonts w:hint="eastAsia" w:ascii="宋体" w:hAnsi="宋体" w:cs="宋体"/>
          <w:sz w:val="24"/>
          <w:szCs w:val="24"/>
        </w:rPr>
        <w:t>1、投标文件递交截止时间前，投标人有下列情况之一，其投标视为无效，其投标文件不予接受：</w:t>
      </w:r>
    </w:p>
    <w:p>
      <w:pPr>
        <w:spacing w:line="360" w:lineRule="auto"/>
        <w:ind w:firstLine="480" w:firstLineChars="200"/>
        <w:rPr>
          <w:rFonts w:ascii="宋体" w:hAnsi="宋体" w:cs="宋体"/>
          <w:sz w:val="24"/>
          <w:szCs w:val="24"/>
        </w:rPr>
      </w:pPr>
      <w:r>
        <w:rPr>
          <w:rFonts w:hint="eastAsia" w:ascii="宋体" w:hAnsi="宋体" w:cs="宋体"/>
          <w:sz w:val="24"/>
          <w:szCs w:val="24"/>
        </w:rPr>
        <w:t>（1）在投标文件递交截止时间后解密投标文件的；</w:t>
      </w:r>
    </w:p>
    <w:p>
      <w:pPr>
        <w:spacing w:line="360" w:lineRule="auto"/>
        <w:ind w:firstLine="480" w:firstLineChars="200"/>
        <w:rPr>
          <w:rFonts w:ascii="宋体" w:hAnsi="宋体" w:cs="宋体"/>
          <w:sz w:val="24"/>
          <w:szCs w:val="24"/>
        </w:rPr>
      </w:pPr>
      <w:r>
        <w:rPr>
          <w:rFonts w:hint="eastAsia" w:ascii="宋体" w:hAnsi="宋体" w:cs="宋体"/>
          <w:sz w:val="24"/>
          <w:szCs w:val="24"/>
        </w:rPr>
        <w:t>（2）法律、法规规定的其他情况。</w:t>
      </w:r>
    </w:p>
    <w:p>
      <w:pPr>
        <w:spacing w:line="360" w:lineRule="auto"/>
        <w:ind w:firstLine="480" w:firstLineChars="200"/>
        <w:rPr>
          <w:rFonts w:ascii="宋体" w:hAnsi="宋体" w:cs="宋体"/>
          <w:sz w:val="24"/>
          <w:szCs w:val="24"/>
        </w:rPr>
      </w:pPr>
      <w:r>
        <w:rPr>
          <w:rFonts w:hint="eastAsia" w:ascii="宋体" w:hAnsi="宋体" w:cs="宋体"/>
          <w:sz w:val="24"/>
          <w:szCs w:val="24"/>
        </w:rPr>
        <w:t>2、开标后，投标人有下列情况之一，其投标视为无效：</w:t>
      </w:r>
    </w:p>
    <w:p>
      <w:pPr>
        <w:spacing w:line="360" w:lineRule="auto"/>
        <w:ind w:firstLine="482" w:firstLineChars="200"/>
        <w:rPr>
          <w:rFonts w:ascii="宋体" w:hAnsi="宋体" w:cs="宋体"/>
          <w:b/>
          <w:sz w:val="24"/>
          <w:szCs w:val="24"/>
        </w:rPr>
      </w:pPr>
      <w:r>
        <w:rPr>
          <w:rFonts w:hint="eastAsia" w:ascii="宋体" w:hAnsi="宋体" w:cs="宋体"/>
          <w:b/>
          <w:sz w:val="24"/>
          <w:szCs w:val="24"/>
        </w:rPr>
        <w:t>（1）招标文件中要求必备的资质证书未能提供或提供不全资格审查不合格的；</w:t>
      </w:r>
    </w:p>
    <w:p>
      <w:pPr>
        <w:spacing w:line="360" w:lineRule="auto"/>
        <w:ind w:firstLine="482" w:firstLineChars="200"/>
        <w:rPr>
          <w:rFonts w:ascii="宋体" w:hAnsi="宋体" w:cs="宋体"/>
          <w:b/>
          <w:sz w:val="24"/>
          <w:szCs w:val="24"/>
        </w:rPr>
      </w:pPr>
      <w:r>
        <w:rPr>
          <w:rFonts w:hint="eastAsia" w:ascii="宋体" w:hAnsi="宋体" w:cs="宋体"/>
          <w:b/>
          <w:sz w:val="24"/>
          <w:szCs w:val="24"/>
        </w:rPr>
        <w:t>（2）投标文件中没有按照招标文件规定的印章、签字的；</w:t>
      </w:r>
    </w:p>
    <w:p>
      <w:pPr>
        <w:spacing w:line="360" w:lineRule="auto"/>
        <w:ind w:firstLine="482" w:firstLineChars="200"/>
        <w:rPr>
          <w:rFonts w:ascii="宋体" w:hAnsi="宋体" w:cs="宋体"/>
          <w:b/>
          <w:sz w:val="24"/>
          <w:szCs w:val="24"/>
        </w:rPr>
      </w:pPr>
      <w:r>
        <w:rPr>
          <w:rFonts w:hint="eastAsia" w:ascii="宋体" w:hAnsi="宋体" w:cs="宋体"/>
          <w:b/>
          <w:sz w:val="24"/>
          <w:szCs w:val="24"/>
        </w:rPr>
        <w:t>（3）投标文件的主要内容不全或者关键字迹模糊、无法辨认的；</w:t>
      </w:r>
    </w:p>
    <w:p>
      <w:pPr>
        <w:spacing w:line="360" w:lineRule="auto"/>
        <w:ind w:firstLine="482" w:firstLineChars="200"/>
        <w:rPr>
          <w:rFonts w:ascii="宋体" w:hAnsi="宋体" w:cs="宋体"/>
          <w:b/>
          <w:sz w:val="24"/>
          <w:szCs w:val="24"/>
        </w:rPr>
      </w:pPr>
      <w:r>
        <w:rPr>
          <w:rFonts w:hint="eastAsia" w:ascii="宋体" w:hAnsi="宋体" w:cs="宋体"/>
          <w:b/>
          <w:sz w:val="24"/>
          <w:szCs w:val="24"/>
        </w:rPr>
        <w:t>（4）报价有效期不能满足招标文件规定的；</w:t>
      </w:r>
    </w:p>
    <w:p>
      <w:pPr>
        <w:spacing w:line="360" w:lineRule="auto"/>
        <w:ind w:firstLine="482" w:firstLineChars="200"/>
        <w:rPr>
          <w:rFonts w:ascii="宋体" w:hAnsi="宋体" w:cs="宋体"/>
          <w:b/>
          <w:sz w:val="24"/>
          <w:szCs w:val="24"/>
        </w:rPr>
      </w:pPr>
      <w:r>
        <w:rPr>
          <w:rFonts w:hint="eastAsia" w:ascii="宋体" w:hAnsi="宋体" w:cs="宋体"/>
          <w:b/>
          <w:sz w:val="24"/>
          <w:szCs w:val="24"/>
        </w:rPr>
        <w:t>（5）明显不符合招标文件中技术标准和要求的；</w:t>
      </w:r>
    </w:p>
    <w:p>
      <w:pPr>
        <w:spacing w:line="360" w:lineRule="auto"/>
        <w:ind w:firstLine="482" w:firstLineChars="200"/>
        <w:rPr>
          <w:rFonts w:ascii="宋体" w:hAnsi="宋体" w:cs="宋体"/>
          <w:b/>
          <w:sz w:val="24"/>
          <w:szCs w:val="24"/>
        </w:rPr>
      </w:pPr>
      <w:r>
        <w:rPr>
          <w:rFonts w:hint="eastAsia" w:ascii="宋体" w:hAnsi="宋体" w:cs="宋体"/>
          <w:b/>
          <w:sz w:val="24"/>
          <w:szCs w:val="24"/>
        </w:rPr>
        <w:t>（6）投标文件未实质上响应招标文件要求的；</w:t>
      </w:r>
    </w:p>
    <w:p>
      <w:pPr>
        <w:spacing w:line="360" w:lineRule="auto"/>
        <w:ind w:firstLine="482" w:firstLineChars="200"/>
        <w:rPr>
          <w:rFonts w:ascii="宋体" w:hAnsi="宋体" w:cs="宋体"/>
          <w:b/>
          <w:sz w:val="24"/>
          <w:szCs w:val="24"/>
        </w:rPr>
      </w:pPr>
      <w:r>
        <w:rPr>
          <w:rFonts w:hint="eastAsia" w:ascii="宋体" w:hAnsi="宋体" w:cs="宋体"/>
          <w:b/>
          <w:sz w:val="24"/>
          <w:szCs w:val="24"/>
        </w:rPr>
        <w:t>（7）评审标准中明确规定的情况的；</w:t>
      </w:r>
    </w:p>
    <w:p>
      <w:pPr>
        <w:spacing w:line="360" w:lineRule="auto"/>
        <w:ind w:firstLine="482" w:firstLineChars="200"/>
        <w:rPr>
          <w:rFonts w:ascii="宋体" w:hAnsi="宋体" w:cs="宋体"/>
          <w:b/>
          <w:sz w:val="24"/>
          <w:szCs w:val="24"/>
        </w:rPr>
      </w:pPr>
      <w:r>
        <w:rPr>
          <w:rFonts w:hint="eastAsia" w:ascii="宋体" w:hAnsi="宋体" w:cs="宋体"/>
          <w:b/>
          <w:sz w:val="24"/>
          <w:szCs w:val="24"/>
        </w:rPr>
        <w:t>（8）供应商提供的有关资格、资质证明文件不真实，提供虚假报价材料；</w:t>
      </w:r>
    </w:p>
    <w:p>
      <w:pPr>
        <w:spacing w:line="360" w:lineRule="auto"/>
        <w:ind w:firstLine="482" w:firstLineChars="200"/>
        <w:rPr>
          <w:rFonts w:ascii="宋体" w:hAnsi="宋体" w:cs="宋体"/>
          <w:b/>
          <w:sz w:val="24"/>
          <w:szCs w:val="24"/>
        </w:rPr>
      </w:pPr>
      <w:r>
        <w:rPr>
          <w:rFonts w:hint="eastAsia" w:ascii="宋体" w:hAnsi="宋体" w:cs="宋体"/>
          <w:b/>
          <w:sz w:val="24"/>
          <w:szCs w:val="24"/>
        </w:rPr>
        <w:t>（9）招标人拒绝接受招标文件规定以外修正错误后的报价；</w:t>
      </w:r>
      <w:r>
        <w:rPr>
          <w:rFonts w:hint="eastAsia" w:ascii="宋体" w:hAnsi="宋体" w:cs="宋体"/>
          <w:b/>
          <w:sz w:val="24"/>
          <w:szCs w:val="24"/>
        </w:rPr>
        <w:tab/>
      </w:r>
    </w:p>
    <w:p>
      <w:pPr>
        <w:spacing w:line="360" w:lineRule="auto"/>
        <w:ind w:firstLine="482" w:firstLineChars="200"/>
        <w:rPr>
          <w:rFonts w:ascii="宋体" w:hAnsi="宋体" w:cs="宋体"/>
          <w:b/>
          <w:sz w:val="24"/>
          <w:szCs w:val="24"/>
        </w:rPr>
      </w:pPr>
      <w:r>
        <w:rPr>
          <w:rFonts w:hint="eastAsia" w:ascii="宋体" w:hAnsi="宋体" w:cs="宋体"/>
          <w:b/>
          <w:sz w:val="24"/>
          <w:szCs w:val="24"/>
        </w:rPr>
        <w:t>（10）在整个评审过程中，供应商有企图影响评审结果的任何不当活动；</w:t>
      </w:r>
    </w:p>
    <w:p>
      <w:pPr>
        <w:spacing w:line="360" w:lineRule="auto"/>
        <w:ind w:firstLine="482" w:firstLineChars="200"/>
        <w:rPr>
          <w:rFonts w:ascii="宋体" w:hAnsi="宋体" w:cs="宋体"/>
          <w:b/>
          <w:sz w:val="24"/>
          <w:szCs w:val="24"/>
        </w:rPr>
      </w:pPr>
      <w:r>
        <w:rPr>
          <w:rFonts w:hint="eastAsia" w:ascii="宋体" w:hAnsi="宋体" w:cs="宋体"/>
          <w:b/>
          <w:sz w:val="24"/>
          <w:szCs w:val="24"/>
        </w:rPr>
        <w:t>（11）供应商串通报价或采用不正当竞争方式；</w:t>
      </w:r>
    </w:p>
    <w:p>
      <w:pPr>
        <w:spacing w:line="360" w:lineRule="auto"/>
        <w:ind w:firstLine="482" w:firstLineChars="200"/>
        <w:rPr>
          <w:rFonts w:ascii="宋体" w:hAnsi="宋体" w:cs="宋体"/>
          <w:b/>
          <w:sz w:val="24"/>
          <w:szCs w:val="24"/>
        </w:rPr>
      </w:pPr>
      <w:r>
        <w:rPr>
          <w:rFonts w:hint="eastAsia" w:ascii="宋体" w:hAnsi="宋体" w:cs="宋体"/>
          <w:b/>
          <w:sz w:val="24"/>
          <w:szCs w:val="24"/>
        </w:rPr>
        <w:t>（12）供应商企图以不正当方式诋毁其他供应商；</w:t>
      </w:r>
    </w:p>
    <w:p>
      <w:pPr>
        <w:spacing w:line="360" w:lineRule="auto"/>
        <w:ind w:firstLine="482" w:firstLineChars="200"/>
        <w:rPr>
          <w:rFonts w:ascii="宋体" w:hAnsi="宋体" w:cs="宋体"/>
          <w:b/>
          <w:sz w:val="24"/>
          <w:szCs w:val="24"/>
        </w:rPr>
      </w:pPr>
      <w:r>
        <w:rPr>
          <w:rFonts w:hint="eastAsia" w:ascii="宋体" w:hAnsi="宋体" w:cs="宋体"/>
          <w:b/>
          <w:sz w:val="24"/>
          <w:szCs w:val="24"/>
        </w:rPr>
        <w:t xml:space="preserve">（13）评审过程中，评审小组认为供应商的报价明显低于其他合格供应商的报价，有可能影响服务质量或者不能诚信履约的，应当要求其在评审现场合理的时间内提供书面说明，必要时提交相关证明材料；供应商不能证明其报价合理性的，评审小组应当将其作为无效处理； </w:t>
      </w:r>
    </w:p>
    <w:p>
      <w:pPr>
        <w:spacing w:line="360" w:lineRule="auto"/>
        <w:ind w:firstLine="482" w:firstLineChars="200"/>
        <w:rPr>
          <w:rFonts w:ascii="宋体" w:hAnsi="宋体" w:cs="宋体"/>
          <w:b/>
          <w:sz w:val="24"/>
          <w:szCs w:val="24"/>
        </w:rPr>
      </w:pPr>
      <w:r>
        <w:rPr>
          <w:rFonts w:hint="eastAsia" w:ascii="宋体" w:hAnsi="宋体" w:cs="宋体"/>
          <w:b/>
          <w:sz w:val="24"/>
          <w:szCs w:val="24"/>
        </w:rPr>
        <w:t xml:space="preserve">（14）初始报价或最后报价超过采购控制价的； </w:t>
      </w:r>
    </w:p>
    <w:p>
      <w:pPr>
        <w:spacing w:line="360" w:lineRule="auto"/>
        <w:ind w:firstLine="482" w:firstLineChars="200"/>
        <w:rPr>
          <w:rFonts w:hint="eastAsia" w:ascii="宋体" w:hAnsi="宋体" w:cs="宋体"/>
          <w:b/>
          <w:sz w:val="24"/>
          <w:szCs w:val="24"/>
        </w:rPr>
      </w:pPr>
      <w:r>
        <w:rPr>
          <w:rFonts w:hint="eastAsia" w:ascii="宋体" w:hAnsi="宋体" w:cs="宋体"/>
          <w:b/>
          <w:sz w:val="24"/>
          <w:szCs w:val="24"/>
        </w:rPr>
        <w:t>（15）</w:t>
      </w:r>
      <w:r>
        <w:rPr>
          <w:rFonts w:hint="eastAsia" w:ascii="宋体" w:hAnsi="宋体" w:eastAsia="宋体" w:cs="宋体"/>
          <w:b/>
          <w:sz w:val="24"/>
          <w:szCs w:val="24"/>
        </w:rPr>
        <w:t>投标文件中的项目负责人（项目经理）、联系人/授权人与系统内的项目负责人（项目经理）、联系人/授权人不一致；</w:t>
      </w:r>
    </w:p>
    <w:p>
      <w:pPr>
        <w:spacing w:line="360" w:lineRule="auto"/>
        <w:ind w:firstLine="482" w:firstLineChars="200"/>
        <w:rPr>
          <w:rFonts w:ascii="宋体" w:hAnsi="宋体" w:cs="宋体"/>
          <w:b/>
          <w:sz w:val="24"/>
          <w:szCs w:val="24"/>
        </w:rPr>
      </w:pPr>
      <w:r>
        <w:rPr>
          <w:rFonts w:hint="eastAsia" w:ascii="宋体" w:hAnsi="宋体" w:cs="宋体"/>
          <w:b/>
          <w:sz w:val="24"/>
          <w:szCs w:val="24"/>
        </w:rPr>
        <w:t>（16）在《信用中国》网站查询目前被列入失信被执行人、异常经营名录、税收违法黑名单、在《中国政府采购网》查询目前被列入政府采购严重违法失信行为记录名单的；</w:t>
      </w:r>
    </w:p>
    <w:p>
      <w:pPr>
        <w:spacing w:line="360" w:lineRule="auto"/>
        <w:ind w:firstLine="482" w:firstLineChars="200"/>
        <w:rPr>
          <w:rFonts w:ascii="宋体" w:hAnsi="宋体" w:cs="宋体"/>
          <w:b/>
          <w:sz w:val="24"/>
          <w:szCs w:val="24"/>
        </w:rPr>
      </w:pPr>
      <w:r>
        <w:rPr>
          <w:rFonts w:hint="eastAsia" w:ascii="宋体" w:hAnsi="宋体" w:cs="宋体"/>
          <w:b/>
          <w:sz w:val="24"/>
          <w:szCs w:val="24"/>
        </w:rPr>
        <w:t>（17）响应文件制作机器码、响应文件创建标识码一致或造价软件加密锁号一致，以涉嫌串通投标作无效标处理，并将有关问题上报至行政监管部门处理。</w:t>
      </w:r>
    </w:p>
    <w:p>
      <w:pPr>
        <w:spacing w:line="360" w:lineRule="auto"/>
        <w:ind w:firstLine="482" w:firstLineChars="200"/>
        <w:rPr>
          <w:rFonts w:ascii="宋体" w:hAnsi="宋体" w:cs="宋体"/>
          <w:b/>
          <w:sz w:val="24"/>
          <w:szCs w:val="24"/>
        </w:rPr>
      </w:pPr>
      <w:r>
        <w:rPr>
          <w:rFonts w:hint="eastAsia" w:ascii="宋体" w:hAnsi="宋体" w:cs="宋体"/>
          <w:b/>
          <w:sz w:val="24"/>
          <w:szCs w:val="24"/>
        </w:rPr>
        <w:t>（18）电子清标中，技术标雷同性分析，存在高度雷同的技术标评分项且企业无法合理解释或高度雷同项达到一定数量的，由评审委员会作无效标处理。（具体数量由评审委员会协商确定）</w:t>
      </w:r>
    </w:p>
    <w:p>
      <w:pPr>
        <w:spacing w:line="360" w:lineRule="auto"/>
        <w:ind w:firstLine="482" w:firstLineChars="200"/>
        <w:rPr>
          <w:rFonts w:ascii="宋体" w:hAnsi="宋体" w:cs="宋体"/>
          <w:b/>
          <w:sz w:val="24"/>
          <w:szCs w:val="24"/>
        </w:rPr>
      </w:pPr>
      <w:r>
        <w:rPr>
          <w:rFonts w:hint="eastAsia" w:ascii="宋体" w:hAnsi="宋体" w:cs="宋体"/>
          <w:b/>
          <w:sz w:val="24"/>
          <w:szCs w:val="24"/>
        </w:rPr>
        <w:t>（19）法律、法规规定的其他情况。</w:t>
      </w:r>
    </w:p>
    <w:p>
      <w:pPr>
        <w:spacing w:line="360" w:lineRule="auto"/>
        <w:ind w:firstLine="480" w:firstLineChars="200"/>
        <w:rPr>
          <w:rFonts w:ascii="宋体" w:hAnsi="宋体" w:cs="宋体"/>
          <w:sz w:val="24"/>
          <w:szCs w:val="24"/>
        </w:rPr>
      </w:pPr>
      <w:r>
        <w:rPr>
          <w:rFonts w:hint="eastAsia" w:ascii="宋体" w:hAnsi="宋体" w:cs="宋体"/>
          <w:sz w:val="24"/>
          <w:szCs w:val="24"/>
        </w:rPr>
        <w:t>3、在投标过程中，投标人有下列情况之一的，其投标视为无效，并取消其中标资格：</w:t>
      </w:r>
    </w:p>
    <w:p>
      <w:pPr>
        <w:spacing w:line="360" w:lineRule="auto"/>
        <w:ind w:firstLine="480" w:firstLineChars="200"/>
        <w:rPr>
          <w:rFonts w:ascii="宋体" w:hAnsi="宋体" w:cs="宋体"/>
          <w:sz w:val="24"/>
          <w:szCs w:val="24"/>
        </w:rPr>
      </w:pPr>
      <w:r>
        <w:rPr>
          <w:rFonts w:hint="eastAsia" w:ascii="宋体" w:hAnsi="宋体" w:cs="宋体"/>
          <w:sz w:val="24"/>
          <w:szCs w:val="24"/>
        </w:rPr>
        <w:t>（1）投标人在投标有效期内撤回投标；</w:t>
      </w:r>
    </w:p>
    <w:p>
      <w:pPr>
        <w:spacing w:line="360" w:lineRule="auto"/>
        <w:ind w:firstLine="480" w:firstLineChars="200"/>
        <w:rPr>
          <w:rFonts w:ascii="宋体" w:hAnsi="宋体" w:cs="宋体"/>
          <w:sz w:val="24"/>
          <w:szCs w:val="24"/>
        </w:rPr>
      </w:pPr>
      <w:r>
        <w:rPr>
          <w:rFonts w:hint="eastAsia" w:ascii="宋体" w:hAnsi="宋体" w:cs="宋体"/>
          <w:sz w:val="24"/>
          <w:szCs w:val="24"/>
        </w:rPr>
        <w:t>（2）投标人有企图影响评标结果的违法、违规活动；</w:t>
      </w:r>
    </w:p>
    <w:p>
      <w:pPr>
        <w:spacing w:line="360" w:lineRule="auto"/>
        <w:ind w:firstLine="480" w:firstLineChars="200"/>
        <w:rPr>
          <w:rFonts w:ascii="宋体" w:hAnsi="宋体" w:cs="宋体"/>
          <w:sz w:val="24"/>
          <w:szCs w:val="24"/>
        </w:rPr>
      </w:pPr>
      <w:r>
        <w:rPr>
          <w:rFonts w:hint="eastAsia" w:ascii="宋体" w:hAnsi="宋体" w:cs="宋体"/>
          <w:sz w:val="24"/>
          <w:szCs w:val="24"/>
        </w:rPr>
        <w:t>（3）投标人串通投标；</w:t>
      </w:r>
    </w:p>
    <w:p>
      <w:pPr>
        <w:spacing w:line="360" w:lineRule="auto"/>
        <w:ind w:firstLine="480" w:firstLineChars="200"/>
        <w:rPr>
          <w:rFonts w:ascii="宋体" w:hAnsi="宋体" w:cs="宋体"/>
          <w:sz w:val="24"/>
          <w:szCs w:val="24"/>
        </w:rPr>
      </w:pPr>
      <w:r>
        <w:rPr>
          <w:rFonts w:hint="eastAsia" w:ascii="宋体" w:hAnsi="宋体" w:cs="宋体"/>
          <w:sz w:val="24"/>
          <w:szCs w:val="24"/>
        </w:rPr>
        <w:t>（4）投标人向采购人、采购代理机构提供不正当利益；</w:t>
      </w:r>
    </w:p>
    <w:p>
      <w:pPr>
        <w:spacing w:line="360" w:lineRule="auto"/>
        <w:ind w:firstLine="480" w:firstLineChars="200"/>
        <w:rPr>
          <w:rFonts w:ascii="宋体" w:hAnsi="宋体" w:cs="宋体"/>
          <w:sz w:val="24"/>
          <w:szCs w:val="24"/>
        </w:rPr>
      </w:pPr>
      <w:r>
        <w:rPr>
          <w:rFonts w:hint="eastAsia" w:ascii="宋体" w:hAnsi="宋体" w:cs="宋体"/>
          <w:sz w:val="24"/>
          <w:szCs w:val="24"/>
        </w:rPr>
        <w:t>（5）法律、法规规定的其他情况。</w:t>
      </w:r>
    </w:p>
    <w:p>
      <w:pPr>
        <w:spacing w:line="360" w:lineRule="auto"/>
        <w:ind w:left="2" w:leftChars="1" w:firstLine="480" w:firstLineChars="200"/>
        <w:rPr>
          <w:rFonts w:ascii="宋体" w:hAnsi="宋体" w:cs="宋体"/>
          <w:sz w:val="24"/>
          <w:szCs w:val="24"/>
        </w:rPr>
      </w:pPr>
      <w:r>
        <w:rPr>
          <w:rFonts w:hint="eastAsia" w:ascii="宋体" w:hAnsi="宋体" w:cs="宋体"/>
          <w:sz w:val="24"/>
          <w:szCs w:val="24"/>
        </w:rPr>
        <w:t>4、评标结束后，中标人有下列情况之一的，其投标视为无效，并取消其中标资格：</w:t>
      </w:r>
    </w:p>
    <w:p>
      <w:pPr>
        <w:spacing w:line="360" w:lineRule="auto"/>
        <w:ind w:firstLine="480" w:firstLineChars="200"/>
        <w:rPr>
          <w:rFonts w:ascii="宋体" w:hAnsi="宋体" w:cs="宋体"/>
          <w:sz w:val="24"/>
          <w:szCs w:val="24"/>
        </w:rPr>
      </w:pPr>
      <w:r>
        <w:rPr>
          <w:rFonts w:hint="eastAsia" w:ascii="宋体" w:hAnsi="宋体" w:cs="宋体"/>
          <w:sz w:val="24"/>
          <w:szCs w:val="24"/>
        </w:rPr>
        <w:t>（1）中标人不按规定签订合同；</w:t>
      </w:r>
    </w:p>
    <w:p>
      <w:pPr>
        <w:spacing w:line="360" w:lineRule="auto"/>
        <w:ind w:firstLine="480" w:firstLineChars="200"/>
        <w:rPr>
          <w:rFonts w:ascii="宋体" w:hAnsi="宋体" w:cs="宋体"/>
          <w:sz w:val="24"/>
          <w:szCs w:val="24"/>
        </w:rPr>
      </w:pPr>
      <w:r>
        <w:rPr>
          <w:rFonts w:hint="eastAsia" w:ascii="宋体" w:hAnsi="宋体" w:cs="宋体"/>
          <w:sz w:val="24"/>
          <w:szCs w:val="24"/>
        </w:rPr>
        <w:t>（2）法律、法规规定的其他情况。</w:t>
      </w:r>
    </w:p>
    <w:p>
      <w:pPr>
        <w:spacing w:line="360" w:lineRule="auto"/>
        <w:ind w:left="2" w:leftChars="1" w:firstLine="480" w:firstLineChars="200"/>
        <w:rPr>
          <w:rFonts w:ascii="宋体" w:hAnsi="宋体" w:cs="宋体"/>
          <w:sz w:val="24"/>
          <w:szCs w:val="24"/>
        </w:rPr>
      </w:pPr>
      <w:r>
        <w:rPr>
          <w:rFonts w:hint="eastAsia" w:ascii="宋体" w:hAnsi="宋体" w:cs="宋体"/>
          <w:sz w:val="24"/>
          <w:szCs w:val="24"/>
        </w:rPr>
        <w:t>投标人如有以上行为，采购人及采购代理机构有权根据情况性质按照《中华人民共和国政府采购法》及有关法律法规追究其法律责任。给采购人及采购代理机构造成损失的，采购人及采购代理机构有索赔的权利。</w:t>
      </w:r>
    </w:p>
    <w:p>
      <w:pPr>
        <w:pStyle w:val="54"/>
        <w:ind w:firstLine="482" w:firstLineChars="200"/>
        <w:rPr>
          <w:rFonts w:hint="default" w:ascii="宋体" w:hAnsi="宋体" w:cs="宋体"/>
          <w:b/>
        </w:rPr>
      </w:pPr>
      <w:r>
        <w:rPr>
          <w:rFonts w:ascii="宋体" w:hAnsi="宋体" w:cs="宋体"/>
          <w:b/>
        </w:rPr>
        <w:t>5、投标人有下列情形之一的，根据《中华人民共和国政府采购法》第七十七条规定处理：</w:t>
      </w:r>
    </w:p>
    <w:p>
      <w:pPr>
        <w:pStyle w:val="54"/>
        <w:ind w:firstLine="482" w:firstLineChars="200"/>
        <w:rPr>
          <w:rFonts w:hint="default" w:ascii="宋体" w:hAnsi="宋体" w:cs="宋体"/>
          <w:b/>
        </w:rPr>
      </w:pPr>
      <w:r>
        <w:rPr>
          <w:rFonts w:ascii="宋体" w:hAnsi="宋体" w:cs="宋体"/>
          <w:b/>
        </w:rPr>
        <w:t>（1）投标人提供的技术等参数必须是真实所报产品的参数，凡是提供的材料与所报产品不一致的或提供虚假材料的；</w:t>
      </w:r>
    </w:p>
    <w:p>
      <w:pPr>
        <w:pStyle w:val="54"/>
        <w:ind w:firstLine="482" w:firstLineChars="200"/>
        <w:rPr>
          <w:rFonts w:hint="default" w:ascii="宋体" w:hAnsi="宋体" w:cs="宋体"/>
          <w:b/>
        </w:rPr>
      </w:pPr>
      <w:r>
        <w:rPr>
          <w:rFonts w:ascii="宋体" w:hAnsi="宋体" w:cs="宋体"/>
          <w:b/>
        </w:rPr>
        <w:t>（2）所有业绩现场网络检查，凡是提供虚假业绩的；</w:t>
      </w:r>
    </w:p>
    <w:p>
      <w:pPr>
        <w:spacing w:line="360" w:lineRule="auto"/>
        <w:ind w:firstLine="482" w:firstLineChars="200"/>
        <w:rPr>
          <w:rFonts w:ascii="宋体" w:hAnsi="宋体" w:cs="宋体"/>
          <w:sz w:val="24"/>
          <w:szCs w:val="24"/>
        </w:rPr>
      </w:pPr>
      <w:r>
        <w:rPr>
          <w:rFonts w:hint="eastAsia" w:ascii="宋体" w:hAnsi="宋体" w:cs="宋体"/>
          <w:b/>
          <w:sz w:val="24"/>
          <w:szCs w:val="24"/>
        </w:rPr>
        <w:t>（3）法律、法规规定的其他情况</w:t>
      </w:r>
      <w:r>
        <w:rPr>
          <w:rFonts w:hint="eastAsia" w:ascii="宋体" w:hAnsi="宋体" w:cs="宋体"/>
          <w:sz w:val="24"/>
          <w:szCs w:val="24"/>
        </w:rPr>
        <w:t>。</w:t>
      </w:r>
    </w:p>
    <w:p>
      <w:pPr>
        <w:snapToGrid w:val="0"/>
        <w:spacing w:line="360" w:lineRule="auto"/>
        <w:rPr>
          <w:rFonts w:ascii="宋体" w:hAnsi="宋体" w:cs="宋体"/>
          <w:sz w:val="24"/>
          <w:szCs w:val="24"/>
        </w:rPr>
      </w:pPr>
      <w:r>
        <w:rPr>
          <w:rFonts w:hint="eastAsia" w:ascii="宋体" w:hAnsi="宋体" w:cs="宋体"/>
          <w:sz w:val="24"/>
          <w:szCs w:val="24"/>
        </w:rPr>
        <w:t>（六）在采购活动中，有下列情形之一的，采购人予以废标或者终止采购活动，并将理由书面告知所有投标人：</w:t>
      </w:r>
    </w:p>
    <w:p>
      <w:pPr>
        <w:snapToGrid w:val="0"/>
        <w:spacing w:line="360" w:lineRule="auto"/>
        <w:ind w:left="239" w:leftChars="114" w:firstLine="240" w:firstLineChars="100"/>
        <w:rPr>
          <w:rFonts w:ascii="宋体" w:hAnsi="宋体" w:cs="宋体"/>
          <w:sz w:val="24"/>
          <w:szCs w:val="24"/>
        </w:rPr>
      </w:pPr>
      <w:r>
        <w:rPr>
          <w:rFonts w:hint="eastAsia" w:ascii="宋体" w:hAnsi="宋体" w:cs="宋体"/>
          <w:sz w:val="24"/>
          <w:szCs w:val="24"/>
        </w:rPr>
        <w:t xml:space="preserve">  1、在投标截止时间结束后参加投标的投标人不足3家，符合招标文件规定条件的投标人不足3家或者对招标文件作实质性响应的投标人不足3家的；</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　2、出现影响采购公正的违法违规行为的；</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　3、投标人的报价均超过采购预算的；</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　4、因重大变故，采购任务取消的。</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除前款第4项规定的情形外，采购人将重新组织采购。</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六、解释权</w:t>
      </w:r>
    </w:p>
    <w:p>
      <w:pPr>
        <w:pStyle w:val="19"/>
        <w:spacing w:line="360" w:lineRule="auto"/>
        <w:ind w:firstLine="0"/>
        <w:rPr>
          <w:rFonts w:hint="default" w:ascii="宋体" w:hAnsi="宋体" w:eastAsia="宋体" w:cs="宋体"/>
          <w:b w:val="0"/>
          <w:sz w:val="24"/>
          <w:szCs w:val="24"/>
          <w:lang w:eastAsia="zh-CN"/>
        </w:rPr>
      </w:pPr>
      <w:r>
        <w:rPr>
          <w:rFonts w:ascii="宋体" w:hAnsi="宋体" w:eastAsia="宋体" w:cs="宋体"/>
          <w:b w:val="0"/>
          <w:sz w:val="24"/>
          <w:szCs w:val="24"/>
          <w:lang w:eastAsia="zh-CN"/>
        </w:rPr>
        <w:t>（一） 本次招标的解释权为采购代理机构，当对一个问题有多种解释时以采购代理机构的书面解释为准；</w:t>
      </w:r>
    </w:p>
    <w:p>
      <w:pPr>
        <w:pStyle w:val="19"/>
        <w:spacing w:line="360" w:lineRule="auto"/>
        <w:ind w:firstLine="0"/>
        <w:rPr>
          <w:rFonts w:hint="default" w:ascii="宋体" w:hAnsi="宋体" w:eastAsia="宋体" w:cs="宋体"/>
          <w:b w:val="0"/>
          <w:sz w:val="24"/>
          <w:szCs w:val="24"/>
          <w:lang w:eastAsia="zh-CN"/>
        </w:rPr>
      </w:pPr>
      <w:r>
        <w:rPr>
          <w:rFonts w:ascii="宋体" w:hAnsi="宋体" w:eastAsia="宋体" w:cs="宋体"/>
          <w:b w:val="0"/>
          <w:sz w:val="24"/>
          <w:szCs w:val="24"/>
          <w:lang w:eastAsia="zh-CN"/>
        </w:rPr>
        <w:t>（二） 招标文件未作须知明示，而又有相关法律、法规规定的，采购代理机构对此所做解释以相关的法律、法规的规定为依据。</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七、质疑</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按照《中华人民共和国政府采购法》、《中华人民共和国政府采购法实施条例》、《政府采购质疑和投诉办法》等有关规定，参加本次政府采购活动的投标人认为招标文件、采购过程和成交结果使自己的权益受到损害的，可以在知道或者应知道其权益受到损害之日起七个工作日内，以书面形式向招标人或者招标代理机构提出质疑。</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1、投标人提出质疑应当提交质疑函和必要的证明材料。质疑函应当包括下列内容：</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（1）投标人的姓名或者名称、地址、邮编、联系人及联系电话；</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（2）质疑项目的名称、编号；</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（3）具体、明确的质疑事项和与质疑事项相关的请求；</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（4）事实依据；</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（5）必要的法律依据；</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（6）提出质疑的日期。</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投标人为自然人的，应当由本人签字；投标人为法人或者其他组织的，应当由法定代表人、主要负责人，或者其授权代表签字或者盖章，并加盖公章。</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代理人办理质疑事项时，还应当提交授权委托书，授权委托书应当载明代理的具体权限和事项，否则招标人或者招标代理机构不予受理。</w:t>
      </w:r>
    </w:p>
    <w:p>
      <w:pPr>
        <w:pStyle w:val="19"/>
        <w:spacing w:line="360" w:lineRule="auto"/>
        <w:ind w:firstLine="480" w:firstLineChars="200"/>
        <w:rPr>
          <w:rFonts w:hint="default" w:ascii="宋体" w:hAnsi="宋体" w:eastAsia="宋体" w:cs="宋体"/>
          <w:b w:val="0"/>
          <w:sz w:val="24"/>
          <w:szCs w:val="24"/>
        </w:rPr>
      </w:pPr>
      <w:r>
        <w:rPr>
          <w:rFonts w:ascii="宋体" w:hAnsi="宋体" w:eastAsia="宋体" w:cs="宋体"/>
          <w:b w:val="0"/>
          <w:sz w:val="24"/>
          <w:szCs w:val="24"/>
        </w:rPr>
        <w:t>质疑函范本下载地址：http://www.ccgp.gov.cn/</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接收质疑函的方式：书面形式。其他任何方式的质疑，招标人或者招标代理机构均不予接受和回复。</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联系部门：聊城诚亿项目管理有限公司</w:t>
      </w:r>
    </w:p>
    <w:p>
      <w:pPr>
        <w:pStyle w:val="19"/>
        <w:spacing w:line="360" w:lineRule="auto"/>
        <w:ind w:firstLine="480" w:firstLineChars="200"/>
        <w:rPr>
          <w:rFonts w:hint="eastAsia" w:ascii="宋体" w:hAnsi="宋体" w:eastAsia="宋体" w:cs="宋体"/>
          <w:b w:val="0"/>
          <w:sz w:val="24"/>
          <w:szCs w:val="24"/>
          <w:lang w:val="en-US" w:eastAsia="zh-CN"/>
        </w:rPr>
      </w:pPr>
      <w:r>
        <w:rPr>
          <w:rFonts w:ascii="宋体" w:hAnsi="宋体" w:eastAsia="宋体" w:cs="宋体"/>
          <w:b w:val="0"/>
          <w:sz w:val="24"/>
          <w:szCs w:val="24"/>
          <w:lang w:eastAsia="zh-CN"/>
        </w:rPr>
        <w:t>联系电话：</w:t>
      </w:r>
      <w:r>
        <w:rPr>
          <w:rFonts w:hint="eastAsia" w:ascii="宋体" w:hAnsi="宋体" w:eastAsia="宋体" w:cs="宋体"/>
          <w:b w:val="0"/>
          <w:sz w:val="24"/>
          <w:szCs w:val="24"/>
          <w:lang w:val="en-US" w:eastAsia="zh-CN"/>
        </w:rPr>
        <w:t>13371468186</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通讯地址：山东省聊城市东昌府区柳园办事处山水文园16号楼1单元9号商业</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2、投标人在法定质疑期内必须一次性提出针对同一采购程序环节的所有质疑，重复质疑或多次质疑招标人或者招标代理机构不予受理。</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3、招标人或者招标代理机构在收到质疑书后七个工作日内作出书面答复，并以书面形式通知质疑人和其他有关当事人，但答复不得涉及商业秘密。</w:t>
      </w:r>
    </w:p>
    <w:p>
      <w:pPr>
        <w:pStyle w:val="19"/>
        <w:spacing w:line="360" w:lineRule="auto"/>
        <w:ind w:firstLine="480" w:firstLineChars="200"/>
        <w:rPr>
          <w:rFonts w:hint="default" w:ascii="宋体" w:hAnsi="宋体" w:eastAsia="宋体" w:cs="宋体"/>
          <w:b w:val="0"/>
          <w:sz w:val="24"/>
          <w:szCs w:val="24"/>
          <w:lang w:eastAsia="zh-CN"/>
        </w:rPr>
      </w:pPr>
      <w:r>
        <w:rPr>
          <w:rFonts w:ascii="宋体" w:hAnsi="宋体" w:eastAsia="宋体" w:cs="宋体"/>
          <w:b w:val="0"/>
          <w:sz w:val="24"/>
          <w:szCs w:val="24"/>
          <w:lang w:eastAsia="zh-CN"/>
        </w:rPr>
        <w:t>4、质疑人对招标人、招标代理机构的答复不满意或者招标人、招标代理机构未在规定的时间内作出答复的，可以在答复期满后十五个工作日内向同级财政部门投诉。</w:t>
      </w: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pStyle w:val="19"/>
        <w:spacing w:line="360" w:lineRule="auto"/>
        <w:ind w:firstLine="480" w:firstLineChars="200"/>
        <w:rPr>
          <w:rFonts w:hint="default" w:ascii="宋体" w:hAnsi="宋体" w:eastAsia="宋体" w:cs="宋体"/>
          <w:b w:val="0"/>
          <w:sz w:val="24"/>
          <w:szCs w:val="24"/>
          <w:lang w:eastAsia="zh-CN"/>
        </w:rPr>
      </w:pPr>
    </w:p>
    <w:p>
      <w:pPr>
        <w:ind w:firstLine="4000" w:firstLineChars="1000"/>
        <w:rPr>
          <w:rFonts w:hint="eastAsia" w:ascii="宋体" w:hAnsi="宋体" w:cs="宋体"/>
          <w:color w:val="auto"/>
          <w:sz w:val="40"/>
          <w:szCs w:val="56"/>
          <w:highlight w:val="none"/>
          <w:lang w:val="en-US" w:eastAsia="zh-CN"/>
        </w:rPr>
      </w:pPr>
      <w:bookmarkStart w:id="52" w:name="_Toc3508"/>
    </w:p>
    <w:p>
      <w:pPr>
        <w:ind w:firstLine="4000" w:firstLineChars="1000"/>
        <w:rPr>
          <w:rFonts w:hint="eastAsia" w:ascii="宋体" w:hAnsi="宋体" w:cs="宋体"/>
          <w:color w:val="auto"/>
          <w:sz w:val="40"/>
          <w:szCs w:val="56"/>
          <w:highlight w:val="none"/>
          <w:lang w:val="en-US" w:eastAsia="zh-CN"/>
        </w:rPr>
      </w:pPr>
    </w:p>
    <w:p>
      <w:pPr>
        <w:ind w:firstLine="4000" w:firstLineChars="1000"/>
        <w:rPr>
          <w:rFonts w:hint="eastAsia" w:ascii="宋体" w:hAnsi="宋体" w:cs="宋体"/>
          <w:color w:val="auto"/>
          <w:sz w:val="40"/>
          <w:szCs w:val="56"/>
          <w:highlight w:val="none"/>
          <w:lang w:val="en-US" w:eastAsia="zh-CN"/>
        </w:rPr>
      </w:pPr>
    </w:p>
    <w:p>
      <w:pPr>
        <w:pStyle w:val="18"/>
        <w:rPr>
          <w:rFonts w:hint="eastAsia" w:ascii="宋体" w:hAnsi="宋体" w:cs="宋体"/>
          <w:color w:val="auto"/>
          <w:sz w:val="40"/>
          <w:szCs w:val="56"/>
          <w:highlight w:val="none"/>
          <w:lang w:val="en-US" w:eastAsia="zh-CN"/>
        </w:rPr>
      </w:pPr>
    </w:p>
    <w:p>
      <w:pPr>
        <w:rPr>
          <w:rFonts w:hint="eastAsia" w:ascii="宋体" w:hAnsi="宋体" w:cs="宋体"/>
          <w:color w:val="auto"/>
          <w:sz w:val="40"/>
          <w:szCs w:val="56"/>
          <w:highlight w:val="none"/>
          <w:lang w:val="en-US" w:eastAsia="zh-CN"/>
        </w:rPr>
      </w:pPr>
    </w:p>
    <w:p>
      <w:pPr>
        <w:ind w:firstLine="3600" w:firstLineChars="1000"/>
        <w:jc w:val="left"/>
        <w:rPr>
          <w:rFonts w:ascii="宋体" w:hAnsi="宋体" w:cs="宋体"/>
          <w:color w:val="auto"/>
          <w:sz w:val="36"/>
          <w:szCs w:val="36"/>
          <w:highlight w:val="none"/>
        </w:rPr>
      </w:pPr>
      <w:r>
        <w:rPr>
          <w:rFonts w:hint="eastAsia" w:ascii="宋体" w:hAnsi="宋体" w:cs="宋体"/>
          <w:color w:val="auto"/>
          <w:sz w:val="36"/>
          <w:szCs w:val="36"/>
          <w:highlight w:val="none"/>
          <w:lang w:val="en-US" w:eastAsia="zh-CN"/>
        </w:rPr>
        <w:t xml:space="preserve">第三章 </w:t>
      </w:r>
      <w:r>
        <w:rPr>
          <w:rFonts w:hint="eastAsia" w:ascii="宋体" w:hAnsi="宋体" w:cs="宋体"/>
          <w:color w:val="auto"/>
          <w:sz w:val="36"/>
          <w:szCs w:val="36"/>
          <w:highlight w:val="none"/>
        </w:rPr>
        <w:t>项目说明</w:t>
      </w:r>
      <w:bookmarkEnd w:id="18"/>
      <w:bookmarkEnd w:id="52"/>
      <w:bookmarkStart w:id="53" w:name="_Toc18744"/>
    </w:p>
    <w:p>
      <w:pPr>
        <w:spacing w:line="360" w:lineRule="auto"/>
        <w:ind w:firstLine="480" w:firstLineChars="200"/>
        <w:jc w:val="left"/>
        <w:rPr>
          <w:rFonts w:hint="eastAsia" w:ascii="宋体" w:hAnsi="宋体"/>
          <w:sz w:val="24"/>
          <w:szCs w:val="24"/>
        </w:rPr>
      </w:pPr>
      <w:bookmarkStart w:id="54" w:name="_Toc56874098"/>
      <w:bookmarkStart w:id="55" w:name="_Toc41501977"/>
      <w:bookmarkStart w:id="56" w:name="_Toc21544"/>
      <w:bookmarkStart w:id="57" w:name="_Toc40346950"/>
    </w:p>
    <w:p>
      <w:pPr>
        <w:spacing w:line="360" w:lineRule="auto"/>
        <w:ind w:firstLine="480" w:firstLineChars="200"/>
        <w:jc w:val="left"/>
        <w:rPr>
          <w:rFonts w:hint="eastAsia" w:ascii="宋体" w:hAnsi="宋体"/>
          <w:sz w:val="24"/>
          <w:szCs w:val="24"/>
          <w:lang w:eastAsia="zh-CN"/>
        </w:rPr>
      </w:pPr>
      <w:r>
        <w:rPr>
          <w:rFonts w:hint="eastAsia" w:ascii="宋体" w:hAnsi="宋体"/>
          <w:sz w:val="24"/>
          <w:szCs w:val="24"/>
        </w:rPr>
        <w:t>一、项目</w:t>
      </w:r>
      <w:bookmarkEnd w:id="54"/>
      <w:bookmarkEnd w:id="55"/>
      <w:bookmarkEnd w:id="56"/>
      <w:bookmarkEnd w:id="57"/>
      <w:r>
        <w:rPr>
          <w:rFonts w:hint="eastAsia" w:ascii="宋体" w:hAnsi="宋体"/>
          <w:sz w:val="24"/>
          <w:szCs w:val="24"/>
          <w:lang w:eastAsia="zh-CN"/>
        </w:rPr>
        <w:t>概述</w:t>
      </w:r>
    </w:p>
    <w:p>
      <w:pPr>
        <w:spacing w:line="360" w:lineRule="auto"/>
        <w:ind w:firstLine="480" w:firstLineChars="200"/>
        <w:jc w:val="left"/>
        <w:rPr>
          <w:rFonts w:hint="eastAsia" w:ascii="宋体" w:hAnsi="宋体"/>
          <w:sz w:val="24"/>
          <w:szCs w:val="24"/>
          <w:lang w:eastAsia="zh-CN"/>
        </w:rPr>
      </w:pPr>
      <w:r>
        <w:rPr>
          <w:rFonts w:hint="eastAsia" w:ascii="宋体" w:hAnsi="宋体"/>
          <w:sz w:val="24"/>
          <w:szCs w:val="24"/>
        </w:rPr>
        <w:t>为持续做好</w:t>
      </w:r>
      <w:r>
        <w:rPr>
          <w:rFonts w:hint="eastAsia" w:ascii="宋体" w:hAnsi="宋体"/>
          <w:sz w:val="24"/>
          <w:szCs w:val="24"/>
          <w:lang w:eastAsia="zh-CN"/>
        </w:rPr>
        <w:t>移动源</w:t>
      </w:r>
      <w:r>
        <w:rPr>
          <w:rFonts w:hint="eastAsia" w:ascii="宋体" w:hAnsi="宋体"/>
          <w:sz w:val="24"/>
          <w:szCs w:val="24"/>
        </w:rPr>
        <w:t>污染整治，保护和改善大气环境</w:t>
      </w:r>
      <w:r>
        <w:rPr>
          <w:rFonts w:hint="eastAsia" w:ascii="宋体" w:hAnsi="宋体"/>
          <w:sz w:val="24"/>
          <w:szCs w:val="24"/>
          <w:lang w:eastAsia="zh-CN"/>
        </w:rPr>
        <w:t>质量</w:t>
      </w:r>
      <w:r>
        <w:rPr>
          <w:rFonts w:hint="eastAsia" w:ascii="宋体" w:hAnsi="宋体"/>
          <w:sz w:val="24"/>
          <w:szCs w:val="24"/>
        </w:rPr>
        <w:t>，保障公众健康，根据《山东省非道路移动机械排气污染防治规定</w:t>
      </w:r>
      <w:r>
        <w:rPr>
          <w:rFonts w:hint="eastAsia" w:ascii="宋体" w:hAnsi="宋体"/>
          <w:sz w:val="24"/>
          <w:szCs w:val="24"/>
          <w:lang w:eastAsia="zh-CN"/>
        </w:rPr>
        <w:t>》《</w:t>
      </w:r>
      <w:r>
        <w:rPr>
          <w:rFonts w:hint="eastAsia" w:ascii="宋体" w:hAnsi="宋体"/>
          <w:sz w:val="24"/>
          <w:szCs w:val="24"/>
        </w:rPr>
        <w:t>山东省深入打好蓝天保卫战行动计划（2021—2025年）</w:t>
      </w:r>
      <w:r>
        <w:rPr>
          <w:rFonts w:hint="eastAsia" w:ascii="宋体" w:hAnsi="宋体"/>
          <w:sz w:val="24"/>
          <w:szCs w:val="24"/>
          <w:lang w:eastAsia="zh-CN"/>
        </w:rPr>
        <w:t>》《山东省非道路移动机械污染排放管控工作方案》</w:t>
      </w:r>
      <w:r>
        <w:rPr>
          <w:rFonts w:hint="eastAsia" w:ascii="宋体" w:hAnsi="宋体"/>
          <w:sz w:val="24"/>
          <w:szCs w:val="24"/>
        </w:rPr>
        <w:t>等</w:t>
      </w:r>
      <w:r>
        <w:rPr>
          <w:rFonts w:hint="eastAsia" w:ascii="宋体" w:hAnsi="宋体"/>
          <w:sz w:val="24"/>
          <w:szCs w:val="24"/>
          <w:lang w:eastAsia="zh-CN"/>
        </w:rPr>
        <w:t>文件</w:t>
      </w:r>
      <w:r>
        <w:rPr>
          <w:rFonts w:hint="eastAsia" w:ascii="宋体" w:hAnsi="宋体"/>
          <w:sz w:val="24"/>
          <w:szCs w:val="24"/>
        </w:rPr>
        <w:t>规定，</w:t>
      </w:r>
      <w:r>
        <w:rPr>
          <w:rFonts w:hint="eastAsia" w:ascii="宋体" w:hAnsi="宋体"/>
          <w:sz w:val="24"/>
          <w:szCs w:val="24"/>
          <w:lang w:eastAsia="zh-CN"/>
        </w:rPr>
        <w:t>要大力推动</w:t>
      </w:r>
      <w:r>
        <w:rPr>
          <w:rFonts w:hint="eastAsia" w:ascii="宋体" w:hAnsi="宋体"/>
          <w:sz w:val="24"/>
          <w:szCs w:val="24"/>
          <w:lang w:val="en-US" w:eastAsia="zh-CN"/>
        </w:rPr>
        <w:t>非道路移动机械</w:t>
      </w:r>
      <w:r>
        <w:rPr>
          <w:rFonts w:hint="eastAsia" w:ascii="宋体" w:hAnsi="宋体"/>
          <w:sz w:val="24"/>
          <w:szCs w:val="24"/>
          <w:lang w:eastAsia="zh-CN"/>
        </w:rPr>
        <w:t>污染管控，推进非道路移动机械污染排放治理，</w:t>
      </w:r>
      <w:r>
        <w:rPr>
          <w:rFonts w:hint="eastAsia" w:ascii="宋体" w:hAnsi="宋体"/>
          <w:sz w:val="24"/>
          <w:szCs w:val="24"/>
        </w:rPr>
        <w:t>安装定位装置，</w:t>
      </w:r>
      <w:r>
        <w:rPr>
          <w:rFonts w:hint="eastAsia" w:ascii="宋体" w:hAnsi="宋体"/>
          <w:sz w:val="24"/>
          <w:szCs w:val="24"/>
          <w:lang w:eastAsia="zh-CN"/>
        </w:rPr>
        <w:t>实时监控位置信息，并</w:t>
      </w:r>
      <w:r>
        <w:rPr>
          <w:rFonts w:hint="eastAsia" w:ascii="宋体" w:hAnsi="宋体"/>
          <w:sz w:val="24"/>
          <w:szCs w:val="24"/>
          <w:lang w:val="en-US" w:eastAsia="zh-CN"/>
        </w:rPr>
        <w:t>实现</w:t>
      </w:r>
      <w:r>
        <w:rPr>
          <w:rFonts w:hint="eastAsia" w:ascii="宋体" w:hAnsi="宋体"/>
          <w:sz w:val="24"/>
          <w:szCs w:val="24"/>
        </w:rPr>
        <w:t>与</w:t>
      </w:r>
      <w:r>
        <w:rPr>
          <w:rFonts w:hint="eastAsia" w:ascii="宋体" w:hAnsi="宋体"/>
          <w:sz w:val="24"/>
          <w:szCs w:val="24"/>
          <w:lang w:val="en-US" w:eastAsia="zh-CN"/>
        </w:rPr>
        <w:t>省、</w:t>
      </w:r>
      <w:r>
        <w:rPr>
          <w:rFonts w:hint="eastAsia" w:ascii="宋体" w:hAnsi="宋体"/>
          <w:sz w:val="24"/>
          <w:szCs w:val="24"/>
          <w:lang w:eastAsia="zh-CN"/>
        </w:rPr>
        <w:t>市监管平台</w:t>
      </w:r>
      <w:r>
        <w:rPr>
          <w:rFonts w:hint="eastAsia" w:ascii="宋体" w:hAnsi="宋体"/>
          <w:sz w:val="24"/>
          <w:szCs w:val="24"/>
        </w:rPr>
        <w:t>联网</w:t>
      </w:r>
      <w:r>
        <w:rPr>
          <w:rFonts w:hint="eastAsia" w:ascii="宋体" w:hAnsi="宋体"/>
          <w:sz w:val="24"/>
          <w:szCs w:val="24"/>
          <w:lang w:eastAsia="zh-CN"/>
        </w:rPr>
        <w:t>。</w:t>
      </w:r>
    </w:p>
    <w:p>
      <w:pPr>
        <w:spacing w:line="360" w:lineRule="auto"/>
        <w:ind w:firstLine="480" w:firstLineChars="200"/>
        <w:jc w:val="left"/>
        <w:rPr>
          <w:rFonts w:hint="eastAsia" w:ascii="宋体" w:hAnsi="宋体"/>
          <w:sz w:val="24"/>
          <w:szCs w:val="24"/>
          <w:lang w:eastAsia="zh-CN"/>
        </w:rPr>
      </w:pPr>
      <w:r>
        <w:rPr>
          <w:rFonts w:hint="eastAsia" w:ascii="宋体" w:hAnsi="宋体"/>
          <w:sz w:val="24"/>
          <w:szCs w:val="24"/>
          <w:lang w:eastAsia="zh-CN"/>
        </w:rPr>
        <w:t>二、项目建设必要性</w:t>
      </w:r>
    </w:p>
    <w:p>
      <w:pPr>
        <w:spacing w:line="360" w:lineRule="auto"/>
        <w:ind w:firstLine="720" w:firstLineChars="300"/>
        <w:jc w:val="left"/>
        <w:rPr>
          <w:rFonts w:hint="eastAsia" w:ascii="宋体" w:hAnsi="宋体"/>
          <w:sz w:val="24"/>
          <w:szCs w:val="24"/>
        </w:rPr>
      </w:pPr>
      <w:r>
        <w:rPr>
          <w:rFonts w:hint="eastAsia" w:ascii="宋体" w:hAnsi="宋体"/>
          <w:sz w:val="24"/>
          <w:szCs w:val="24"/>
        </w:rPr>
        <w:t>目前，我市</w:t>
      </w:r>
      <w:r>
        <w:rPr>
          <w:rFonts w:hint="eastAsia" w:ascii="宋体" w:hAnsi="宋体"/>
          <w:sz w:val="24"/>
          <w:szCs w:val="24"/>
          <w:lang w:val="en-US" w:eastAsia="zh-CN"/>
        </w:rPr>
        <w:t>非道路移动机械已排查登记5.1万多台，其中在用柴油机械4.3万台。为贯彻落实</w:t>
      </w:r>
      <w:r>
        <w:rPr>
          <w:rFonts w:hint="eastAsia" w:ascii="宋体" w:hAnsi="宋体"/>
          <w:sz w:val="24"/>
          <w:szCs w:val="24"/>
          <w:lang w:eastAsia="zh-CN"/>
        </w:rPr>
        <w:t>《</w:t>
      </w:r>
      <w:r>
        <w:rPr>
          <w:rFonts w:hint="eastAsia" w:ascii="宋体" w:hAnsi="宋体"/>
          <w:sz w:val="24"/>
          <w:szCs w:val="24"/>
        </w:rPr>
        <w:t>山东省深入打好蓝天保卫战行动计划（2021—2025年）</w:t>
      </w:r>
      <w:r>
        <w:rPr>
          <w:rFonts w:hint="eastAsia" w:ascii="宋体" w:hAnsi="宋体"/>
          <w:sz w:val="24"/>
          <w:szCs w:val="24"/>
          <w:lang w:eastAsia="zh-CN"/>
        </w:rPr>
        <w:t>》《山东省非道路移动机械污染排放管控工作方案》等文件要求，对在用燃油非道路移动机械安装实时定位监控装置并与生态环境部门联网，通过“电子围栏”信息平台实现在线远程监控。二是非道路移动机械自身普遍存在燃油消耗高、维护保养差、单机排放量大以及使用年限长等问题，给我市大气环境质量持续提升造成较大压力，给公众健康和安全造成隐患。为实时掌握非道路移动机械位置信息，加严对低排放控制区的管控，特别是重污染天气应急响应期间机械使用情况，强化非道路移动机械综合监督管理，亟需开展非道路移动机械实时定位监控数据服务项目。</w:t>
      </w:r>
    </w:p>
    <w:p>
      <w:pPr>
        <w:spacing w:line="360" w:lineRule="auto"/>
        <w:ind w:firstLine="480" w:firstLineChars="200"/>
        <w:jc w:val="left"/>
        <w:rPr>
          <w:rFonts w:hint="eastAsia" w:ascii="宋体" w:hAnsi="宋体"/>
          <w:sz w:val="24"/>
          <w:szCs w:val="24"/>
          <w:lang w:eastAsia="zh-CN"/>
        </w:rPr>
      </w:pPr>
      <w:bookmarkStart w:id="58" w:name="_Toc56874099"/>
      <w:bookmarkStart w:id="59" w:name="_Toc40346951"/>
      <w:bookmarkStart w:id="60" w:name="_Toc18985"/>
      <w:bookmarkStart w:id="61" w:name="_Toc41501978"/>
      <w:r>
        <w:rPr>
          <w:rFonts w:hint="eastAsia" w:ascii="宋体" w:hAnsi="宋体"/>
          <w:sz w:val="24"/>
          <w:szCs w:val="24"/>
          <w:lang w:eastAsia="zh-CN"/>
        </w:rPr>
        <w:t>三</w:t>
      </w:r>
      <w:r>
        <w:rPr>
          <w:rFonts w:hint="eastAsia" w:ascii="宋体" w:hAnsi="宋体"/>
          <w:sz w:val="24"/>
          <w:szCs w:val="24"/>
        </w:rPr>
        <w:t>、</w:t>
      </w:r>
      <w:bookmarkEnd w:id="58"/>
      <w:bookmarkEnd w:id="59"/>
      <w:bookmarkEnd w:id="60"/>
      <w:bookmarkEnd w:id="61"/>
      <w:r>
        <w:rPr>
          <w:rFonts w:hint="eastAsia" w:ascii="宋体" w:hAnsi="宋体"/>
          <w:sz w:val="24"/>
          <w:szCs w:val="24"/>
          <w:lang w:eastAsia="zh-CN"/>
        </w:rPr>
        <w:t>项目建设内容</w:t>
      </w:r>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（一）提供编码登记信息的现场核实纠正服务；</w:t>
      </w:r>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（二）按照《山东省非道路移动机械在线监控及联网技术要求》，提供12000台燃油非道路移动机械位置信息监控数据，并同步上传至省、市监管平台；</w:t>
      </w:r>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（三）提供三年12000台燃油非道路移动机械定位装置运维服务，并提供不少于5年的数据流量。</w:t>
      </w:r>
    </w:p>
    <w:p>
      <w:pPr>
        <w:spacing w:line="360" w:lineRule="auto"/>
        <w:ind w:firstLine="480" w:firstLineChars="200"/>
        <w:jc w:val="left"/>
        <w:rPr>
          <w:rFonts w:hint="eastAsia" w:ascii="宋体" w:hAnsi="宋体"/>
          <w:sz w:val="24"/>
          <w:szCs w:val="24"/>
          <w:lang w:val="en-US" w:eastAsia="zh-CN"/>
        </w:rPr>
      </w:pPr>
      <w:bookmarkStart w:id="62" w:name="_Toc56874123"/>
      <w:r>
        <w:rPr>
          <w:rFonts w:hint="eastAsia" w:ascii="宋体" w:hAnsi="宋体"/>
          <w:sz w:val="24"/>
          <w:szCs w:val="24"/>
          <w:lang w:val="en-US" w:eastAsia="zh-CN"/>
        </w:rPr>
        <w:t>四、项目实施规划</w:t>
      </w:r>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为加快施工进度，本项目分为包一和包二，数量各为6000台。包一区域为开发区、高新区、茌平区、高唐县、临清市、东阿县；包二区域为东昌府区、旅游度假区、阳谷县、冠县、莘县。</w:t>
      </w:r>
    </w:p>
    <w:p>
      <w:pPr>
        <w:spacing w:line="360" w:lineRule="auto"/>
        <w:ind w:firstLine="480" w:firstLineChars="200"/>
        <w:jc w:val="left"/>
        <w:rPr>
          <w:rFonts w:hint="eastAsia" w:ascii="宋体" w:hAnsi="宋体"/>
          <w:sz w:val="24"/>
          <w:szCs w:val="24"/>
          <w:highlight w:val="yellow"/>
        </w:rPr>
      </w:pPr>
      <w:r>
        <w:rPr>
          <w:rFonts w:hint="eastAsia" w:ascii="宋体" w:hAnsi="宋体"/>
          <w:sz w:val="24"/>
          <w:szCs w:val="24"/>
          <w:lang w:val="en-US" w:eastAsia="zh-CN"/>
        </w:rPr>
        <w:t>五</w:t>
      </w:r>
      <w:r>
        <w:rPr>
          <w:rFonts w:hint="eastAsia" w:ascii="宋体" w:hAnsi="宋体"/>
          <w:sz w:val="24"/>
          <w:szCs w:val="24"/>
        </w:rPr>
        <w:t>、</w:t>
      </w:r>
      <w:r>
        <w:rPr>
          <w:rFonts w:hint="eastAsia" w:ascii="宋体" w:hAnsi="宋体"/>
          <w:sz w:val="24"/>
          <w:szCs w:val="24"/>
          <w:highlight w:val="none"/>
          <w:lang w:eastAsia="zh-CN"/>
        </w:rPr>
        <w:t>进行数据采集服务的</w:t>
      </w:r>
      <w:r>
        <w:rPr>
          <w:rFonts w:hint="eastAsia" w:ascii="宋体" w:hAnsi="宋体"/>
          <w:sz w:val="24"/>
          <w:szCs w:val="24"/>
          <w:highlight w:val="none"/>
        </w:rPr>
        <w:t>定位装置技术要求</w:t>
      </w:r>
      <w:bookmarkEnd w:id="62"/>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5.1车载终端技术要求</w:t>
      </w:r>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5.1.1一般要求</w:t>
      </w:r>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聊城市辖区范围内符合车载终端安装条件的在用非道路移动机械，安装的车载终端应满足本部分规定，能够确保在车载终端使用寿命期内，</w:t>
      </w:r>
    </w:p>
    <w:p>
      <w:pPr>
        <w:spacing w:line="360" w:lineRule="auto"/>
        <w:ind w:firstLine="480" w:firstLineChars="200"/>
        <w:jc w:val="left"/>
        <w:rPr>
          <w:rFonts w:hint="eastAsia" w:ascii="宋体" w:hAnsi="宋体"/>
          <w:sz w:val="24"/>
          <w:szCs w:val="24"/>
          <w:lang w:val="en-US" w:eastAsia="zh-CN"/>
        </w:rPr>
      </w:pPr>
      <w:r>
        <w:rPr>
          <w:rFonts w:hint="eastAsia" w:ascii="宋体" w:hAnsi="宋体"/>
          <w:sz w:val="24"/>
          <w:szCs w:val="24"/>
          <w:lang w:val="en-US" w:eastAsia="zh-CN"/>
        </w:rPr>
        <w:t>按5.2规定的通讯协议及数据格式进行数据发送。</w:t>
      </w:r>
    </w:p>
    <w:p>
      <w:pPr>
        <w:spacing w:line="360" w:lineRule="auto"/>
        <w:ind w:firstLine="480" w:firstLineChars="20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5.1.2数据采集</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ascii="宋体" w:hAnsi="宋体" w:eastAsia="宋体" w:cs="宋体"/>
          <w:spacing w:val="4"/>
          <w:sz w:val="24"/>
          <w:szCs w:val="24"/>
        </w:rPr>
      </w:pPr>
      <w:r>
        <w:rPr>
          <w:rFonts w:hint="eastAsia" w:ascii="宋体" w:hAnsi="宋体" w:cs="宋体"/>
          <w:color w:val="auto"/>
          <w:sz w:val="24"/>
          <w:szCs w:val="24"/>
          <w:lang w:val="en-US" w:eastAsia="zh-CN"/>
        </w:rPr>
        <w:t xml:space="preserve">车载终端应支持北斗、GPS双模定位数据采集功能，车载终端应支持ACC信号状态采集功能，频率至少应为1Hz。                   </w:t>
      </w:r>
      <w:r>
        <w:rPr>
          <w:rFonts w:ascii="宋体" w:hAnsi="宋体" w:eastAsia="宋体" w:cs="宋体"/>
          <w:spacing w:val="8"/>
          <w:sz w:val="24"/>
          <w:szCs w:val="24"/>
        </w:rPr>
        <w:t>表1</w:t>
      </w:r>
      <w:r>
        <w:rPr>
          <w:rFonts w:ascii="宋体" w:hAnsi="宋体" w:eastAsia="宋体" w:cs="宋体"/>
          <w:spacing w:val="4"/>
          <w:sz w:val="24"/>
          <w:szCs w:val="24"/>
        </w:rPr>
        <w:t>车载终端采集的数据</w:t>
      </w:r>
    </w:p>
    <w:tbl>
      <w:tblPr>
        <w:tblStyle w:val="60"/>
        <w:tblW w:w="5159" w:type="dxa"/>
        <w:tblInd w:w="22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17"/>
        <w:gridCol w:w="36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1517"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数</w:t>
            </w:r>
            <w:r>
              <w:rPr>
                <w:rFonts w:ascii="宋体" w:hAnsi="宋体" w:eastAsia="宋体" w:cs="宋体"/>
                <w:spacing w:val="-3"/>
                <w:sz w:val="24"/>
                <w:szCs w:val="24"/>
              </w:rPr>
              <w:t>据项</w:t>
            </w:r>
          </w:p>
        </w:tc>
        <w:tc>
          <w:tcPr>
            <w:tcW w:w="3642"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说</w:t>
            </w:r>
            <w:r>
              <w:rPr>
                <w:rFonts w:ascii="宋体" w:hAnsi="宋体" w:eastAsia="宋体" w:cs="宋体"/>
                <w:spacing w:val="-2"/>
                <w:sz w:val="24"/>
                <w:szCs w:val="24"/>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517"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定位状态</w:t>
            </w:r>
          </w:p>
        </w:tc>
        <w:tc>
          <w:tcPr>
            <w:tcW w:w="3642"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有</w:t>
            </w:r>
            <w:r>
              <w:rPr>
                <w:rFonts w:ascii="宋体" w:hAnsi="宋体" w:eastAsia="宋体" w:cs="宋体"/>
                <w:spacing w:val="-1"/>
                <w:sz w:val="24"/>
                <w:szCs w:val="24"/>
              </w:rPr>
              <w:t>效定位或无效定位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517"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定位信息</w:t>
            </w:r>
          </w:p>
        </w:tc>
        <w:tc>
          <w:tcPr>
            <w:tcW w:w="3642"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经纬度信息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517"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启</w:t>
            </w:r>
            <w:r>
              <w:rPr>
                <w:rFonts w:ascii="宋体" w:hAnsi="宋体" w:eastAsia="宋体" w:cs="宋体"/>
                <w:spacing w:val="-3"/>
                <w:sz w:val="24"/>
                <w:szCs w:val="24"/>
              </w:rPr>
              <w:t>动</w:t>
            </w:r>
            <w:r>
              <w:rPr>
                <w:rFonts w:ascii="宋体" w:hAnsi="宋体" w:eastAsia="宋体" w:cs="宋体"/>
                <w:spacing w:val="-2"/>
                <w:sz w:val="24"/>
                <w:szCs w:val="24"/>
              </w:rPr>
              <w:t>监测</w:t>
            </w:r>
          </w:p>
        </w:tc>
        <w:tc>
          <w:tcPr>
            <w:tcW w:w="3642"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z w:val="24"/>
                <w:szCs w:val="24"/>
              </w:rPr>
              <w:t>ACC</w:t>
            </w:r>
            <w:r>
              <w:rPr>
                <w:rFonts w:ascii="宋体" w:hAnsi="宋体" w:eastAsia="宋体" w:cs="宋体"/>
                <w:spacing w:val="-1"/>
                <w:sz w:val="24"/>
                <w:szCs w:val="24"/>
              </w:rPr>
              <w:t>或者</w:t>
            </w:r>
            <w:r>
              <w:rPr>
                <w:rFonts w:ascii="宋体" w:hAnsi="宋体" w:eastAsia="宋体" w:cs="宋体"/>
                <w:sz w:val="24"/>
                <w:szCs w:val="24"/>
              </w:rPr>
              <w:t>震动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517"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连接状态</w:t>
            </w:r>
          </w:p>
        </w:tc>
        <w:tc>
          <w:tcPr>
            <w:tcW w:w="3642"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车载终端与机械是否连接</w:t>
            </w:r>
          </w:p>
        </w:tc>
      </w:tr>
    </w:tbl>
    <w:p>
      <w:pPr>
        <w:pStyle w:val="2"/>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启动监测为ACC或者震动功能，频率至少应为1Hz</w:t>
      </w:r>
    </w:p>
    <w:p>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※5.1.3安全策略</w:t>
      </w:r>
    </w:p>
    <w:p>
      <w:pPr>
        <w:pStyle w:val="2"/>
        <w:rPr>
          <w:rFonts w:hint="eastAsia" w:ascii="宋体" w:hAnsi="宋体" w:eastAsia="宋体" w:cs="宋体"/>
          <w:sz w:val="24"/>
          <w:szCs w:val="24"/>
        </w:rPr>
      </w:pPr>
      <w:r>
        <w:rPr>
          <w:rFonts w:hint="eastAsia" w:ascii="宋体" w:hAnsi="宋体" w:eastAsia="宋体" w:cs="宋体"/>
          <w:sz w:val="24"/>
          <w:szCs w:val="24"/>
        </w:rPr>
        <w:t>车载终端应提供技术可行的安全策略，保证产品各种性能和功能处于安全范围内。</w:t>
      </w:r>
    </w:p>
    <w:p>
      <w:pPr>
        <w:pStyle w:val="2"/>
        <w:spacing w:line="240" w:lineRule="auto"/>
        <w:rPr>
          <w:rFonts w:hint="eastAsia" w:ascii="宋体" w:hAnsi="宋体" w:eastAsia="宋体" w:cs="宋体"/>
          <w:sz w:val="24"/>
          <w:szCs w:val="24"/>
        </w:rPr>
      </w:pPr>
      <w:r>
        <w:rPr>
          <w:rFonts w:hint="eastAsia" w:ascii="宋体" w:hAnsi="宋体" w:eastAsia="宋体" w:cs="宋体"/>
          <w:sz w:val="24"/>
          <w:szCs w:val="24"/>
        </w:rPr>
        <w:t>a)  车载终端传输的数据应有相应的校验算法；</w:t>
      </w:r>
    </w:p>
    <w:p>
      <w:pPr>
        <w:pStyle w:val="2"/>
        <w:spacing w:line="240" w:lineRule="auto"/>
        <w:rPr>
          <w:rFonts w:hint="eastAsia" w:ascii="宋体" w:hAnsi="宋体" w:eastAsia="宋体" w:cs="宋体"/>
          <w:sz w:val="24"/>
          <w:szCs w:val="24"/>
        </w:rPr>
      </w:pPr>
      <w:r>
        <w:rPr>
          <w:rFonts w:hint="eastAsia" w:ascii="宋体" w:hAnsi="宋体" w:eastAsia="宋体" w:cs="宋体"/>
          <w:sz w:val="24"/>
          <w:szCs w:val="24"/>
        </w:rPr>
        <w:t>b)  车载终端应有相应的机制，保证存储、传输的数据是完整的；</w:t>
      </w:r>
    </w:p>
    <w:p>
      <w:pPr>
        <w:pStyle w:val="2"/>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c)  数据传输过程应当对数据进行扫描，及时发现恶意的数据 及攻击行为，如对超出正常数据读取的指令，安全检测应当检出95%以上的攻击，误报率小于1%，在攻击开始后10s内发现并 启动防护措施；</w:t>
      </w:r>
    </w:p>
    <w:p>
      <w:pPr>
        <w:pStyle w:val="2"/>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d)  车载终端应只向外发送数据，不应接受除生产企业外的操作指令，远程升级维护状态下除外；</w:t>
      </w:r>
    </w:p>
    <w:p>
      <w:pPr>
        <w:pStyle w:val="2"/>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 w:val="24"/>
          <w:szCs w:val="24"/>
        </w:rPr>
      </w:pPr>
      <w:r>
        <w:rPr>
          <w:rFonts w:hint="eastAsia" w:ascii="宋体" w:hAnsi="宋体" w:eastAsia="宋体" w:cs="宋体"/>
          <w:sz w:val="24"/>
          <w:szCs w:val="24"/>
        </w:rPr>
        <w:t>e)  车载终端存储、传输的数据应是加密的，应采用非对称加密算法，可使用国密SM2 算法或者 RSA 算法，并且需要采用硬件方式对私钥进行严格保护。</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5.1.4数据上传功能</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车载终端注册成功后，将采集的数据按6.2规定的通讯协议及数据格式进行数据发送。</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※5.1.5补发机制</w:t>
      </w:r>
    </w:p>
    <w:p>
      <w:pPr>
        <w:pStyle w:val="2"/>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当数据通信链路异常时，车载终端应将上报数据进行本地存储。在数据通信链路恢复正常后，在发送上报数据的同时补发存储的上报数据。补发的上报数据应为通信链路异常期间存储的数据，数据格式与上报数据相同，并标识为补发信息上报。</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5.1.6数据存储</w:t>
      </w:r>
    </w:p>
    <w:p>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车载终端应满足《非道路柴油移动机械污染物排放控制技术要求》（HJ1014-2020）中H.5.5对数据存储的要求。</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※5.1.7定位功能</w:t>
      </w:r>
    </w:p>
    <w:p>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车载终端应能提供《电动汽车远程服务与管理系统技术规范 第3部分：通信协议及数据格式》（GB/T32960.3）标准中规定的定位信息。精度要求应满足：</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(1)水平定位精度应不超过5m；</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(2)最小位置更新率为1Hz；</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(3)定位时间：</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a)冷启动：从系统加电运行到实现捕获时间不应超过120s；</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b)热启动：实现捕获时间应小于10s。</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※5.1.8防拆除功能</w:t>
      </w:r>
    </w:p>
    <w:p>
      <w:pPr>
        <w:pStyle w:val="2"/>
        <w:spacing w:line="360" w:lineRule="auto"/>
        <w:rPr>
          <w:rFonts w:hint="eastAsia" w:ascii="宋体" w:hAnsi="宋体" w:eastAsia="宋体" w:cs="宋体"/>
          <w:sz w:val="24"/>
          <w:szCs w:val="24"/>
        </w:rPr>
      </w:pPr>
      <w:r>
        <w:rPr>
          <w:rFonts w:hint="eastAsia" w:ascii="宋体" w:hAnsi="宋体" w:eastAsia="宋体" w:cs="宋体"/>
          <w:sz w:val="24"/>
          <w:szCs w:val="24"/>
        </w:rPr>
        <w:t>应具有防拆除技术措施，确保车载终端不被恶意拆除。当车载终端故障或拆除时，车辆应激活报警系统，并向生态环境部门管理平台发送拆除报警信息，报警信息包括拆除状态、拆除时间和定位经纬度信息等。</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5.1.9性能要求</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5.1.9.1整体性能</w:t>
      </w:r>
    </w:p>
    <w:p>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车载终端整体性能应符合《重型柴油车污染物排放限值及测量方法》（GB17691—2018）中Q.7的要求。</w:t>
      </w:r>
    </w:p>
    <w:p>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5.1.9.2可靠性性能</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车载终端使用寿命应不低于5年。</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5.1.9.3外壳防护性能</w:t>
      </w:r>
    </w:p>
    <w:p>
      <w:pPr>
        <w:pStyle w:val="2"/>
        <w:spacing w:line="240" w:lineRule="auto"/>
        <w:rPr>
          <w:rFonts w:hint="eastAsia" w:ascii="宋体" w:hAnsi="宋体" w:eastAsia="宋体" w:cs="宋体"/>
          <w:sz w:val="24"/>
          <w:szCs w:val="24"/>
        </w:rPr>
      </w:pPr>
      <w:r>
        <w:rPr>
          <w:rFonts w:hint="eastAsia" w:ascii="宋体" w:hAnsi="宋体" w:eastAsia="宋体" w:cs="宋体"/>
          <w:sz w:val="24"/>
          <w:szCs w:val="24"/>
        </w:rPr>
        <w:t>※a)车载终端应至少满足</w:t>
      </w:r>
      <w:r>
        <w:rPr>
          <w:rFonts w:hint="eastAsia" w:ascii="宋体" w:hAnsi="宋体" w:eastAsia="宋体" w:cs="宋体"/>
          <w:sz w:val="24"/>
          <w:szCs w:val="24"/>
          <w:lang w:eastAsia="zh-CN"/>
        </w:rPr>
        <w:t>《外壳防护等级》（</w:t>
      </w:r>
      <w:r>
        <w:rPr>
          <w:rFonts w:hint="eastAsia" w:ascii="宋体" w:hAnsi="宋体" w:eastAsia="宋体" w:cs="宋体"/>
          <w:sz w:val="24"/>
          <w:szCs w:val="24"/>
        </w:rPr>
        <w:t>GB/T 4208</w:t>
      </w:r>
      <w:r>
        <w:rPr>
          <w:rFonts w:hint="eastAsia" w:ascii="宋体" w:hAnsi="宋体" w:eastAsia="宋体" w:cs="宋体"/>
          <w:sz w:val="24"/>
          <w:szCs w:val="24"/>
          <w:lang w:eastAsia="zh-CN"/>
        </w:rPr>
        <w:t>）</w:t>
      </w:r>
      <w:r>
        <w:rPr>
          <w:rFonts w:hint="eastAsia" w:ascii="宋体" w:hAnsi="宋体" w:eastAsia="宋体" w:cs="宋体"/>
          <w:sz w:val="24"/>
          <w:szCs w:val="24"/>
        </w:rPr>
        <w:t xml:space="preserve"> 中规定的IP65的防护等级。</w:t>
      </w:r>
    </w:p>
    <w:p>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b)车载终端外壳所用材料应符合《电子电气产品　六种限用物质(铅、汞、镉、六价铬、多溴联苯和多溴二苯醚)的测定》（ GB/T 26125） 标准的有关要求。车载终端的外壳阻燃等级应符合《外壳防护等级》（GB/T 4208） 标准的有关要求。</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5.1.9.4安全性能</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a)车载终端应具有电气隔离能力。</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b)车载终端外部供电异常断开后，仍可独立运行且至少保障工作10分钟及以上。</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c)车载终端可进行远程升级维护，但不能对所安装机械进行使用控制。</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5.1.9.5通讯性能</w:t>
      </w:r>
    </w:p>
    <w:p>
      <w:pPr>
        <w:pStyle w:val="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a)通讯模块要求。车载终端应具备至少支持一个三大主流运营商的 4G 及以上通讯制式的能力，车载终端或车载终端的通讯模块应具备CTA电信设备入网许可证书。</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※b)定位模块要求。车载终端应支持北斗、GPS双模定位功能。</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c)扩展模块要求。车载终端可预留CAN总线接口。</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5.1.10安装要求</w:t>
      </w:r>
    </w:p>
    <w:p>
      <w:pPr>
        <w:pStyle w:val="2"/>
        <w:spacing w:line="360" w:lineRule="auto"/>
        <w:rPr>
          <w:rFonts w:hint="eastAsia" w:ascii="宋体" w:hAnsi="宋体" w:eastAsia="宋体" w:cs="宋体"/>
          <w:sz w:val="24"/>
          <w:szCs w:val="24"/>
        </w:rPr>
      </w:pPr>
      <w:r>
        <w:rPr>
          <w:rFonts w:hint="eastAsia" w:ascii="宋体" w:hAnsi="宋体" w:eastAsia="宋体" w:cs="宋体"/>
          <w:sz w:val="24"/>
          <w:szCs w:val="24"/>
        </w:rPr>
        <w:t>a)车载终端安装应避免改变机械本身的电气结构与布线，不能因为车载终端安装而影响机械、人员安全。</w:t>
      </w:r>
    </w:p>
    <w:p>
      <w:pPr>
        <w:pStyle w:val="2"/>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 w:val="24"/>
          <w:szCs w:val="24"/>
        </w:rPr>
      </w:pPr>
      <w:r>
        <w:rPr>
          <w:rFonts w:hint="eastAsia" w:ascii="宋体" w:hAnsi="宋体" w:eastAsia="宋体" w:cs="宋体"/>
          <w:sz w:val="24"/>
          <w:szCs w:val="24"/>
        </w:rPr>
        <w:t>b)安装位置应远离碰撞、过热、阳光直射、废气、水、油和灰尘，应避开敏感电子设备及影响机械工作安全的位置，同时注意选择在通风、散热条件好的地方；安装位置应固定、宜隐蔽，不影响原车外观和驾驶员操作。</w:t>
      </w:r>
    </w:p>
    <w:p>
      <w:pPr>
        <w:pStyle w:val="2"/>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 w:val="24"/>
          <w:szCs w:val="24"/>
        </w:rPr>
      </w:pPr>
      <w:r>
        <w:rPr>
          <w:rFonts w:hint="eastAsia" w:ascii="宋体" w:hAnsi="宋体" w:eastAsia="宋体" w:cs="宋体"/>
          <w:sz w:val="24"/>
          <w:szCs w:val="24"/>
        </w:rPr>
        <w:t>c)在车载终端两侧预留各接插件的接插空间。其他外接设备 与主机之间的连接线要求隐蔽敷设，线路所经过部位不应有尖锐和可剧烈撞击物体，确保连接线不因外来因素断路。</w:t>
      </w:r>
    </w:p>
    <w:p>
      <w:pPr>
        <w:pStyle w:val="2"/>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须在</w:t>
      </w:r>
      <w:r>
        <w:rPr>
          <w:rFonts w:hint="eastAsia" w:ascii="宋体" w:hAnsi="宋体" w:eastAsia="宋体" w:cs="宋体"/>
          <w:sz w:val="24"/>
          <w:szCs w:val="24"/>
        </w:rPr>
        <w:t>车载终端</w:t>
      </w:r>
      <w:r>
        <w:rPr>
          <w:rFonts w:hint="eastAsia" w:ascii="宋体" w:hAnsi="宋体" w:eastAsia="宋体" w:cs="宋体"/>
          <w:sz w:val="24"/>
          <w:szCs w:val="24"/>
          <w:lang w:val="en-US" w:eastAsia="zh-CN"/>
        </w:rPr>
        <w:t>设备明显位置</w:t>
      </w:r>
      <w:r>
        <w:rPr>
          <w:rFonts w:hint="eastAsia" w:ascii="宋体" w:hAnsi="宋体" w:eastAsia="宋体" w:cs="宋体"/>
          <w:sz w:val="24"/>
          <w:szCs w:val="24"/>
          <w:lang w:eastAsia="zh-CN"/>
        </w:rPr>
        <w:t>注明“严禁拆除”</w:t>
      </w:r>
      <w:r>
        <w:rPr>
          <w:rFonts w:hint="eastAsia" w:ascii="宋体" w:hAnsi="宋体" w:eastAsia="宋体" w:cs="宋体"/>
          <w:sz w:val="24"/>
          <w:szCs w:val="24"/>
          <w:lang w:val="en-US" w:eastAsia="zh-CN"/>
        </w:rPr>
        <w:t>警示标志。</w:t>
      </w:r>
    </w:p>
    <w:p>
      <w:pPr>
        <w:pStyle w:val="2"/>
        <w:keepNext w:val="0"/>
        <w:keepLines w:val="0"/>
        <w:pageBreakBefore w:val="0"/>
        <w:widowControl w:val="0"/>
        <w:kinsoku/>
        <w:wordWrap/>
        <w:overflowPunct/>
        <w:topLinePunct w:val="0"/>
        <w:autoSpaceDE/>
        <w:autoSpaceDN/>
        <w:bidi w:val="0"/>
        <w:adjustRightInd/>
        <w:snapToGrid/>
        <w:spacing w:line="26" w:lineRule="atLeas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5.2车载终端通讯协议及数据格式</w:t>
      </w:r>
    </w:p>
    <w:p>
      <w:pPr>
        <w:pStyle w:val="2"/>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5.2.1协议结构</w:t>
      </w:r>
    </w:p>
    <w:p>
      <w:pPr>
        <w:pStyle w:val="2"/>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以TCP/IP网络控制协议作为底层通信承载协议，如图1所示。</w:t>
      </w:r>
    </w:p>
    <w:p>
      <w:pPr>
        <w:pStyle w:val="2"/>
        <w:spacing w:line="240" w:lineRule="auto"/>
        <w:jc w:val="center"/>
      </w:pPr>
      <w:r>
        <w:drawing>
          <wp:inline distT="0" distB="0" distL="114300" distR="114300">
            <wp:extent cx="4558030" cy="1866900"/>
            <wp:effectExtent l="0" t="0" r="1397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0"/>
                    <a:stretch>
                      <a:fillRect/>
                    </a:stretch>
                  </pic:blipFill>
                  <pic:spPr>
                    <a:xfrm>
                      <a:off x="0" y="0"/>
                      <a:ext cx="4558030" cy="1866900"/>
                    </a:xfrm>
                    <a:prstGeom prst="rect">
                      <a:avLst/>
                    </a:prstGeom>
                    <a:noFill/>
                    <a:ln>
                      <a:noFill/>
                    </a:ln>
                  </pic:spPr>
                </pic:pic>
              </a:graphicData>
            </a:graphic>
          </wp:inline>
        </w:drawing>
      </w:r>
    </w:p>
    <w:p>
      <w:pPr>
        <w:keepNext w:val="0"/>
        <w:keepLines w:val="0"/>
        <w:pageBreakBefore w:val="0"/>
        <w:widowControl w:val="0"/>
        <w:kinsoku/>
        <w:wordWrap/>
        <w:overflowPunct/>
        <w:topLinePunct w:val="0"/>
        <w:bidi w:val="0"/>
        <w:snapToGrid/>
        <w:spacing w:line="360" w:lineRule="auto"/>
        <w:ind w:left="0" w:right="0"/>
        <w:jc w:val="center"/>
        <w:rPr>
          <w:rFonts w:hint="eastAsia" w:ascii="宋体" w:hAnsi="宋体" w:eastAsia="宋体" w:cs="宋体"/>
          <w:sz w:val="24"/>
          <w:szCs w:val="24"/>
        </w:rPr>
      </w:pPr>
      <w:r>
        <w:rPr>
          <w:rFonts w:hint="eastAsia" w:ascii="宋体" w:hAnsi="宋体" w:eastAsia="宋体" w:cs="宋体"/>
          <w:spacing w:val="-2"/>
          <w:sz w:val="24"/>
          <w:szCs w:val="24"/>
        </w:rPr>
        <w:t>图1车载终端与管理平台通信协议</w:t>
      </w:r>
      <w:r>
        <w:rPr>
          <w:rFonts w:hint="eastAsia" w:ascii="宋体" w:hAnsi="宋体" w:eastAsia="宋体" w:cs="宋体"/>
          <w:sz w:val="24"/>
          <w:szCs w:val="24"/>
        </w:rPr>
        <w:t>栈</w:t>
      </w:r>
    </w:p>
    <w:p>
      <w:pPr>
        <w:pStyle w:val="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5.2.2连接建立</w:t>
      </w:r>
    </w:p>
    <w:p>
      <w:pPr>
        <w:pStyle w:val="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载终端向省、市管理平台发起通信连接请求，当通信链路连接建立后；车载终端应自动向管理平台发送登入信息进行身份识别，远程服务与管理平台应对接收到的数据进行校验；校验正确时，管理平台接收数据；校验错误时，管理平台应忽略所接收数据。登入流程如图2所示。</w:t>
      </w:r>
    </w:p>
    <w:p>
      <w:r>
        <w:rPr>
          <w:rFonts w:hint="eastAsia"/>
          <w:lang w:val="en-US" w:eastAsia="zh-CN"/>
        </w:rPr>
        <w:t xml:space="preserve">                      </w:t>
      </w:r>
      <w:r>
        <w:drawing>
          <wp:inline distT="0" distB="0" distL="114300" distR="114300">
            <wp:extent cx="3441700" cy="2490470"/>
            <wp:effectExtent l="0" t="0" r="6350" b="5080"/>
            <wp:docPr id="38"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icPr>
                  <pic:blipFill>
                    <a:blip r:embed="rId11"/>
                    <a:stretch>
                      <a:fillRect/>
                    </a:stretch>
                  </pic:blipFill>
                  <pic:spPr>
                    <a:xfrm>
                      <a:off x="0" y="0"/>
                      <a:ext cx="3441700" cy="2490470"/>
                    </a:xfrm>
                    <a:prstGeom prst="rect">
                      <a:avLst/>
                    </a:prstGeom>
                    <a:noFill/>
                    <a:ln>
                      <a:noFill/>
                    </a:ln>
                  </pic:spPr>
                </pic:pic>
              </a:graphicData>
            </a:graphic>
          </wp:inline>
        </w:drawing>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图2</w:t>
      </w:r>
      <w:r>
        <w:rPr>
          <w:rFonts w:ascii="宋体" w:hAnsi="宋体" w:eastAsia="宋体" w:cs="宋体"/>
          <w:spacing w:val="-2"/>
          <w:sz w:val="24"/>
          <w:szCs w:val="24"/>
        </w:rPr>
        <w:t>车载终端登入流程示意图</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5.2.3连接断开</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平台和车载终端均可根据TCP协议主动断开连接，双方都应主动判断TCP连接是否断开。</w:t>
      </w:r>
    </w:p>
    <w:p>
      <w:pPr>
        <w:pStyle w:val="2"/>
        <w:ind w:left="0" w:leftChars="0" w:firstLine="960" w:firstLineChars="4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平台判断TCP连接断开的方法：</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a)根据TCP协议判断出车载终端主动断开；</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b)相同身份的车载终端建立新连接，表明原连接已断开；</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c)在一定的时间内未收到车载终端发出的消息。</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车载终端判断TCP连接断开的方法：</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a)根据TCP协议判断出平台主动断开；</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b)数据通信链路断开；</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c)数据通信链路正常，达到重传次数后仍未收到应答。</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5.2.4信息传输</w:t>
      </w:r>
    </w:p>
    <w:p>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工作状态下，应至少每1min向管理平台上报表2规定的当前时刻数据流信息，信息上报流程如图3所示。</w:t>
      </w:r>
    </w:p>
    <w:p>
      <w:pPr>
        <w:pStyle w:val="2"/>
      </w:pPr>
      <w:r>
        <w:rPr>
          <w:rFonts w:hint="eastAsia"/>
          <w:lang w:val="en-US" w:eastAsia="zh-CN"/>
        </w:rPr>
        <w:t xml:space="preserve">                   </w:t>
      </w:r>
      <w:r>
        <w:drawing>
          <wp:inline distT="0" distB="0" distL="114300" distR="114300">
            <wp:extent cx="2971800" cy="2247900"/>
            <wp:effectExtent l="0" t="0" r="0" b="0"/>
            <wp:docPr id="39"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a:blip r:embed="rId12"/>
                    <a:stretch>
                      <a:fillRect/>
                    </a:stretch>
                  </pic:blipFill>
                  <pic:spPr>
                    <a:xfrm>
                      <a:off x="0" y="0"/>
                      <a:ext cx="2971800" cy="2247900"/>
                    </a:xfrm>
                    <a:prstGeom prst="rect">
                      <a:avLst/>
                    </a:prstGeom>
                    <a:noFill/>
                    <a:ln>
                      <a:noFill/>
                    </a:ln>
                  </pic:spPr>
                </pic:pic>
              </a:graphicData>
            </a:graphic>
          </wp:inline>
        </w:drawing>
      </w: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图3</w:t>
      </w:r>
      <w:r>
        <w:rPr>
          <w:rFonts w:ascii="宋体" w:hAnsi="宋体" w:eastAsia="宋体" w:cs="宋体"/>
          <w:spacing w:val="-2"/>
          <w:sz w:val="24"/>
          <w:szCs w:val="24"/>
        </w:rPr>
        <w:t>实时信息上报流程示意图</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当车载终端向管理平台上报信息时，管理平台应对接收到的数据进行校验。当校验正确时，管理平台正常接收数据；当校验错误时，管理平台应忽略所接收数据。</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车载终端向管理平台上报信息时，应根据实际情况上报。</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5.2.5数据包结果和定义</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5.2.5.1数据类型和传输规则</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数据类型和传输规则符合</w:t>
      </w:r>
      <w:r>
        <w:rPr>
          <w:rFonts w:hint="eastAsia" w:ascii="宋体" w:hAnsi="宋体" w:eastAsia="宋体" w:cs="宋体"/>
          <w:bCs/>
          <w:sz w:val="24"/>
          <w:szCs w:val="24"/>
          <w:highlight w:val="none"/>
          <w:u w:val="none"/>
          <w:lang w:val="en-US" w:eastAsia="zh-CN"/>
        </w:rPr>
        <w:t>《电动汽车远程服务与管理系统技术规范 第3部分：通信协议及数据格式》（GB/T32960.3）</w:t>
      </w:r>
      <w:r>
        <w:rPr>
          <w:rFonts w:hint="eastAsia" w:ascii="宋体" w:hAnsi="宋体" w:eastAsia="宋体" w:cs="宋体"/>
          <w:bCs/>
          <w:sz w:val="24"/>
          <w:szCs w:val="24"/>
          <w:highlight w:val="none"/>
          <w:lang w:val="en-US" w:eastAsia="zh-CN"/>
        </w:rPr>
        <w:t>附录B.3.1的要求。协议应采用大端模式的网络字节序来传递字和双字。</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5.2.5.2数据包的结构</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一个完整的数据包应由起始符、命令单元、机械环保代码、终端软件版本号、数据加密方式、数据单元长度、数据单元和校验码组成，数据包结构和定义见表2所示。</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表2数据包结</w:t>
      </w:r>
      <w:r>
        <w:rPr>
          <w:rFonts w:ascii="宋体" w:hAnsi="宋体" w:eastAsia="宋体" w:cs="宋体"/>
          <w:sz w:val="24"/>
          <w:szCs w:val="24"/>
        </w:rPr>
        <w:t>构和定义</w:t>
      </w:r>
    </w:p>
    <w:tbl>
      <w:tblPr>
        <w:tblStyle w:val="60"/>
        <w:tblW w:w="98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0"/>
        <w:gridCol w:w="1275"/>
        <w:gridCol w:w="1209"/>
        <w:gridCol w:w="628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1"/>
                <w:szCs w:val="21"/>
                <w:highlight w:val="none"/>
              </w:rPr>
            </w:pPr>
            <w:r>
              <w:rPr>
                <w:rFonts w:ascii="宋体" w:hAnsi="宋体" w:eastAsia="宋体" w:cs="宋体"/>
                <w:spacing w:val="-4"/>
                <w:sz w:val="21"/>
                <w:szCs w:val="21"/>
                <w:highlight w:val="none"/>
              </w:rPr>
              <w:t>起</w:t>
            </w:r>
            <w:r>
              <w:rPr>
                <w:rFonts w:ascii="宋体" w:hAnsi="宋体" w:eastAsia="宋体" w:cs="宋体"/>
                <w:spacing w:val="-3"/>
                <w:sz w:val="21"/>
                <w:szCs w:val="21"/>
                <w:highlight w:val="none"/>
              </w:rPr>
              <w:t>始</w:t>
            </w:r>
            <w:r>
              <w:rPr>
                <w:rFonts w:ascii="宋体" w:hAnsi="宋体" w:eastAsia="宋体" w:cs="宋体"/>
                <w:spacing w:val="-2"/>
                <w:sz w:val="21"/>
                <w:szCs w:val="21"/>
                <w:highlight w:val="none"/>
              </w:rPr>
              <w:t>字</w:t>
            </w:r>
            <w:r>
              <w:rPr>
                <w:rFonts w:ascii="宋体" w:hAnsi="宋体" w:eastAsia="宋体" w:cs="宋体"/>
                <w:sz w:val="21"/>
                <w:szCs w:val="21"/>
                <w:highlight w:val="none"/>
              </w:rPr>
              <w:t>节</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4"/>
                <w:sz w:val="21"/>
                <w:szCs w:val="21"/>
                <w:highlight w:val="none"/>
              </w:rPr>
              <w:t>定</w:t>
            </w:r>
            <w:r>
              <w:rPr>
                <w:rFonts w:ascii="宋体" w:hAnsi="宋体" w:eastAsia="宋体" w:cs="宋体"/>
                <w:spacing w:val="-3"/>
                <w:sz w:val="21"/>
                <w:szCs w:val="21"/>
                <w:highlight w:val="none"/>
              </w:rPr>
              <w:t>义</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4"/>
                <w:sz w:val="21"/>
                <w:szCs w:val="21"/>
                <w:highlight w:val="none"/>
              </w:rPr>
              <w:t>数</w:t>
            </w:r>
            <w:r>
              <w:rPr>
                <w:rFonts w:ascii="宋体" w:hAnsi="宋体" w:eastAsia="宋体" w:cs="宋体"/>
                <w:spacing w:val="-3"/>
                <w:sz w:val="21"/>
                <w:szCs w:val="21"/>
                <w:highlight w:val="none"/>
              </w:rPr>
              <w:t>据类</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z w:val="21"/>
                <w:szCs w:val="21"/>
                <w:highlight w:val="none"/>
              </w:rPr>
              <w:t>型</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描述</w:t>
            </w:r>
            <w:r>
              <w:rPr>
                <w:rFonts w:ascii="宋体" w:hAnsi="宋体" w:eastAsia="宋体" w:cs="宋体"/>
                <w:spacing w:val="-1"/>
                <w:sz w:val="21"/>
                <w:szCs w:val="21"/>
                <w:highlight w:val="none"/>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0</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right="0"/>
              <w:jc w:val="center"/>
              <w:rPr>
                <w:rFonts w:ascii="宋体" w:hAnsi="宋体" w:eastAsia="宋体" w:cs="宋体"/>
                <w:sz w:val="21"/>
                <w:szCs w:val="21"/>
                <w:highlight w:val="none"/>
              </w:rPr>
            </w:pPr>
            <w:r>
              <w:rPr>
                <w:rFonts w:ascii="宋体" w:hAnsi="宋体" w:eastAsia="宋体" w:cs="宋体"/>
                <w:spacing w:val="-3"/>
                <w:sz w:val="21"/>
                <w:szCs w:val="21"/>
                <w:highlight w:val="none"/>
              </w:rPr>
              <w:t>起</w:t>
            </w:r>
            <w:r>
              <w:rPr>
                <w:rFonts w:ascii="宋体" w:hAnsi="宋体" w:eastAsia="宋体" w:cs="宋体"/>
                <w:spacing w:val="-2"/>
                <w:sz w:val="21"/>
                <w:szCs w:val="21"/>
                <w:highlight w:val="none"/>
              </w:rPr>
              <w:t>始符</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STR</w:t>
            </w:r>
            <w:r>
              <w:rPr>
                <w:rFonts w:ascii="宋体" w:hAnsi="宋体" w:eastAsia="宋体" w:cs="宋体"/>
                <w:spacing w:val="-1"/>
                <w:sz w:val="21"/>
                <w:szCs w:val="21"/>
                <w:highlight w:val="none"/>
              </w:rPr>
              <w:t>ING</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固</w:t>
            </w:r>
            <w:r>
              <w:rPr>
                <w:rFonts w:ascii="宋体" w:hAnsi="宋体" w:eastAsia="宋体" w:cs="宋体"/>
                <w:spacing w:val="-1"/>
                <w:sz w:val="21"/>
                <w:szCs w:val="21"/>
                <w:highlight w:val="none"/>
              </w:rPr>
              <w:t>定位ASCII字符“##”，用“0x23,0x23”表示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z w:val="21"/>
                <w:szCs w:val="21"/>
                <w:highlight w:val="none"/>
              </w:rPr>
              <w:t>2</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right="0"/>
              <w:jc w:val="center"/>
              <w:rPr>
                <w:rFonts w:ascii="宋体" w:hAnsi="宋体" w:eastAsia="宋体" w:cs="宋体"/>
                <w:sz w:val="21"/>
                <w:szCs w:val="21"/>
                <w:highlight w:val="none"/>
              </w:rPr>
            </w:pPr>
            <w:r>
              <w:rPr>
                <w:rFonts w:ascii="宋体" w:hAnsi="宋体" w:eastAsia="宋体" w:cs="宋体"/>
                <w:spacing w:val="-2"/>
                <w:sz w:val="21"/>
                <w:szCs w:val="21"/>
                <w:highlight w:val="none"/>
              </w:rPr>
              <w:t>命令单</w:t>
            </w:r>
            <w:r>
              <w:rPr>
                <w:rFonts w:ascii="宋体" w:hAnsi="宋体" w:eastAsia="宋体" w:cs="宋体"/>
                <w:spacing w:val="-1"/>
                <w:sz w:val="21"/>
                <w:szCs w:val="21"/>
                <w:highlight w:val="none"/>
              </w:rPr>
              <w:t>元</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BYT</w:t>
            </w:r>
            <w:r>
              <w:rPr>
                <w:rFonts w:ascii="宋体" w:hAnsi="宋体" w:eastAsia="宋体" w:cs="宋体"/>
                <w:sz w:val="21"/>
                <w:szCs w:val="21"/>
                <w:highlight w:val="none"/>
              </w:rPr>
              <w:t>E</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命令单元定义见表3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z w:val="21"/>
                <w:szCs w:val="21"/>
                <w:highlight w:val="none"/>
              </w:rPr>
              <w:t>3</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环保</w:t>
            </w:r>
            <w:r>
              <w:rPr>
                <w:rFonts w:ascii="宋体" w:hAnsi="宋体" w:eastAsia="宋体" w:cs="宋体"/>
                <w:spacing w:val="-1"/>
                <w:sz w:val="21"/>
                <w:szCs w:val="21"/>
                <w:highlight w:val="none"/>
              </w:rPr>
              <w:t>登记号码</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STR</w:t>
            </w:r>
            <w:r>
              <w:rPr>
                <w:rFonts w:ascii="宋体" w:hAnsi="宋体" w:eastAsia="宋体" w:cs="宋体"/>
                <w:spacing w:val="-1"/>
                <w:sz w:val="21"/>
                <w:szCs w:val="21"/>
                <w:highlight w:val="none"/>
              </w:rPr>
              <w:t>ING</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10个字符，</w:t>
            </w:r>
            <w:r>
              <w:rPr>
                <w:rFonts w:ascii="宋体" w:hAnsi="宋体" w:eastAsia="宋体" w:cs="宋体"/>
                <w:spacing w:val="-1"/>
                <w:sz w:val="21"/>
                <w:szCs w:val="21"/>
                <w:highlight w:val="none"/>
              </w:rPr>
              <w:t>例如2-12345678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8"/>
                <w:sz w:val="21"/>
                <w:szCs w:val="21"/>
                <w:highlight w:val="none"/>
              </w:rPr>
              <w:t>1</w:t>
            </w:r>
            <w:r>
              <w:rPr>
                <w:rFonts w:ascii="宋体" w:hAnsi="宋体" w:eastAsia="宋体" w:cs="宋体"/>
                <w:spacing w:val="-6"/>
                <w:sz w:val="21"/>
                <w:szCs w:val="21"/>
                <w:highlight w:val="none"/>
              </w:rPr>
              <w:t>3</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left="0" w:right="0" w:hanging="1"/>
              <w:jc w:val="center"/>
              <w:rPr>
                <w:rFonts w:ascii="宋体" w:hAnsi="宋体" w:eastAsia="宋体" w:cs="宋体"/>
                <w:sz w:val="21"/>
                <w:szCs w:val="21"/>
                <w:highlight w:val="none"/>
              </w:rPr>
            </w:pPr>
            <w:r>
              <w:rPr>
                <w:rFonts w:ascii="宋体" w:hAnsi="宋体" w:eastAsia="宋体" w:cs="宋体"/>
                <w:spacing w:val="-4"/>
                <w:sz w:val="21"/>
                <w:szCs w:val="21"/>
                <w:highlight w:val="none"/>
              </w:rPr>
              <w:t>终</w:t>
            </w:r>
            <w:r>
              <w:rPr>
                <w:rFonts w:ascii="宋体" w:hAnsi="宋体" w:eastAsia="宋体" w:cs="宋体"/>
                <w:spacing w:val="-2"/>
                <w:sz w:val="21"/>
                <w:szCs w:val="21"/>
                <w:highlight w:val="none"/>
              </w:rPr>
              <w:t>端软件版本</w:t>
            </w:r>
            <w:r>
              <w:rPr>
                <w:rFonts w:ascii="宋体" w:hAnsi="宋体" w:eastAsia="宋体" w:cs="宋体"/>
                <w:sz w:val="21"/>
                <w:szCs w:val="21"/>
                <w:highlight w:val="none"/>
              </w:rPr>
              <w:t>号</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BYT</w:t>
            </w:r>
            <w:r>
              <w:rPr>
                <w:rFonts w:ascii="宋体" w:hAnsi="宋体" w:eastAsia="宋体" w:cs="宋体"/>
                <w:sz w:val="21"/>
                <w:szCs w:val="21"/>
                <w:highlight w:val="none"/>
              </w:rPr>
              <w:t>E</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车载终端软件版</w:t>
            </w:r>
            <w:r>
              <w:rPr>
                <w:rFonts w:ascii="宋体" w:hAnsi="宋体" w:eastAsia="宋体" w:cs="宋体"/>
                <w:sz w:val="21"/>
                <w:szCs w:val="21"/>
                <w:highlight w:val="none"/>
              </w:rPr>
              <w:t>本号有效值范围0-255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6"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8"/>
                <w:sz w:val="21"/>
                <w:szCs w:val="21"/>
                <w:highlight w:val="none"/>
              </w:rPr>
              <w:t>1</w:t>
            </w:r>
            <w:r>
              <w:rPr>
                <w:rFonts w:ascii="宋体" w:hAnsi="宋体" w:eastAsia="宋体" w:cs="宋体"/>
                <w:spacing w:val="-6"/>
                <w:sz w:val="21"/>
                <w:szCs w:val="21"/>
                <w:highlight w:val="none"/>
              </w:rPr>
              <w:t>4</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数据加密方式</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BYT</w:t>
            </w:r>
            <w:r>
              <w:rPr>
                <w:rFonts w:ascii="宋体" w:hAnsi="宋体" w:eastAsia="宋体" w:cs="宋体"/>
                <w:sz w:val="21"/>
                <w:szCs w:val="21"/>
                <w:highlight w:val="none"/>
              </w:rPr>
              <w:t>E</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8"/>
                <w:sz w:val="21"/>
                <w:szCs w:val="21"/>
                <w:highlight w:val="none"/>
              </w:rPr>
              <w:t>0</w:t>
            </w:r>
            <w:r>
              <w:rPr>
                <w:rFonts w:ascii="宋体" w:hAnsi="宋体" w:eastAsia="宋体" w:cs="宋体"/>
                <w:spacing w:val="-5"/>
                <w:sz w:val="21"/>
                <w:szCs w:val="21"/>
                <w:highlight w:val="none"/>
              </w:rPr>
              <w:t>x01：数据不加密；0x02：数据经过RSA</w:t>
            </w:r>
            <w:r>
              <w:rPr>
                <w:rFonts w:ascii="宋体" w:hAnsi="宋体" w:eastAsia="宋体" w:cs="宋体"/>
                <w:spacing w:val="-10"/>
                <w:sz w:val="21"/>
                <w:szCs w:val="21"/>
                <w:highlight w:val="none"/>
              </w:rPr>
              <w:t>算</w:t>
            </w:r>
            <w:r>
              <w:rPr>
                <w:rFonts w:ascii="宋体" w:hAnsi="宋体" w:eastAsia="宋体" w:cs="宋体"/>
                <w:spacing w:val="-5"/>
                <w:sz w:val="21"/>
                <w:szCs w:val="21"/>
                <w:highlight w:val="none"/>
              </w:rPr>
              <w:t>法加密；0x03：数据经过国密SM2算法</w:t>
            </w:r>
            <w:r>
              <w:rPr>
                <w:rFonts w:ascii="宋体" w:hAnsi="宋体" w:eastAsia="宋体" w:cs="宋体"/>
                <w:spacing w:val="-1"/>
                <w:sz w:val="21"/>
                <w:szCs w:val="21"/>
                <w:highlight w:val="none"/>
              </w:rPr>
              <w:t>加密；“0</w:t>
            </w:r>
            <w:r>
              <w:rPr>
                <w:rFonts w:ascii="宋体" w:hAnsi="宋体" w:eastAsia="宋体" w:cs="宋体"/>
                <w:sz w:val="21"/>
                <w:szCs w:val="21"/>
                <w:highlight w:val="none"/>
              </w:rPr>
              <w:t>xFE</w:t>
            </w:r>
            <w:r>
              <w:rPr>
                <w:rFonts w:ascii="宋体" w:hAnsi="宋体" w:eastAsia="宋体" w:cs="宋体"/>
                <w:spacing w:val="-1"/>
                <w:sz w:val="21"/>
                <w:szCs w:val="21"/>
                <w:highlight w:val="none"/>
              </w:rPr>
              <w:t>”表示异</w:t>
            </w:r>
            <w:r>
              <w:rPr>
                <w:rFonts w:ascii="宋体" w:hAnsi="宋体" w:eastAsia="宋体" w:cs="宋体"/>
                <w:sz w:val="21"/>
                <w:szCs w:val="21"/>
                <w:highlight w:val="none"/>
              </w:rPr>
              <w:t>常，“0xFF”表示</w:t>
            </w:r>
            <w:r>
              <w:rPr>
                <w:rFonts w:ascii="宋体" w:hAnsi="宋体" w:eastAsia="宋体" w:cs="宋体"/>
                <w:spacing w:val="-2"/>
                <w:sz w:val="21"/>
                <w:szCs w:val="21"/>
                <w:highlight w:val="none"/>
              </w:rPr>
              <w:t>无效，</w:t>
            </w:r>
            <w:r>
              <w:rPr>
                <w:rFonts w:ascii="宋体" w:hAnsi="宋体" w:eastAsia="宋体" w:cs="宋体"/>
                <w:spacing w:val="-1"/>
                <w:sz w:val="21"/>
                <w:szCs w:val="21"/>
                <w:highlight w:val="none"/>
              </w:rPr>
              <w:t>其他预留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8"/>
                <w:sz w:val="21"/>
                <w:szCs w:val="21"/>
                <w:highlight w:val="none"/>
              </w:rPr>
              <w:t>1</w:t>
            </w:r>
            <w:r>
              <w:rPr>
                <w:rFonts w:ascii="宋体" w:hAnsi="宋体" w:eastAsia="宋体" w:cs="宋体"/>
                <w:spacing w:val="-6"/>
                <w:sz w:val="21"/>
                <w:szCs w:val="21"/>
                <w:highlight w:val="none"/>
              </w:rPr>
              <w:t>5</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2"/>
                <w:sz w:val="21"/>
                <w:szCs w:val="21"/>
                <w:highlight w:val="none"/>
              </w:rPr>
              <w:t>数据单元</w:t>
            </w:r>
            <w:r>
              <w:rPr>
                <w:rFonts w:ascii="宋体" w:hAnsi="宋体" w:eastAsia="宋体" w:cs="宋体"/>
                <w:spacing w:val="-1"/>
                <w:sz w:val="21"/>
                <w:szCs w:val="21"/>
                <w:highlight w:val="none"/>
              </w:rPr>
              <w:t>长度</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WO</w:t>
            </w:r>
            <w:r>
              <w:rPr>
                <w:rFonts w:ascii="宋体" w:hAnsi="宋体" w:eastAsia="宋体" w:cs="宋体"/>
                <w:sz w:val="21"/>
                <w:szCs w:val="21"/>
                <w:highlight w:val="none"/>
              </w:rPr>
              <w:t>RD</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3"/>
                <w:sz w:val="21"/>
                <w:szCs w:val="21"/>
                <w:highlight w:val="none"/>
              </w:rPr>
              <w:t>数据单元长度是数据单元的总字节数，有效值范围</w:t>
            </w:r>
            <w:r>
              <w:rPr>
                <w:rFonts w:ascii="宋体" w:hAnsi="宋体" w:eastAsia="宋体" w:cs="宋体"/>
                <w:spacing w:val="-1"/>
                <w:sz w:val="21"/>
                <w:szCs w:val="21"/>
                <w:highlight w:val="none"/>
              </w:rPr>
              <w:t>：</w:t>
            </w:r>
            <w:r>
              <w:rPr>
                <w:rFonts w:ascii="宋体" w:hAnsi="宋体" w:eastAsia="宋体" w:cs="宋体"/>
                <w:spacing w:val="-2"/>
                <w:sz w:val="21"/>
                <w:szCs w:val="21"/>
                <w:highlight w:val="none"/>
              </w:rPr>
              <w:t>0-6</w:t>
            </w:r>
            <w:r>
              <w:rPr>
                <w:rFonts w:ascii="宋体" w:hAnsi="宋体" w:eastAsia="宋体" w:cs="宋体"/>
                <w:spacing w:val="-1"/>
                <w:sz w:val="21"/>
                <w:szCs w:val="21"/>
                <w:highlight w:val="none"/>
              </w:rPr>
              <w:t>5531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8"/>
                <w:sz w:val="21"/>
                <w:szCs w:val="21"/>
                <w:highlight w:val="none"/>
              </w:rPr>
              <w:t>1</w:t>
            </w:r>
            <w:r>
              <w:rPr>
                <w:rFonts w:ascii="宋体" w:hAnsi="宋体" w:eastAsia="宋体" w:cs="宋体"/>
                <w:spacing w:val="-6"/>
                <w:sz w:val="21"/>
                <w:szCs w:val="21"/>
                <w:highlight w:val="none"/>
              </w:rPr>
              <w:t>7</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3"/>
                <w:sz w:val="21"/>
                <w:szCs w:val="21"/>
                <w:highlight w:val="none"/>
              </w:rPr>
              <w:t>数</w:t>
            </w:r>
            <w:r>
              <w:rPr>
                <w:rFonts w:ascii="宋体" w:hAnsi="宋体" w:eastAsia="宋体" w:cs="宋体"/>
                <w:spacing w:val="-2"/>
                <w:sz w:val="21"/>
                <w:szCs w:val="21"/>
                <w:highlight w:val="none"/>
              </w:rPr>
              <w:t>据单元</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Arial"/>
                <w:sz w:val="21"/>
                <w:szCs w:val="21"/>
                <w:highlight w:val="none"/>
              </w:rPr>
            </w:pP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数据单元格式和定义见</w:t>
            </w:r>
            <w:r>
              <w:rPr>
                <w:rFonts w:hint="eastAsia" w:ascii="宋体" w:hAnsi="宋体" w:cs="宋体"/>
                <w:spacing w:val="-1"/>
                <w:sz w:val="21"/>
                <w:szCs w:val="21"/>
                <w:highlight w:val="none"/>
                <w:lang w:val="en-US" w:eastAsia="zh-CN"/>
              </w:rPr>
              <w:t>5</w:t>
            </w:r>
            <w:r>
              <w:rPr>
                <w:rFonts w:hint="eastAsia" w:ascii="宋体" w:hAnsi="宋体" w:eastAsia="宋体" w:cs="宋体"/>
                <w:spacing w:val="-1"/>
                <w:sz w:val="21"/>
                <w:szCs w:val="21"/>
                <w:highlight w:val="none"/>
                <w:lang w:val="en-US" w:eastAsia="zh-CN"/>
              </w:rPr>
              <w:t>.2</w:t>
            </w:r>
            <w:r>
              <w:rPr>
                <w:rFonts w:ascii="宋体" w:hAnsi="宋体" w:eastAsia="宋体" w:cs="宋体"/>
                <w:sz w:val="21"/>
                <w:szCs w:val="21"/>
                <w:highlight w:val="none"/>
              </w:rPr>
              <w:t>.5.5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1100" w:type="dxa"/>
            <w:noWrap w:val="0"/>
            <w:vAlign w:val="center"/>
          </w:tcPr>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1"/>
                <w:szCs w:val="21"/>
                <w:highlight w:val="none"/>
              </w:rPr>
            </w:pPr>
            <w:r>
              <w:rPr>
                <w:rFonts w:ascii="宋体" w:hAnsi="宋体" w:eastAsia="宋体" w:cs="宋体"/>
                <w:spacing w:val="-4"/>
                <w:sz w:val="21"/>
                <w:szCs w:val="21"/>
                <w:highlight w:val="none"/>
              </w:rPr>
              <w:t>倒</w:t>
            </w:r>
            <w:r>
              <w:rPr>
                <w:rFonts w:ascii="宋体" w:hAnsi="宋体" w:eastAsia="宋体" w:cs="宋体"/>
                <w:spacing w:val="-2"/>
                <w:sz w:val="21"/>
                <w:szCs w:val="21"/>
                <w:highlight w:val="none"/>
              </w:rPr>
              <w:t>数第1</w:t>
            </w:r>
          </w:p>
        </w:tc>
        <w:tc>
          <w:tcPr>
            <w:tcW w:w="12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3"/>
                <w:sz w:val="21"/>
                <w:szCs w:val="21"/>
                <w:highlight w:val="none"/>
              </w:rPr>
              <w:t>校</w:t>
            </w:r>
            <w:r>
              <w:rPr>
                <w:rFonts w:ascii="宋体" w:hAnsi="宋体" w:eastAsia="宋体" w:cs="宋体"/>
                <w:spacing w:val="-2"/>
                <w:sz w:val="21"/>
                <w:szCs w:val="21"/>
                <w:highlight w:val="none"/>
              </w:rPr>
              <w:t>验码</w:t>
            </w:r>
          </w:p>
        </w:tc>
        <w:tc>
          <w:tcPr>
            <w:tcW w:w="120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1"/>
                <w:szCs w:val="21"/>
                <w:highlight w:val="none"/>
              </w:rPr>
            </w:pPr>
            <w:r>
              <w:rPr>
                <w:rFonts w:ascii="宋体" w:hAnsi="宋体" w:eastAsia="宋体" w:cs="宋体"/>
                <w:spacing w:val="-1"/>
                <w:sz w:val="21"/>
                <w:szCs w:val="21"/>
                <w:highlight w:val="none"/>
              </w:rPr>
              <w:t>BYT</w:t>
            </w:r>
            <w:r>
              <w:rPr>
                <w:rFonts w:ascii="宋体" w:hAnsi="宋体" w:eastAsia="宋体" w:cs="宋体"/>
                <w:sz w:val="21"/>
                <w:szCs w:val="21"/>
                <w:highlight w:val="none"/>
              </w:rPr>
              <w:t>E</w:t>
            </w:r>
          </w:p>
        </w:tc>
        <w:tc>
          <w:tcPr>
            <w:tcW w:w="6285" w:type="dxa"/>
            <w:noWrap w:val="0"/>
            <w:vAlign w:val="center"/>
          </w:tcPr>
          <w:p>
            <w:pPr>
              <w:keepNext w:val="0"/>
              <w:keepLines w:val="0"/>
              <w:pageBreakBefore w:val="0"/>
              <w:widowControl w:val="0"/>
              <w:kinsoku/>
              <w:wordWrap/>
              <w:overflowPunct/>
              <w:topLinePunct w:val="0"/>
              <w:bidi w:val="0"/>
              <w:snapToGrid/>
              <w:spacing w:line="360" w:lineRule="auto"/>
              <w:ind w:left="0" w:right="0" w:hanging="4"/>
              <w:jc w:val="center"/>
              <w:rPr>
                <w:rFonts w:ascii="宋体" w:hAnsi="宋体" w:eastAsia="宋体" w:cs="宋体"/>
                <w:sz w:val="21"/>
                <w:szCs w:val="21"/>
                <w:highlight w:val="none"/>
              </w:rPr>
            </w:pPr>
            <w:r>
              <w:rPr>
                <w:rFonts w:ascii="宋体" w:hAnsi="宋体" w:eastAsia="宋体" w:cs="宋体"/>
                <w:spacing w:val="8"/>
                <w:sz w:val="21"/>
                <w:szCs w:val="21"/>
                <w:highlight w:val="none"/>
              </w:rPr>
              <w:t>采</w:t>
            </w:r>
            <w:r>
              <w:rPr>
                <w:rFonts w:ascii="宋体" w:hAnsi="宋体" w:eastAsia="宋体" w:cs="宋体"/>
                <w:spacing w:val="7"/>
                <w:sz w:val="21"/>
                <w:szCs w:val="21"/>
                <w:highlight w:val="none"/>
              </w:rPr>
              <w:t>用</w:t>
            </w:r>
            <w:r>
              <w:rPr>
                <w:rFonts w:ascii="宋体" w:hAnsi="宋体" w:eastAsia="宋体" w:cs="宋体"/>
                <w:sz w:val="21"/>
                <w:szCs w:val="21"/>
                <w:highlight w:val="none"/>
              </w:rPr>
              <w:t>BCC</w:t>
            </w:r>
            <w:r>
              <w:rPr>
                <w:rFonts w:ascii="宋体" w:hAnsi="宋体" w:eastAsia="宋体" w:cs="宋体"/>
                <w:spacing w:val="4"/>
                <w:sz w:val="21"/>
                <w:szCs w:val="21"/>
                <w:highlight w:val="none"/>
              </w:rPr>
              <w:t>(异或校验)法，校验范围从命令单元的第</w:t>
            </w:r>
            <w:r>
              <w:rPr>
                <w:rFonts w:ascii="宋体" w:hAnsi="宋体" w:eastAsia="宋体" w:cs="宋体"/>
                <w:spacing w:val="-1"/>
                <w:sz w:val="21"/>
                <w:szCs w:val="21"/>
                <w:highlight w:val="none"/>
              </w:rPr>
              <w:t>一个字节开始，同后一个字节异</w:t>
            </w:r>
            <w:r>
              <w:rPr>
                <w:rFonts w:ascii="宋体" w:hAnsi="宋体" w:eastAsia="宋体" w:cs="宋体"/>
                <w:sz w:val="21"/>
                <w:szCs w:val="21"/>
                <w:highlight w:val="none"/>
              </w:rPr>
              <w:t>或，直到校验码前一</w:t>
            </w:r>
            <w:r>
              <w:rPr>
                <w:rFonts w:ascii="宋体" w:hAnsi="宋体" w:eastAsia="宋体" w:cs="宋体"/>
                <w:spacing w:val="-4"/>
                <w:sz w:val="21"/>
                <w:szCs w:val="21"/>
                <w:highlight w:val="none"/>
              </w:rPr>
              <w:t>个字节为</w:t>
            </w:r>
            <w:r>
              <w:rPr>
                <w:rFonts w:ascii="宋体" w:hAnsi="宋体" w:eastAsia="宋体" w:cs="宋体"/>
                <w:spacing w:val="-3"/>
                <w:sz w:val="21"/>
                <w:szCs w:val="21"/>
                <w:highlight w:val="none"/>
              </w:rPr>
              <w:t>止</w:t>
            </w:r>
            <w:r>
              <w:rPr>
                <w:rFonts w:ascii="宋体" w:hAnsi="宋体" w:eastAsia="宋体" w:cs="宋体"/>
                <w:spacing w:val="-2"/>
                <w:sz w:val="21"/>
                <w:szCs w:val="21"/>
                <w:highlight w:val="none"/>
              </w:rPr>
              <w:t>，校验码占用一个字节。</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5.2.5.3命令单元</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命令单元应是发起方的唯一标识，命令单元定义见表3所示。</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表3命令单元</w:t>
      </w:r>
      <w:r>
        <w:rPr>
          <w:rFonts w:ascii="宋体" w:hAnsi="宋体" w:eastAsia="宋体" w:cs="宋体"/>
          <w:sz w:val="24"/>
          <w:szCs w:val="24"/>
        </w:rPr>
        <w:t>定义</w:t>
      </w:r>
    </w:p>
    <w:tbl>
      <w:tblPr>
        <w:tblStyle w:val="60"/>
        <w:tblW w:w="95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81"/>
        <w:gridCol w:w="2840"/>
        <w:gridCol w:w="32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3481"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编</w:t>
            </w:r>
            <w:r>
              <w:rPr>
                <w:rFonts w:ascii="宋体" w:hAnsi="宋体" w:eastAsia="宋体" w:cs="宋体"/>
                <w:spacing w:val="-2"/>
                <w:sz w:val="24"/>
                <w:szCs w:val="24"/>
              </w:rPr>
              <w:t>码</w:t>
            </w:r>
          </w:p>
        </w:tc>
        <w:tc>
          <w:tcPr>
            <w:tcW w:w="284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定</w:t>
            </w:r>
            <w:r>
              <w:rPr>
                <w:rFonts w:ascii="宋体" w:hAnsi="宋体" w:eastAsia="宋体" w:cs="宋体"/>
                <w:spacing w:val="-3"/>
                <w:sz w:val="24"/>
                <w:szCs w:val="24"/>
              </w:rPr>
              <w:t>义</w:t>
            </w:r>
          </w:p>
        </w:tc>
        <w:tc>
          <w:tcPr>
            <w:tcW w:w="320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方向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3481"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x01</w:t>
            </w:r>
          </w:p>
        </w:tc>
        <w:tc>
          <w:tcPr>
            <w:tcW w:w="284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机械登</w:t>
            </w:r>
            <w:r>
              <w:rPr>
                <w:rFonts w:ascii="宋体" w:hAnsi="宋体" w:eastAsia="宋体" w:cs="宋体"/>
                <w:spacing w:val="-1"/>
                <w:sz w:val="24"/>
                <w:szCs w:val="24"/>
              </w:rPr>
              <w:t>入</w:t>
            </w:r>
          </w:p>
        </w:tc>
        <w:tc>
          <w:tcPr>
            <w:tcW w:w="320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3481"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x02</w:t>
            </w:r>
          </w:p>
        </w:tc>
        <w:tc>
          <w:tcPr>
            <w:tcW w:w="284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实</w:t>
            </w:r>
            <w:r>
              <w:rPr>
                <w:rFonts w:ascii="宋体" w:hAnsi="宋体" w:eastAsia="宋体" w:cs="宋体"/>
                <w:spacing w:val="-2"/>
                <w:sz w:val="24"/>
                <w:szCs w:val="24"/>
              </w:rPr>
              <w:t>时信息上报</w:t>
            </w:r>
          </w:p>
        </w:tc>
        <w:tc>
          <w:tcPr>
            <w:tcW w:w="320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3481"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x03</w:t>
            </w:r>
          </w:p>
        </w:tc>
        <w:tc>
          <w:tcPr>
            <w:tcW w:w="284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补发</w:t>
            </w:r>
            <w:r>
              <w:rPr>
                <w:rFonts w:ascii="宋体" w:hAnsi="宋体" w:eastAsia="宋体" w:cs="宋体"/>
                <w:spacing w:val="-1"/>
                <w:sz w:val="24"/>
                <w:szCs w:val="24"/>
              </w:rPr>
              <w:t>信息上报</w:t>
            </w:r>
          </w:p>
        </w:tc>
        <w:tc>
          <w:tcPr>
            <w:tcW w:w="320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jc w:val="center"/>
        </w:trPr>
        <w:tc>
          <w:tcPr>
            <w:tcW w:w="3481"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x04</w:t>
            </w:r>
          </w:p>
        </w:tc>
        <w:tc>
          <w:tcPr>
            <w:tcW w:w="284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机械登</w:t>
            </w:r>
            <w:r>
              <w:rPr>
                <w:rFonts w:ascii="宋体" w:hAnsi="宋体" w:eastAsia="宋体" w:cs="宋体"/>
                <w:spacing w:val="-1"/>
                <w:sz w:val="24"/>
                <w:szCs w:val="24"/>
              </w:rPr>
              <w:t>出</w:t>
            </w:r>
          </w:p>
        </w:tc>
        <w:tc>
          <w:tcPr>
            <w:tcW w:w="320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3481"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x05</w:t>
            </w:r>
          </w:p>
        </w:tc>
        <w:tc>
          <w:tcPr>
            <w:tcW w:w="284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拆除警报</w:t>
            </w:r>
          </w:p>
        </w:tc>
        <w:tc>
          <w:tcPr>
            <w:tcW w:w="320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3481"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8"/>
                <w:sz w:val="24"/>
                <w:szCs w:val="24"/>
              </w:rPr>
              <w:t>0</w:t>
            </w:r>
            <w:r>
              <w:rPr>
                <w:rFonts w:ascii="宋体" w:hAnsi="宋体" w:eastAsia="宋体" w:cs="宋体"/>
                <w:sz w:val="24"/>
                <w:szCs w:val="24"/>
              </w:rPr>
              <w:t>x</w:t>
            </w:r>
            <w:r>
              <w:rPr>
                <w:rFonts w:ascii="宋体" w:hAnsi="宋体" w:eastAsia="宋体" w:cs="宋体"/>
                <w:spacing w:val="18"/>
                <w:sz w:val="24"/>
                <w:szCs w:val="24"/>
              </w:rPr>
              <w:t>06~0</w:t>
            </w:r>
            <w:r>
              <w:rPr>
                <w:rFonts w:ascii="宋体" w:hAnsi="宋体" w:eastAsia="宋体" w:cs="宋体"/>
                <w:sz w:val="24"/>
                <w:szCs w:val="24"/>
              </w:rPr>
              <w:t>x</w:t>
            </w:r>
            <w:r>
              <w:rPr>
                <w:rFonts w:ascii="宋体" w:hAnsi="宋体" w:eastAsia="宋体" w:cs="宋体"/>
                <w:spacing w:val="18"/>
                <w:sz w:val="24"/>
                <w:szCs w:val="24"/>
              </w:rPr>
              <w:t>7</w:t>
            </w:r>
            <w:r>
              <w:rPr>
                <w:rFonts w:ascii="宋体" w:hAnsi="宋体" w:eastAsia="宋体" w:cs="宋体"/>
                <w:sz w:val="24"/>
                <w:szCs w:val="24"/>
              </w:rPr>
              <w:t>F</w:t>
            </w:r>
          </w:p>
        </w:tc>
        <w:tc>
          <w:tcPr>
            <w:tcW w:w="284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上行</w:t>
            </w:r>
            <w:r>
              <w:rPr>
                <w:rFonts w:ascii="宋体" w:hAnsi="宋体" w:eastAsia="宋体" w:cs="宋体"/>
                <w:spacing w:val="-1"/>
                <w:sz w:val="24"/>
                <w:szCs w:val="24"/>
              </w:rPr>
              <w:t>数据系统预留</w:t>
            </w:r>
          </w:p>
        </w:tc>
        <w:tc>
          <w:tcPr>
            <w:tcW w:w="3200" w:type="dxa"/>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上行</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5.2.5.4时间</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时间均应采用GMT+8时间，时间定义符合GB/T32960.3中6.4的要求。</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5.2.5.5数据单元格式及定义</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5.2.5.5.1机械登入</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机械登入数据格式和定义见表4所示</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表4</w:t>
      </w:r>
      <w:r>
        <w:rPr>
          <w:rFonts w:ascii="宋体" w:hAnsi="宋体" w:eastAsia="宋体" w:cs="宋体"/>
          <w:sz w:val="24"/>
          <w:szCs w:val="24"/>
        </w:rPr>
        <w:t>机械登入数据格式和定义</w:t>
      </w:r>
    </w:p>
    <w:tbl>
      <w:tblPr>
        <w:tblStyle w:val="60"/>
        <w:tblW w:w="90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3"/>
        <w:gridCol w:w="1786"/>
        <w:gridCol w:w="1228"/>
        <w:gridCol w:w="487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jc w:val="center"/>
        </w:trPr>
        <w:tc>
          <w:tcPr>
            <w:tcW w:w="113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起始</w:t>
            </w:r>
            <w:r>
              <w:rPr>
                <w:rFonts w:ascii="宋体" w:hAnsi="宋体" w:eastAsia="宋体" w:cs="宋体"/>
                <w:spacing w:val="-1"/>
                <w:sz w:val="24"/>
                <w:szCs w:val="24"/>
              </w:rPr>
              <w:t>字节</w:t>
            </w:r>
          </w:p>
        </w:tc>
        <w:tc>
          <w:tcPr>
            <w:tcW w:w="1786" w:type="dxa"/>
            <w:noWrap w:val="0"/>
            <w:vAlign w:val="center"/>
          </w:tcPr>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4"/>
                <w:szCs w:val="24"/>
              </w:rPr>
            </w:pPr>
            <w:r>
              <w:rPr>
                <w:rFonts w:ascii="宋体" w:hAnsi="宋体" w:eastAsia="宋体" w:cs="宋体"/>
                <w:spacing w:val="-2"/>
                <w:sz w:val="24"/>
                <w:szCs w:val="24"/>
              </w:rPr>
              <w:t>数</w:t>
            </w:r>
            <w:r>
              <w:rPr>
                <w:rFonts w:ascii="宋体" w:hAnsi="宋体" w:eastAsia="宋体" w:cs="宋体"/>
                <w:spacing w:val="-1"/>
                <w:sz w:val="24"/>
                <w:szCs w:val="24"/>
              </w:rPr>
              <w:t>据表示内容</w:t>
            </w:r>
          </w:p>
        </w:tc>
        <w:tc>
          <w:tcPr>
            <w:tcW w:w="1228"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数据类</w:t>
            </w:r>
            <w:r>
              <w:rPr>
                <w:rFonts w:ascii="宋体" w:hAnsi="宋体" w:eastAsia="宋体" w:cs="宋体"/>
                <w:spacing w:val="-1"/>
                <w:sz w:val="24"/>
                <w:szCs w:val="24"/>
              </w:rPr>
              <w:t>型</w:t>
            </w:r>
          </w:p>
        </w:tc>
        <w:tc>
          <w:tcPr>
            <w:tcW w:w="48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113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0</w:t>
            </w:r>
          </w:p>
        </w:tc>
        <w:tc>
          <w:tcPr>
            <w:tcW w:w="1786" w:type="dxa"/>
            <w:noWrap w:val="0"/>
            <w:vAlign w:val="center"/>
          </w:tcPr>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4"/>
                <w:szCs w:val="24"/>
              </w:rPr>
            </w:pPr>
            <w:r>
              <w:rPr>
                <w:rFonts w:ascii="宋体" w:hAnsi="宋体" w:eastAsia="宋体" w:cs="宋体"/>
                <w:spacing w:val="-2"/>
                <w:sz w:val="24"/>
                <w:szCs w:val="24"/>
              </w:rPr>
              <w:t>数据采集</w:t>
            </w:r>
            <w:r>
              <w:rPr>
                <w:rFonts w:ascii="宋体" w:hAnsi="宋体" w:eastAsia="宋体" w:cs="宋体"/>
                <w:spacing w:val="-1"/>
                <w:sz w:val="24"/>
                <w:szCs w:val="24"/>
              </w:rPr>
              <w:t>时间</w:t>
            </w:r>
          </w:p>
        </w:tc>
        <w:tc>
          <w:tcPr>
            <w:tcW w:w="1228"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w:t>
            </w:r>
            <w:r>
              <w:rPr>
                <w:rFonts w:ascii="宋体" w:hAnsi="宋体" w:eastAsia="宋体" w:cs="宋体"/>
                <w:sz w:val="24"/>
                <w:szCs w:val="24"/>
              </w:rPr>
              <w:t>YTE</w:t>
            </w:r>
            <w:r>
              <w:rPr>
                <w:rFonts w:ascii="宋体" w:hAnsi="宋体" w:eastAsia="宋体" w:cs="宋体"/>
                <w:spacing w:val="-1"/>
                <w:sz w:val="24"/>
                <w:szCs w:val="24"/>
              </w:rPr>
              <w:t>[6]</w:t>
            </w:r>
          </w:p>
        </w:tc>
        <w:tc>
          <w:tcPr>
            <w:tcW w:w="48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时</w:t>
            </w:r>
            <w:r>
              <w:rPr>
                <w:rFonts w:ascii="宋体" w:hAnsi="宋体" w:eastAsia="宋体" w:cs="宋体"/>
                <w:spacing w:val="-2"/>
                <w:sz w:val="24"/>
                <w:szCs w:val="24"/>
              </w:rPr>
              <w:t>间定义见</w:t>
            </w:r>
            <w:r>
              <w:rPr>
                <w:rFonts w:hint="eastAsia" w:ascii="宋体" w:hAnsi="宋体" w:cs="宋体"/>
                <w:spacing w:val="-2"/>
                <w:sz w:val="24"/>
                <w:szCs w:val="24"/>
                <w:lang w:val="en-US" w:eastAsia="zh-CN"/>
              </w:rPr>
              <w:t>5</w:t>
            </w:r>
            <w:r>
              <w:rPr>
                <w:rFonts w:hint="eastAsia" w:ascii="宋体" w:hAnsi="宋体" w:eastAsia="宋体" w:cs="宋体"/>
                <w:spacing w:val="-2"/>
                <w:sz w:val="24"/>
                <w:szCs w:val="24"/>
                <w:lang w:val="en-US" w:eastAsia="zh-CN"/>
              </w:rPr>
              <w:t>.2</w:t>
            </w:r>
            <w:r>
              <w:rPr>
                <w:rFonts w:ascii="宋体" w:hAnsi="宋体" w:eastAsia="宋体" w:cs="宋体"/>
                <w:spacing w:val="-2"/>
                <w:sz w:val="24"/>
                <w:szCs w:val="24"/>
              </w:rPr>
              <w:t>.5.4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jc w:val="center"/>
        </w:trPr>
        <w:tc>
          <w:tcPr>
            <w:tcW w:w="113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6</w:t>
            </w:r>
          </w:p>
        </w:tc>
        <w:tc>
          <w:tcPr>
            <w:tcW w:w="1786"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4"/>
                <w:szCs w:val="24"/>
              </w:rPr>
            </w:pPr>
            <w:r>
              <w:rPr>
                <w:rFonts w:ascii="宋体" w:hAnsi="宋体" w:eastAsia="宋体" w:cs="宋体"/>
                <w:spacing w:val="-4"/>
                <w:sz w:val="24"/>
                <w:szCs w:val="24"/>
              </w:rPr>
              <w:t>登</w:t>
            </w:r>
            <w:r>
              <w:rPr>
                <w:rFonts w:ascii="宋体" w:hAnsi="宋体" w:eastAsia="宋体" w:cs="宋体"/>
                <w:spacing w:val="-2"/>
                <w:sz w:val="24"/>
                <w:szCs w:val="24"/>
              </w:rPr>
              <w:t>入流水号</w:t>
            </w:r>
          </w:p>
        </w:tc>
        <w:tc>
          <w:tcPr>
            <w:tcW w:w="1228"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WO</w:t>
            </w:r>
            <w:r>
              <w:rPr>
                <w:rFonts w:ascii="宋体" w:hAnsi="宋体" w:eastAsia="宋体" w:cs="宋体"/>
                <w:sz w:val="24"/>
                <w:szCs w:val="24"/>
              </w:rPr>
              <w:t>RD</w:t>
            </w:r>
          </w:p>
        </w:tc>
        <w:tc>
          <w:tcPr>
            <w:tcW w:w="48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车载终端每登入一次，登</w:t>
            </w:r>
            <w:r>
              <w:rPr>
                <w:rFonts w:ascii="宋体" w:hAnsi="宋体" w:eastAsia="宋体" w:cs="宋体"/>
                <w:sz w:val="24"/>
                <w:szCs w:val="24"/>
              </w:rPr>
              <w:t>入流水号自动</w:t>
            </w:r>
          </w:p>
          <w:p>
            <w:pPr>
              <w:keepNext w:val="0"/>
              <w:keepLines w:val="0"/>
              <w:pageBreakBefore w:val="0"/>
              <w:widowControl w:val="0"/>
              <w:kinsoku/>
              <w:wordWrap/>
              <w:overflowPunct/>
              <w:topLinePunct w:val="0"/>
              <w:bidi w:val="0"/>
              <w:snapToGrid/>
              <w:spacing w:line="360" w:lineRule="auto"/>
              <w:ind w:left="0" w:right="0" w:hanging="542"/>
              <w:jc w:val="center"/>
              <w:rPr>
                <w:rFonts w:ascii="宋体" w:hAnsi="宋体" w:eastAsia="宋体" w:cs="宋体"/>
                <w:sz w:val="24"/>
                <w:szCs w:val="24"/>
              </w:rPr>
            </w:pPr>
            <w:r>
              <w:rPr>
                <w:rFonts w:ascii="宋体" w:hAnsi="宋体" w:eastAsia="宋体" w:cs="宋体"/>
                <w:spacing w:val="-1"/>
                <w:sz w:val="24"/>
                <w:szCs w:val="24"/>
              </w:rPr>
              <w:t>加1，从1开始循环</w:t>
            </w:r>
            <w:r>
              <w:rPr>
                <w:rFonts w:ascii="宋体" w:hAnsi="宋体" w:eastAsia="宋体" w:cs="宋体"/>
                <w:sz w:val="24"/>
                <w:szCs w:val="24"/>
              </w:rPr>
              <w:t>累加，最大值为</w:t>
            </w:r>
            <w:r>
              <w:rPr>
                <w:rFonts w:ascii="宋体" w:hAnsi="宋体" w:eastAsia="宋体" w:cs="宋体"/>
                <w:spacing w:val="-3"/>
                <w:sz w:val="24"/>
                <w:szCs w:val="24"/>
              </w:rPr>
              <w:t>65531，循环周期为天</w:t>
            </w:r>
            <w:r>
              <w:rPr>
                <w:rFonts w:ascii="宋体" w:hAnsi="宋体" w:eastAsia="宋体" w:cs="宋体"/>
                <w:spacing w:val="-2"/>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jc w:val="center"/>
        </w:trPr>
        <w:tc>
          <w:tcPr>
            <w:tcW w:w="113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6"/>
                <w:sz w:val="24"/>
                <w:szCs w:val="24"/>
              </w:rPr>
              <w:t>0</w:t>
            </w:r>
          </w:p>
        </w:tc>
        <w:tc>
          <w:tcPr>
            <w:tcW w:w="1786" w:type="dxa"/>
            <w:noWrap w:val="0"/>
            <w:vAlign w:val="center"/>
          </w:tcPr>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4"/>
                <w:szCs w:val="24"/>
              </w:rPr>
            </w:pPr>
            <w:r>
              <w:rPr>
                <w:rFonts w:ascii="宋体" w:hAnsi="宋体" w:eastAsia="宋体" w:cs="宋体"/>
                <w:spacing w:val="-2"/>
                <w:sz w:val="24"/>
                <w:szCs w:val="24"/>
              </w:rPr>
              <w:t>SI</w:t>
            </w:r>
            <w:r>
              <w:rPr>
                <w:rFonts w:ascii="宋体" w:hAnsi="宋体" w:eastAsia="宋体" w:cs="宋体"/>
                <w:spacing w:val="-1"/>
                <w:sz w:val="24"/>
                <w:szCs w:val="24"/>
              </w:rPr>
              <w:t>M</w:t>
            </w:r>
            <w:r>
              <w:rPr>
                <w:rFonts w:ascii="宋体" w:hAnsi="宋体" w:eastAsia="宋体" w:cs="宋体"/>
                <w:spacing w:val="-2"/>
                <w:sz w:val="24"/>
                <w:szCs w:val="24"/>
              </w:rPr>
              <w:t>卡号的</w:t>
            </w:r>
            <w:r>
              <w:rPr>
                <w:rFonts w:ascii="宋体" w:hAnsi="宋体" w:eastAsia="宋体" w:cs="宋体"/>
                <w:spacing w:val="-5"/>
                <w:sz w:val="24"/>
                <w:szCs w:val="24"/>
              </w:rPr>
              <w:t>I</w:t>
            </w:r>
            <w:r>
              <w:rPr>
                <w:rFonts w:ascii="宋体" w:hAnsi="宋体" w:eastAsia="宋体" w:cs="宋体"/>
                <w:spacing w:val="-3"/>
                <w:sz w:val="24"/>
                <w:szCs w:val="24"/>
              </w:rPr>
              <w:t>CCID</w:t>
            </w:r>
            <w:r>
              <w:rPr>
                <w:rFonts w:ascii="宋体" w:hAnsi="宋体" w:eastAsia="宋体" w:cs="宋体"/>
                <w:spacing w:val="-6"/>
                <w:sz w:val="24"/>
                <w:szCs w:val="24"/>
              </w:rPr>
              <w:t>号</w:t>
            </w:r>
          </w:p>
        </w:tc>
        <w:tc>
          <w:tcPr>
            <w:tcW w:w="1228"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STR</w:t>
            </w:r>
            <w:r>
              <w:rPr>
                <w:rFonts w:ascii="宋体" w:hAnsi="宋体" w:eastAsia="宋体" w:cs="宋体"/>
                <w:spacing w:val="-1"/>
                <w:sz w:val="24"/>
                <w:szCs w:val="24"/>
              </w:rPr>
              <w:t>ING</w:t>
            </w:r>
          </w:p>
        </w:tc>
        <w:tc>
          <w:tcPr>
            <w:tcW w:w="487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SIM</w:t>
            </w:r>
            <w:r>
              <w:rPr>
                <w:rFonts w:ascii="宋体" w:hAnsi="宋体" w:eastAsia="宋体" w:cs="宋体"/>
                <w:spacing w:val="11"/>
                <w:sz w:val="24"/>
                <w:szCs w:val="24"/>
              </w:rPr>
              <w:t>卡</w:t>
            </w:r>
            <w:r>
              <w:rPr>
                <w:rFonts w:ascii="宋体" w:hAnsi="宋体" w:eastAsia="宋体" w:cs="宋体"/>
                <w:sz w:val="24"/>
                <w:szCs w:val="24"/>
              </w:rPr>
              <w:t>ICCID</w:t>
            </w:r>
            <w:r>
              <w:rPr>
                <w:rFonts w:ascii="宋体" w:hAnsi="宋体" w:eastAsia="宋体" w:cs="宋体"/>
                <w:spacing w:val="11"/>
                <w:sz w:val="24"/>
                <w:szCs w:val="24"/>
              </w:rPr>
              <w:t>号(</w:t>
            </w:r>
            <w:r>
              <w:rPr>
                <w:rFonts w:ascii="宋体" w:hAnsi="宋体" w:eastAsia="宋体" w:cs="宋体"/>
                <w:sz w:val="24"/>
                <w:szCs w:val="24"/>
              </w:rPr>
              <w:t>ICCID</w:t>
            </w:r>
            <w:r>
              <w:rPr>
                <w:rFonts w:ascii="宋体" w:hAnsi="宋体" w:eastAsia="宋体" w:cs="宋体"/>
                <w:spacing w:val="11"/>
                <w:sz w:val="24"/>
                <w:szCs w:val="24"/>
              </w:rPr>
              <w:t>应为车载终端从</w:t>
            </w:r>
            <w:r>
              <w:rPr>
                <w:rFonts w:ascii="宋体" w:hAnsi="宋体" w:eastAsia="宋体" w:cs="宋体"/>
                <w:sz w:val="24"/>
                <w:szCs w:val="24"/>
              </w:rPr>
              <w:t>SIM</w:t>
            </w:r>
            <w:r>
              <w:rPr>
                <w:rFonts w:ascii="宋体" w:hAnsi="宋体" w:eastAsia="宋体" w:cs="宋体"/>
                <w:spacing w:val="-1"/>
                <w:sz w:val="24"/>
                <w:szCs w:val="24"/>
              </w:rPr>
              <w:t>卡获取的值，不应人为填</w:t>
            </w:r>
            <w:r>
              <w:rPr>
                <w:rFonts w:ascii="宋体" w:hAnsi="宋体" w:eastAsia="宋体" w:cs="宋体"/>
                <w:sz w:val="24"/>
                <w:szCs w:val="24"/>
              </w:rPr>
              <w:t>写或修</w:t>
            </w:r>
            <w:r>
              <w:rPr>
                <w:rFonts w:ascii="宋体" w:hAnsi="宋体" w:eastAsia="宋体" w:cs="宋体"/>
                <w:spacing w:val="-12"/>
                <w:sz w:val="24"/>
                <w:szCs w:val="24"/>
              </w:rPr>
              <w:t>改</w:t>
            </w:r>
            <w:r>
              <w:rPr>
                <w:rFonts w:ascii="宋体" w:hAnsi="宋体" w:eastAsia="宋体" w:cs="宋体"/>
                <w:spacing w:val="-11"/>
                <w:sz w:val="24"/>
                <w:szCs w:val="24"/>
              </w:rPr>
              <w:t>)</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5.2.5.5.2实时信息上报</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5.2.5.5.2.1实时信息上报格式</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仿宋_GB2312" w:hAnsi="仿宋_GB2312" w:eastAsia="仿宋_GB2312" w:cs="仿宋_GB2312"/>
          <w:bCs/>
          <w:sz w:val="28"/>
          <w:szCs w:val="28"/>
          <w:highlight w:val="none"/>
          <w:lang w:val="en-US" w:eastAsia="zh-CN"/>
        </w:rPr>
      </w:pPr>
      <w:r>
        <w:rPr>
          <w:rFonts w:hint="eastAsia" w:ascii="宋体" w:hAnsi="宋体" w:eastAsia="宋体" w:cs="宋体"/>
          <w:bCs/>
          <w:sz w:val="24"/>
          <w:szCs w:val="24"/>
          <w:highlight w:val="none"/>
          <w:lang w:val="en-US" w:eastAsia="zh-CN"/>
        </w:rPr>
        <w:t>实时信息上报格式和定义见表5。</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表5实时信</w:t>
      </w:r>
      <w:r>
        <w:rPr>
          <w:rFonts w:ascii="宋体" w:hAnsi="宋体" w:eastAsia="宋体" w:cs="宋体"/>
          <w:sz w:val="24"/>
          <w:szCs w:val="24"/>
        </w:rPr>
        <w:t>息上报数据格式和定义</w:t>
      </w:r>
    </w:p>
    <w:tbl>
      <w:tblPr>
        <w:tblStyle w:val="60"/>
        <w:tblW w:w="8849" w:type="dxa"/>
        <w:tblInd w:w="8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0"/>
        <w:gridCol w:w="1262"/>
        <w:gridCol w:w="1260"/>
        <w:gridCol w:w="4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6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w:t>
            </w:r>
            <w:r>
              <w:rPr>
                <w:rFonts w:ascii="宋体" w:hAnsi="宋体" w:eastAsia="宋体" w:cs="宋体"/>
                <w:spacing w:val="-1"/>
                <w:sz w:val="24"/>
                <w:szCs w:val="24"/>
              </w:rPr>
              <w:t>据表示内容</w:t>
            </w:r>
          </w:p>
        </w:tc>
        <w:tc>
          <w:tcPr>
            <w:tcW w:w="126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8"/>
                <w:sz w:val="24"/>
                <w:szCs w:val="24"/>
              </w:rPr>
              <w:t>长</w:t>
            </w:r>
            <w:r>
              <w:rPr>
                <w:rFonts w:ascii="宋体" w:hAnsi="宋体" w:eastAsia="宋体" w:cs="宋体"/>
                <w:spacing w:val="16"/>
                <w:sz w:val="24"/>
                <w:szCs w:val="24"/>
              </w:rPr>
              <w:t>度(字节)</w:t>
            </w:r>
          </w:p>
        </w:tc>
        <w:tc>
          <w:tcPr>
            <w:tcW w:w="126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数据类</w:t>
            </w:r>
            <w:r>
              <w:rPr>
                <w:rFonts w:ascii="宋体" w:hAnsi="宋体" w:eastAsia="宋体" w:cs="宋体"/>
                <w:spacing w:val="-1"/>
                <w:sz w:val="24"/>
                <w:szCs w:val="24"/>
              </w:rPr>
              <w:t>型</w:t>
            </w:r>
          </w:p>
        </w:tc>
        <w:tc>
          <w:tcPr>
            <w:tcW w:w="4727"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6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数据采集</w:t>
            </w:r>
            <w:r>
              <w:rPr>
                <w:rFonts w:ascii="宋体" w:hAnsi="宋体" w:eastAsia="宋体" w:cs="宋体"/>
                <w:spacing w:val="-1"/>
                <w:sz w:val="24"/>
                <w:szCs w:val="24"/>
              </w:rPr>
              <w:t>时间</w:t>
            </w:r>
          </w:p>
        </w:tc>
        <w:tc>
          <w:tcPr>
            <w:tcW w:w="126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6</w:t>
            </w:r>
          </w:p>
        </w:tc>
        <w:tc>
          <w:tcPr>
            <w:tcW w:w="126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727"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时</w:t>
            </w:r>
            <w:r>
              <w:rPr>
                <w:rFonts w:ascii="宋体" w:hAnsi="宋体" w:eastAsia="宋体" w:cs="宋体"/>
                <w:spacing w:val="-2"/>
                <w:sz w:val="24"/>
                <w:szCs w:val="24"/>
              </w:rPr>
              <w:t>间定义见</w:t>
            </w:r>
            <w:r>
              <w:rPr>
                <w:rFonts w:hint="eastAsia" w:ascii="宋体" w:hAnsi="宋体" w:cs="宋体"/>
                <w:spacing w:val="-2"/>
                <w:sz w:val="24"/>
                <w:szCs w:val="24"/>
                <w:lang w:val="en-US" w:eastAsia="zh-CN"/>
              </w:rPr>
              <w:t>5</w:t>
            </w:r>
            <w:r>
              <w:rPr>
                <w:rFonts w:hint="eastAsia" w:ascii="宋体" w:hAnsi="宋体" w:eastAsia="宋体" w:cs="宋体"/>
                <w:spacing w:val="-2"/>
                <w:sz w:val="24"/>
                <w:szCs w:val="24"/>
                <w:lang w:val="en-US" w:eastAsia="zh-CN"/>
              </w:rPr>
              <w:t>.2</w:t>
            </w:r>
            <w:r>
              <w:rPr>
                <w:rFonts w:ascii="宋体" w:hAnsi="宋体" w:eastAsia="宋体" w:cs="宋体"/>
                <w:spacing w:val="-2"/>
                <w:sz w:val="24"/>
                <w:szCs w:val="24"/>
              </w:rPr>
              <w:t>.5.4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16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信息流</w:t>
            </w:r>
            <w:r>
              <w:rPr>
                <w:rFonts w:ascii="宋体" w:hAnsi="宋体" w:eastAsia="宋体" w:cs="宋体"/>
                <w:spacing w:val="-1"/>
                <w:sz w:val="24"/>
                <w:szCs w:val="24"/>
              </w:rPr>
              <w:t>水号</w:t>
            </w:r>
          </w:p>
        </w:tc>
        <w:tc>
          <w:tcPr>
            <w:tcW w:w="126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2</w:t>
            </w:r>
          </w:p>
        </w:tc>
        <w:tc>
          <w:tcPr>
            <w:tcW w:w="126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727" w:type="dxa"/>
            <w:noWrap w:val="0"/>
            <w:vAlign w:val="center"/>
          </w:tcPr>
          <w:p>
            <w:pPr>
              <w:keepNext w:val="0"/>
              <w:keepLines w:val="0"/>
              <w:pageBreakBefore w:val="0"/>
              <w:widowControl w:val="0"/>
              <w:kinsoku/>
              <w:wordWrap/>
              <w:overflowPunct/>
              <w:topLinePunct w:val="0"/>
              <w:bidi w:val="0"/>
              <w:snapToGrid/>
              <w:spacing w:line="360" w:lineRule="auto"/>
              <w:ind w:left="0" w:right="0" w:firstLine="27"/>
              <w:jc w:val="center"/>
              <w:rPr>
                <w:rFonts w:ascii="宋体" w:hAnsi="宋体" w:eastAsia="宋体" w:cs="宋体"/>
                <w:sz w:val="24"/>
                <w:szCs w:val="24"/>
              </w:rPr>
            </w:pPr>
            <w:r>
              <w:rPr>
                <w:rFonts w:ascii="宋体" w:hAnsi="宋体" w:eastAsia="宋体" w:cs="宋体"/>
                <w:spacing w:val="-4"/>
                <w:sz w:val="24"/>
                <w:szCs w:val="24"/>
              </w:rPr>
              <w:t>以</w:t>
            </w:r>
            <w:r>
              <w:rPr>
                <w:rFonts w:ascii="宋体" w:hAnsi="宋体" w:eastAsia="宋体" w:cs="宋体"/>
                <w:spacing w:val="-3"/>
                <w:sz w:val="24"/>
                <w:szCs w:val="24"/>
              </w:rPr>
              <w:t>天为单位，每包实时信息</w:t>
            </w:r>
            <w:r>
              <w:rPr>
                <w:rFonts w:ascii="宋体" w:hAnsi="宋体" w:eastAsia="宋体" w:cs="宋体"/>
                <w:spacing w:val="-1"/>
                <w:sz w:val="24"/>
                <w:szCs w:val="24"/>
              </w:rPr>
              <w:t>流水号唯一，从1开</w:t>
            </w:r>
            <w:r>
              <w:rPr>
                <w:rFonts w:ascii="宋体" w:hAnsi="宋体" w:eastAsia="宋体" w:cs="宋体"/>
                <w:sz w:val="24"/>
                <w:szCs w:val="24"/>
              </w:rPr>
              <w:t>始累</w:t>
            </w:r>
            <w:r>
              <w:rPr>
                <w:rFonts w:ascii="宋体" w:hAnsi="宋体" w:eastAsia="宋体" w:cs="宋体"/>
                <w:spacing w:val="-12"/>
                <w:sz w:val="24"/>
                <w:szCs w:val="24"/>
              </w:rPr>
              <w:t>加</w:t>
            </w:r>
            <w:r>
              <w:rPr>
                <w:rFonts w:ascii="宋体" w:hAnsi="宋体" w:eastAsia="宋体" w:cs="宋体"/>
                <w:spacing w:val="-1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60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定位信息</w:t>
            </w:r>
          </w:p>
        </w:tc>
        <w:tc>
          <w:tcPr>
            <w:tcW w:w="126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9</w:t>
            </w:r>
          </w:p>
        </w:tc>
        <w:tc>
          <w:tcPr>
            <w:tcW w:w="126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727"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上报数据格式和定义见表</w:t>
            </w:r>
            <w:r>
              <w:rPr>
                <w:rFonts w:ascii="宋体" w:hAnsi="宋体" w:eastAsia="宋体" w:cs="宋体"/>
                <w:sz w:val="24"/>
                <w:szCs w:val="24"/>
              </w:rPr>
              <w:t>6</w:t>
            </w:r>
          </w:p>
        </w:tc>
      </w:tr>
    </w:tbl>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pacing w:val="1"/>
          <w:sz w:val="24"/>
          <w:szCs w:val="24"/>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表6定位</w:t>
      </w:r>
      <w:r>
        <w:rPr>
          <w:rFonts w:ascii="宋体" w:hAnsi="宋体" w:eastAsia="宋体" w:cs="宋体"/>
          <w:sz w:val="24"/>
          <w:szCs w:val="24"/>
        </w:rPr>
        <w:t>信息上报数据格式和定义</w:t>
      </w:r>
    </w:p>
    <w:tbl>
      <w:tblPr>
        <w:tblStyle w:val="60"/>
        <w:tblW w:w="8894" w:type="dxa"/>
        <w:tblInd w:w="8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2"/>
        <w:gridCol w:w="940"/>
        <w:gridCol w:w="1425"/>
        <w:gridCol w:w="53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0" w:hRule="atLeast"/>
        </w:trPr>
        <w:tc>
          <w:tcPr>
            <w:tcW w:w="117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起始</w:t>
            </w:r>
            <w:r>
              <w:rPr>
                <w:rFonts w:ascii="宋体" w:hAnsi="宋体" w:eastAsia="宋体" w:cs="宋体"/>
                <w:spacing w:val="-1"/>
                <w:sz w:val="24"/>
                <w:szCs w:val="24"/>
              </w:rPr>
              <w:t>字节</w:t>
            </w:r>
          </w:p>
        </w:tc>
        <w:tc>
          <w:tcPr>
            <w:tcW w:w="94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数</w:t>
            </w:r>
            <w:r>
              <w:rPr>
                <w:rFonts w:ascii="宋体" w:hAnsi="宋体" w:eastAsia="宋体" w:cs="宋体"/>
                <w:spacing w:val="-3"/>
                <w:sz w:val="24"/>
                <w:szCs w:val="24"/>
              </w:rPr>
              <w:t>据项</w:t>
            </w:r>
          </w:p>
        </w:tc>
        <w:tc>
          <w:tcPr>
            <w:tcW w:w="142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数据类</w:t>
            </w:r>
            <w:r>
              <w:rPr>
                <w:rFonts w:ascii="宋体" w:hAnsi="宋体" w:eastAsia="宋体" w:cs="宋体"/>
                <w:spacing w:val="-1"/>
                <w:sz w:val="24"/>
                <w:szCs w:val="24"/>
              </w:rPr>
              <w:t>型</w:t>
            </w:r>
          </w:p>
        </w:tc>
        <w:tc>
          <w:tcPr>
            <w:tcW w:w="5357"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17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0</w:t>
            </w:r>
          </w:p>
        </w:tc>
        <w:tc>
          <w:tcPr>
            <w:tcW w:w="94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状</w:t>
            </w:r>
            <w:r>
              <w:rPr>
                <w:rFonts w:ascii="宋体" w:hAnsi="宋体" w:eastAsia="宋体" w:cs="宋体"/>
                <w:spacing w:val="-2"/>
                <w:sz w:val="24"/>
                <w:szCs w:val="24"/>
              </w:rPr>
              <w:t>态位</w:t>
            </w:r>
          </w:p>
        </w:tc>
        <w:tc>
          <w:tcPr>
            <w:tcW w:w="142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5357" w:type="dxa"/>
            <w:noWrap w:val="0"/>
            <w:vAlign w:val="center"/>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16"/>
                <w:sz w:val="24"/>
                <w:szCs w:val="24"/>
              </w:rPr>
              <w:t>数</w:t>
            </w:r>
            <w:r>
              <w:rPr>
                <w:rFonts w:ascii="宋体" w:hAnsi="宋体" w:eastAsia="宋体" w:cs="宋体"/>
                <w:spacing w:val="-11"/>
                <w:sz w:val="24"/>
                <w:szCs w:val="24"/>
              </w:rPr>
              <w:t>据长度</w:t>
            </w:r>
            <w:r>
              <w:rPr>
                <w:rFonts w:ascii="宋体" w:hAnsi="宋体" w:eastAsia="宋体" w:cs="宋体"/>
                <w:spacing w:val="-1"/>
                <w:sz w:val="24"/>
                <w:szCs w:val="24"/>
              </w:rPr>
              <w:t>：</w:t>
            </w:r>
            <w:r>
              <w:rPr>
                <w:rFonts w:ascii="宋体" w:hAnsi="宋体" w:eastAsia="宋体" w:cs="宋体"/>
                <w:spacing w:val="-11"/>
                <w:sz w:val="24"/>
                <w:szCs w:val="24"/>
              </w:rPr>
              <w:t>1byte</w:t>
            </w:r>
            <w:r>
              <w:rPr>
                <w:rFonts w:ascii="宋体" w:hAnsi="宋体" w:eastAsia="宋体" w:cs="宋体"/>
                <w:spacing w:val="-2"/>
                <w:sz w:val="24"/>
                <w:szCs w:val="24"/>
              </w:rPr>
              <w:t>状</w:t>
            </w:r>
            <w:r>
              <w:rPr>
                <w:rFonts w:ascii="宋体" w:hAnsi="宋体" w:eastAsia="宋体" w:cs="宋体"/>
                <w:spacing w:val="-1"/>
                <w:sz w:val="24"/>
                <w:szCs w:val="24"/>
              </w:rPr>
              <w:t>态位定义见表7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17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1</w:t>
            </w:r>
          </w:p>
        </w:tc>
        <w:tc>
          <w:tcPr>
            <w:tcW w:w="94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经度</w:t>
            </w:r>
          </w:p>
        </w:tc>
        <w:tc>
          <w:tcPr>
            <w:tcW w:w="142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DWOR</w:t>
            </w:r>
            <w:r>
              <w:rPr>
                <w:rFonts w:ascii="宋体" w:hAnsi="宋体" w:eastAsia="宋体" w:cs="宋体"/>
                <w:sz w:val="24"/>
                <w:szCs w:val="24"/>
              </w:rPr>
              <w:t>D</w:t>
            </w:r>
          </w:p>
        </w:tc>
        <w:tc>
          <w:tcPr>
            <w:tcW w:w="5357" w:type="dxa"/>
            <w:noWrap w:val="0"/>
            <w:vAlign w:val="center"/>
          </w:tcPr>
          <w:p>
            <w:pPr>
              <w:keepNext w:val="0"/>
              <w:keepLines w:val="0"/>
              <w:pageBreakBefore w:val="0"/>
              <w:widowControl w:val="0"/>
              <w:kinsoku/>
              <w:wordWrap/>
              <w:overflowPunct/>
              <w:topLinePunct w:val="0"/>
              <w:bidi w:val="0"/>
              <w:snapToGrid/>
              <w:spacing w:line="360" w:lineRule="auto"/>
              <w:ind w:left="0" w:right="0"/>
              <w:jc w:val="both"/>
              <w:rPr>
                <w:rFonts w:hint="eastAsia" w:ascii="宋体" w:hAnsi="宋体" w:eastAsia="宋体" w:cs="宋体"/>
                <w:spacing w:val="-1"/>
                <w:sz w:val="24"/>
                <w:szCs w:val="24"/>
                <w:lang w:val="en-US" w:eastAsia="zh-CN"/>
              </w:rPr>
            </w:pPr>
            <w:r>
              <w:rPr>
                <w:rFonts w:ascii="宋体" w:hAnsi="宋体" w:eastAsia="宋体" w:cs="宋体"/>
                <w:spacing w:val="-1"/>
                <w:sz w:val="24"/>
                <w:szCs w:val="24"/>
              </w:rPr>
              <w:t>数据长度：4bytes</w:t>
            </w:r>
          </w:p>
          <w:p>
            <w:pPr>
              <w:keepNext w:val="0"/>
              <w:keepLines w:val="0"/>
              <w:pageBreakBefore w:val="0"/>
              <w:widowControl w:val="0"/>
              <w:kinsoku/>
              <w:wordWrap/>
              <w:overflowPunct/>
              <w:topLinePunct w:val="0"/>
              <w:bidi w:val="0"/>
              <w:snapToGrid/>
              <w:spacing w:line="360" w:lineRule="auto"/>
              <w:ind w:left="0" w:right="0"/>
              <w:jc w:val="both"/>
              <w:rPr>
                <w:rFonts w:hint="eastAsia" w:ascii="宋体" w:hAnsi="宋体" w:eastAsia="宋体" w:cs="宋体"/>
                <w:spacing w:val="-1"/>
                <w:sz w:val="24"/>
                <w:szCs w:val="24"/>
                <w:lang w:val="en-US" w:eastAsia="zh-CN"/>
              </w:rPr>
            </w:pPr>
            <w:r>
              <w:rPr>
                <w:rFonts w:ascii="宋体" w:hAnsi="宋体" w:eastAsia="宋体" w:cs="宋体"/>
                <w:spacing w:val="-1"/>
                <w:sz w:val="24"/>
                <w:szCs w:val="24"/>
              </w:rPr>
              <w:t>精度：0.000001°/bit</w:t>
            </w:r>
          </w:p>
          <w:p>
            <w:pPr>
              <w:keepNext w:val="0"/>
              <w:keepLines w:val="0"/>
              <w:pageBreakBefore w:val="0"/>
              <w:widowControl w:val="0"/>
              <w:kinsoku/>
              <w:wordWrap/>
              <w:overflowPunct/>
              <w:topLinePunct w:val="0"/>
              <w:bidi w:val="0"/>
              <w:snapToGrid/>
              <w:spacing w:line="360" w:lineRule="auto"/>
              <w:ind w:left="0" w:right="0"/>
              <w:jc w:val="both"/>
              <w:rPr>
                <w:rFonts w:hint="eastAsia" w:ascii="宋体" w:hAnsi="宋体" w:eastAsia="宋体" w:cs="宋体"/>
                <w:spacing w:val="-1"/>
                <w:sz w:val="24"/>
                <w:szCs w:val="24"/>
                <w:lang w:val="en-US" w:eastAsia="zh-CN"/>
              </w:rPr>
            </w:pPr>
            <w:r>
              <w:rPr>
                <w:rFonts w:ascii="宋体" w:hAnsi="宋体" w:eastAsia="宋体" w:cs="宋体"/>
                <w:spacing w:val="-1"/>
                <w:sz w:val="24"/>
                <w:szCs w:val="24"/>
              </w:rPr>
              <w:t>偏移量：0</w:t>
            </w:r>
          </w:p>
          <w:p>
            <w:pPr>
              <w:keepNext w:val="0"/>
              <w:keepLines w:val="0"/>
              <w:pageBreakBefore w:val="0"/>
              <w:widowControl w:val="0"/>
              <w:kinsoku/>
              <w:wordWrap/>
              <w:overflowPunct/>
              <w:topLinePunct w:val="0"/>
              <w:bidi w:val="0"/>
              <w:snapToGrid/>
              <w:spacing w:line="360" w:lineRule="auto"/>
              <w:ind w:left="0" w:right="0"/>
              <w:jc w:val="both"/>
              <w:rPr>
                <w:rFonts w:hint="eastAsia" w:ascii="宋体" w:hAnsi="宋体" w:eastAsia="宋体" w:cs="宋体"/>
                <w:spacing w:val="-1"/>
                <w:sz w:val="24"/>
                <w:szCs w:val="24"/>
                <w:lang w:eastAsia="zh-CN"/>
              </w:rPr>
            </w:pPr>
            <w:r>
              <w:rPr>
                <w:rFonts w:ascii="宋体" w:hAnsi="宋体" w:eastAsia="宋体" w:cs="宋体"/>
                <w:spacing w:val="-1"/>
                <w:sz w:val="24"/>
                <w:szCs w:val="24"/>
              </w:rPr>
              <w:t>数据范围：0~180.000000°</w:t>
            </w:r>
          </w:p>
          <w:p>
            <w:pPr>
              <w:keepNext w:val="0"/>
              <w:keepLines w:val="0"/>
              <w:pageBreakBefore w:val="0"/>
              <w:widowControl w:val="0"/>
              <w:kinsoku/>
              <w:wordWrap/>
              <w:overflowPunct/>
              <w:topLinePunct w:val="0"/>
              <w:bidi w:val="0"/>
              <w:snapToGrid/>
              <w:spacing w:line="360" w:lineRule="auto"/>
              <w:ind w:left="0" w:right="0"/>
              <w:jc w:val="both"/>
              <w:rPr>
                <w:rFonts w:hint="default" w:ascii="宋体" w:hAnsi="宋体" w:eastAsia="宋体" w:cs="宋体"/>
                <w:spacing w:val="-1"/>
                <w:sz w:val="24"/>
                <w:szCs w:val="24"/>
                <w:lang w:val="en-US" w:eastAsia="zh-CN"/>
              </w:rPr>
            </w:pPr>
            <w:r>
              <w:rPr>
                <w:rFonts w:ascii="宋体" w:hAnsi="宋体" w:eastAsia="宋体" w:cs="宋体"/>
                <w:spacing w:val="-1"/>
                <w:sz w:val="24"/>
                <w:szCs w:val="24"/>
              </w:rPr>
              <w:t>“0xFF，0xFF，0xFF，0xFF”表示无效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172"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5</w:t>
            </w:r>
          </w:p>
        </w:tc>
        <w:tc>
          <w:tcPr>
            <w:tcW w:w="94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纬度</w:t>
            </w:r>
          </w:p>
        </w:tc>
        <w:tc>
          <w:tcPr>
            <w:tcW w:w="142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DWORD</w:t>
            </w:r>
          </w:p>
        </w:tc>
        <w:tc>
          <w:tcPr>
            <w:tcW w:w="5357" w:type="dxa"/>
            <w:noWrap w:val="0"/>
            <w:vAlign w:val="center"/>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1"/>
                <w:sz w:val="24"/>
                <w:szCs w:val="24"/>
              </w:rPr>
            </w:pPr>
            <w:r>
              <w:rPr>
                <w:rFonts w:ascii="宋体" w:hAnsi="宋体" w:eastAsia="宋体" w:cs="宋体"/>
                <w:spacing w:val="-1"/>
                <w:sz w:val="24"/>
                <w:szCs w:val="24"/>
              </w:rPr>
              <w:t>数据长度：4bytes</w:t>
            </w:r>
          </w:p>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1"/>
                <w:sz w:val="24"/>
                <w:szCs w:val="24"/>
              </w:rPr>
            </w:pPr>
            <w:r>
              <w:rPr>
                <w:rFonts w:ascii="宋体" w:hAnsi="宋体" w:eastAsia="宋体" w:cs="宋体"/>
                <w:spacing w:val="-1"/>
                <w:sz w:val="24"/>
                <w:szCs w:val="24"/>
              </w:rPr>
              <w:t>精度：0.000001°/bit</w:t>
            </w:r>
          </w:p>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1"/>
                <w:sz w:val="24"/>
                <w:szCs w:val="24"/>
              </w:rPr>
            </w:pPr>
            <w:r>
              <w:rPr>
                <w:rFonts w:ascii="宋体" w:hAnsi="宋体" w:eastAsia="宋体" w:cs="宋体"/>
                <w:spacing w:val="-1"/>
                <w:sz w:val="24"/>
                <w:szCs w:val="24"/>
              </w:rPr>
              <w:t>偏移量：0</w:t>
            </w:r>
          </w:p>
          <w:p>
            <w:pPr>
              <w:keepNext w:val="0"/>
              <w:keepLines w:val="0"/>
              <w:pageBreakBefore w:val="0"/>
              <w:widowControl w:val="0"/>
              <w:kinsoku/>
              <w:wordWrap/>
              <w:overflowPunct/>
              <w:topLinePunct w:val="0"/>
              <w:bidi w:val="0"/>
              <w:snapToGrid/>
              <w:spacing w:line="360" w:lineRule="auto"/>
              <w:ind w:left="0" w:right="0"/>
              <w:jc w:val="both"/>
              <w:rPr>
                <w:rFonts w:hint="eastAsia" w:ascii="宋体" w:hAnsi="宋体" w:eastAsia="宋体" w:cs="宋体"/>
                <w:spacing w:val="-1"/>
                <w:sz w:val="24"/>
                <w:szCs w:val="24"/>
                <w:lang w:eastAsia="zh-CN"/>
              </w:rPr>
            </w:pPr>
            <w:r>
              <w:rPr>
                <w:rFonts w:ascii="宋体" w:hAnsi="宋体" w:eastAsia="宋体" w:cs="宋体"/>
                <w:spacing w:val="-1"/>
                <w:sz w:val="24"/>
                <w:szCs w:val="24"/>
              </w:rPr>
              <w:t>数据范围：0~90.000000°</w:t>
            </w:r>
          </w:p>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1"/>
                <w:sz w:val="24"/>
                <w:szCs w:val="24"/>
              </w:rPr>
            </w:pPr>
            <w:r>
              <w:rPr>
                <w:rFonts w:ascii="宋体" w:hAnsi="宋体" w:eastAsia="宋体" w:cs="宋体"/>
                <w:spacing w:val="-1"/>
                <w:sz w:val="24"/>
                <w:szCs w:val="24"/>
              </w:rPr>
              <w:t>“0xFF，0xFF，0xFF，0xFF”表示无效</w:t>
            </w:r>
          </w:p>
        </w:tc>
      </w:tr>
    </w:tbl>
    <w:p>
      <w:pPr>
        <w:pStyle w:val="5"/>
        <w:rPr>
          <w:rFonts w:hint="eastAsia"/>
          <w:lang w:val="en-US" w:eastAsia="zh-CN"/>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表7</w:t>
      </w:r>
      <w:r>
        <w:rPr>
          <w:rFonts w:ascii="宋体" w:hAnsi="宋体" w:eastAsia="宋体" w:cs="宋体"/>
          <w:sz w:val="24"/>
          <w:szCs w:val="24"/>
        </w:rPr>
        <w:t>状态位定义</w:t>
      </w:r>
    </w:p>
    <w:tbl>
      <w:tblPr>
        <w:tblStyle w:val="60"/>
        <w:tblW w:w="8837" w:type="dxa"/>
        <w:tblInd w:w="8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90"/>
        <w:gridCol w:w="544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339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位</w:t>
            </w:r>
          </w:p>
        </w:tc>
        <w:tc>
          <w:tcPr>
            <w:tcW w:w="5447"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状态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339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0</w:t>
            </w:r>
          </w:p>
        </w:tc>
        <w:tc>
          <w:tcPr>
            <w:tcW w:w="5447" w:type="dxa"/>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7"/>
                <w:sz w:val="24"/>
                <w:szCs w:val="24"/>
              </w:rPr>
            </w:pPr>
            <w:r>
              <w:rPr>
                <w:rFonts w:ascii="宋体" w:hAnsi="宋体" w:eastAsia="宋体" w:cs="宋体"/>
                <w:spacing w:val="-7"/>
                <w:sz w:val="24"/>
                <w:szCs w:val="24"/>
              </w:rPr>
              <w:t>0：有效定位；1：无效定位(当数据通信正常，而不能获取定位信息时，发送最后一次有效定位信息</w:t>
            </w:r>
            <w:r>
              <w:rPr>
                <w:rFonts w:hint="eastAsia" w:ascii="宋体" w:hAnsi="宋体" w:eastAsia="宋体" w:cs="宋体"/>
                <w:spacing w:val="-7"/>
                <w:sz w:val="24"/>
                <w:szCs w:val="24"/>
                <w:lang w:eastAsia="zh-CN"/>
              </w:rPr>
              <w:t>，</w:t>
            </w:r>
            <w:r>
              <w:rPr>
                <w:rFonts w:ascii="宋体" w:hAnsi="宋体" w:eastAsia="宋体" w:cs="宋体"/>
                <w:spacing w:val="-7"/>
                <w:sz w:val="24"/>
                <w:szCs w:val="24"/>
              </w:rPr>
              <w:t>并将定位信息置为无效)。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339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1</w:t>
            </w:r>
          </w:p>
        </w:tc>
        <w:tc>
          <w:tcPr>
            <w:tcW w:w="5447" w:type="dxa"/>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7"/>
                <w:sz w:val="24"/>
                <w:szCs w:val="24"/>
              </w:rPr>
            </w:pPr>
            <w:r>
              <w:rPr>
                <w:rFonts w:ascii="宋体" w:hAnsi="宋体" w:eastAsia="宋体" w:cs="宋体"/>
                <w:spacing w:val="-7"/>
                <w:sz w:val="24"/>
                <w:szCs w:val="24"/>
              </w:rPr>
              <w:t>0：北纬；1：南纬。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339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2</w:t>
            </w:r>
          </w:p>
        </w:tc>
        <w:tc>
          <w:tcPr>
            <w:tcW w:w="5447" w:type="dxa"/>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7"/>
                <w:sz w:val="24"/>
                <w:szCs w:val="24"/>
              </w:rPr>
            </w:pPr>
            <w:r>
              <w:rPr>
                <w:rFonts w:ascii="宋体" w:hAnsi="宋体" w:eastAsia="宋体" w:cs="宋体"/>
                <w:spacing w:val="-7"/>
                <w:sz w:val="24"/>
                <w:szCs w:val="24"/>
              </w:rPr>
              <w:t>0：东经；1：西经。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339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3</w:t>
            </w:r>
          </w:p>
        </w:tc>
        <w:tc>
          <w:tcPr>
            <w:tcW w:w="5447" w:type="dxa"/>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7"/>
                <w:sz w:val="24"/>
                <w:szCs w:val="24"/>
              </w:rPr>
            </w:pPr>
            <w:r>
              <w:rPr>
                <w:rFonts w:ascii="宋体" w:hAnsi="宋体" w:eastAsia="宋体" w:cs="宋体"/>
                <w:spacing w:val="-7"/>
                <w:sz w:val="24"/>
                <w:szCs w:val="24"/>
              </w:rPr>
              <w:t>0：连接；1：断开(车载终端与机械连接状态)。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39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4</w:t>
            </w:r>
            <w:r>
              <w:rPr>
                <w:rFonts w:ascii="宋体" w:hAnsi="宋体" w:eastAsia="宋体" w:cs="宋体"/>
                <w:spacing w:val="2"/>
                <w:sz w:val="24"/>
                <w:szCs w:val="24"/>
              </w:rPr>
              <w:t>-7</w:t>
            </w:r>
          </w:p>
        </w:tc>
        <w:tc>
          <w:tcPr>
            <w:tcW w:w="5447" w:type="dxa"/>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pacing w:val="-7"/>
                <w:sz w:val="24"/>
                <w:szCs w:val="24"/>
              </w:rPr>
            </w:pPr>
            <w:r>
              <w:rPr>
                <w:rFonts w:ascii="宋体" w:hAnsi="宋体" w:eastAsia="宋体" w:cs="宋体"/>
                <w:spacing w:val="-7"/>
                <w:sz w:val="24"/>
                <w:szCs w:val="24"/>
              </w:rPr>
              <w:t>保留。</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5.2.5.5.3补发</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补发数据的数据单元与</w:t>
      </w: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.2.5.5.2一致。</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5.2.5.5.4拆除报警</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拆除报警数据格式和定义见表8所示。</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表8拆除</w:t>
      </w:r>
      <w:r>
        <w:rPr>
          <w:rFonts w:ascii="宋体" w:hAnsi="宋体" w:eastAsia="宋体" w:cs="宋体"/>
          <w:sz w:val="24"/>
          <w:szCs w:val="24"/>
        </w:rPr>
        <w:t>报警的数据格式和定义</w:t>
      </w:r>
    </w:p>
    <w:tbl>
      <w:tblPr>
        <w:tblStyle w:val="60"/>
        <w:tblpPr w:leftFromText="180" w:rightFromText="180" w:vertAnchor="text" w:horzAnchor="page" w:tblpX="1453" w:tblpY="124"/>
        <w:tblOverlap w:val="never"/>
        <w:tblW w:w="920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03"/>
        <w:gridCol w:w="1605"/>
        <w:gridCol w:w="1410"/>
        <w:gridCol w:w="43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80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w:t>
            </w:r>
            <w:r>
              <w:rPr>
                <w:rFonts w:ascii="宋体" w:hAnsi="宋体" w:eastAsia="宋体" w:cs="宋体"/>
                <w:spacing w:val="-1"/>
                <w:sz w:val="24"/>
                <w:szCs w:val="24"/>
              </w:rPr>
              <w:t>据表示内容</w:t>
            </w:r>
          </w:p>
        </w:tc>
        <w:tc>
          <w:tcPr>
            <w:tcW w:w="160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8"/>
                <w:sz w:val="24"/>
                <w:szCs w:val="24"/>
              </w:rPr>
              <w:t>长</w:t>
            </w:r>
            <w:r>
              <w:rPr>
                <w:rFonts w:ascii="宋体" w:hAnsi="宋体" w:eastAsia="宋体" w:cs="宋体"/>
                <w:spacing w:val="16"/>
                <w:sz w:val="24"/>
                <w:szCs w:val="24"/>
              </w:rPr>
              <w:t>度(字节)</w:t>
            </w:r>
          </w:p>
        </w:tc>
        <w:tc>
          <w:tcPr>
            <w:tcW w:w="141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数据类</w:t>
            </w:r>
            <w:r>
              <w:rPr>
                <w:rFonts w:ascii="宋体" w:hAnsi="宋体" w:eastAsia="宋体" w:cs="宋体"/>
                <w:spacing w:val="-1"/>
                <w:sz w:val="24"/>
                <w:szCs w:val="24"/>
              </w:rPr>
              <w:t>型</w:t>
            </w:r>
          </w:p>
        </w:tc>
        <w:tc>
          <w:tcPr>
            <w:tcW w:w="4388"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80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数据采集</w:t>
            </w:r>
            <w:r>
              <w:rPr>
                <w:rFonts w:ascii="宋体" w:hAnsi="宋体" w:eastAsia="宋体" w:cs="宋体"/>
                <w:spacing w:val="-1"/>
                <w:sz w:val="24"/>
                <w:szCs w:val="24"/>
              </w:rPr>
              <w:t>时间</w:t>
            </w:r>
          </w:p>
        </w:tc>
        <w:tc>
          <w:tcPr>
            <w:tcW w:w="160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6</w:t>
            </w:r>
          </w:p>
        </w:tc>
        <w:tc>
          <w:tcPr>
            <w:tcW w:w="141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388" w:type="dxa"/>
            <w:noWrap w:val="0"/>
            <w:vAlign w:val="center"/>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3"/>
                <w:sz w:val="24"/>
                <w:szCs w:val="24"/>
              </w:rPr>
              <w:t>时</w:t>
            </w:r>
            <w:r>
              <w:rPr>
                <w:rFonts w:ascii="宋体" w:hAnsi="宋体" w:eastAsia="宋体" w:cs="宋体"/>
                <w:spacing w:val="-2"/>
                <w:sz w:val="24"/>
                <w:szCs w:val="24"/>
              </w:rPr>
              <w:t>间定义见</w:t>
            </w:r>
            <w:r>
              <w:rPr>
                <w:rFonts w:hint="eastAsia" w:ascii="宋体" w:hAnsi="宋体" w:cs="宋体"/>
                <w:spacing w:val="-2"/>
                <w:sz w:val="24"/>
                <w:szCs w:val="24"/>
                <w:lang w:val="en-US" w:eastAsia="zh-CN"/>
              </w:rPr>
              <w:t>5</w:t>
            </w:r>
            <w:r>
              <w:rPr>
                <w:rFonts w:hint="eastAsia" w:ascii="宋体" w:hAnsi="宋体" w:eastAsia="宋体" w:cs="宋体"/>
                <w:spacing w:val="-2"/>
                <w:sz w:val="24"/>
                <w:szCs w:val="24"/>
                <w:lang w:val="en-US" w:eastAsia="zh-CN"/>
              </w:rPr>
              <w:t>.2</w:t>
            </w:r>
            <w:r>
              <w:rPr>
                <w:rFonts w:ascii="宋体" w:hAnsi="宋体" w:eastAsia="宋体" w:cs="宋体"/>
                <w:spacing w:val="-2"/>
                <w:sz w:val="24"/>
                <w:szCs w:val="24"/>
              </w:rPr>
              <w:t>.5.4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180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信息流</w:t>
            </w:r>
            <w:r>
              <w:rPr>
                <w:rFonts w:ascii="宋体" w:hAnsi="宋体" w:eastAsia="宋体" w:cs="宋体"/>
                <w:spacing w:val="-1"/>
                <w:sz w:val="24"/>
                <w:szCs w:val="24"/>
              </w:rPr>
              <w:t>水号</w:t>
            </w:r>
          </w:p>
        </w:tc>
        <w:tc>
          <w:tcPr>
            <w:tcW w:w="160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2</w:t>
            </w:r>
          </w:p>
        </w:tc>
        <w:tc>
          <w:tcPr>
            <w:tcW w:w="141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388" w:type="dxa"/>
            <w:noWrap w:val="0"/>
            <w:vAlign w:val="center"/>
          </w:tcPr>
          <w:p>
            <w:pPr>
              <w:keepNext w:val="0"/>
              <w:keepLines w:val="0"/>
              <w:pageBreakBefore w:val="0"/>
              <w:widowControl w:val="0"/>
              <w:kinsoku/>
              <w:wordWrap/>
              <w:overflowPunct/>
              <w:topLinePunct w:val="0"/>
              <w:bidi w:val="0"/>
              <w:snapToGrid/>
              <w:spacing w:line="360" w:lineRule="auto"/>
              <w:ind w:left="0" w:right="0" w:firstLine="27"/>
              <w:jc w:val="both"/>
              <w:rPr>
                <w:rFonts w:ascii="宋体" w:hAnsi="宋体" w:eastAsia="宋体" w:cs="宋体"/>
                <w:sz w:val="24"/>
                <w:szCs w:val="24"/>
              </w:rPr>
            </w:pPr>
            <w:r>
              <w:rPr>
                <w:rFonts w:ascii="宋体" w:hAnsi="宋体" w:eastAsia="宋体" w:cs="宋体"/>
                <w:spacing w:val="-7"/>
                <w:sz w:val="24"/>
                <w:szCs w:val="24"/>
              </w:rPr>
              <w:t>以</w:t>
            </w:r>
            <w:r>
              <w:rPr>
                <w:rFonts w:ascii="宋体" w:hAnsi="宋体" w:eastAsia="宋体" w:cs="宋体"/>
                <w:spacing w:val="-5"/>
                <w:sz w:val="24"/>
                <w:szCs w:val="24"/>
              </w:rPr>
              <w:t>天为单位，每</w:t>
            </w:r>
            <w:r>
              <w:rPr>
                <w:rFonts w:ascii="宋体" w:hAnsi="宋体" w:eastAsia="宋体" w:cs="宋体"/>
                <w:spacing w:val="-2"/>
                <w:sz w:val="24"/>
                <w:szCs w:val="24"/>
              </w:rPr>
              <w:t>包实时</w:t>
            </w:r>
            <w:r>
              <w:rPr>
                <w:rFonts w:ascii="宋体" w:hAnsi="宋体" w:eastAsia="宋体" w:cs="宋体"/>
                <w:spacing w:val="-1"/>
                <w:sz w:val="24"/>
                <w:szCs w:val="24"/>
              </w:rPr>
              <w:t>信息流水</w:t>
            </w:r>
            <w:r>
              <w:rPr>
                <w:rFonts w:ascii="宋体" w:hAnsi="宋体" w:eastAsia="宋体" w:cs="宋体"/>
                <w:spacing w:val="-2"/>
                <w:sz w:val="24"/>
                <w:szCs w:val="24"/>
              </w:rPr>
              <w:t>号</w:t>
            </w:r>
            <w:r>
              <w:rPr>
                <w:rFonts w:ascii="宋体" w:hAnsi="宋体" w:eastAsia="宋体" w:cs="宋体"/>
                <w:spacing w:val="-1"/>
                <w:sz w:val="24"/>
                <w:szCs w:val="24"/>
              </w:rPr>
              <w:t>唯一，从1开始</w:t>
            </w:r>
            <w:r>
              <w:rPr>
                <w:rFonts w:ascii="宋体" w:hAnsi="宋体" w:eastAsia="宋体" w:cs="宋体"/>
                <w:spacing w:val="-11"/>
                <w:sz w:val="24"/>
                <w:szCs w:val="24"/>
              </w:rPr>
              <w:t>累</w:t>
            </w:r>
            <w:r>
              <w:rPr>
                <w:rFonts w:ascii="宋体" w:hAnsi="宋体" w:eastAsia="宋体" w:cs="宋体"/>
                <w:spacing w:val="-9"/>
                <w:sz w:val="24"/>
                <w:szCs w:val="24"/>
              </w:rPr>
              <w:t>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80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定位信息</w:t>
            </w:r>
          </w:p>
        </w:tc>
        <w:tc>
          <w:tcPr>
            <w:tcW w:w="160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9</w:t>
            </w:r>
          </w:p>
        </w:tc>
        <w:tc>
          <w:tcPr>
            <w:tcW w:w="141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388" w:type="dxa"/>
            <w:noWrap w:val="0"/>
            <w:vAlign w:val="center"/>
          </w:tcPr>
          <w:p>
            <w:pPr>
              <w:keepNext w:val="0"/>
              <w:keepLines w:val="0"/>
              <w:pageBreakBefore w:val="0"/>
              <w:widowControl w:val="0"/>
              <w:kinsoku/>
              <w:wordWrap/>
              <w:overflowPunct/>
              <w:topLinePunct w:val="0"/>
              <w:bidi w:val="0"/>
              <w:snapToGrid/>
              <w:spacing w:line="360" w:lineRule="auto"/>
              <w:ind w:left="0" w:right="0" w:hanging="3"/>
              <w:jc w:val="both"/>
              <w:rPr>
                <w:rFonts w:ascii="宋体" w:hAnsi="宋体" w:eastAsia="宋体" w:cs="宋体"/>
                <w:sz w:val="24"/>
                <w:szCs w:val="24"/>
              </w:rPr>
            </w:pPr>
            <w:r>
              <w:rPr>
                <w:rFonts w:ascii="宋体" w:hAnsi="宋体" w:eastAsia="宋体" w:cs="宋体"/>
                <w:spacing w:val="-2"/>
                <w:sz w:val="24"/>
                <w:szCs w:val="24"/>
              </w:rPr>
              <w:t>上报数据格</w:t>
            </w:r>
            <w:r>
              <w:rPr>
                <w:rFonts w:ascii="宋体" w:hAnsi="宋体" w:eastAsia="宋体" w:cs="宋体"/>
                <w:spacing w:val="-1"/>
                <w:sz w:val="24"/>
                <w:szCs w:val="24"/>
              </w:rPr>
              <w:t>式和</w:t>
            </w:r>
            <w:r>
              <w:rPr>
                <w:rFonts w:ascii="宋体" w:hAnsi="宋体" w:eastAsia="宋体" w:cs="宋体"/>
                <w:spacing w:val="-3"/>
                <w:sz w:val="24"/>
                <w:szCs w:val="24"/>
              </w:rPr>
              <w:t>定义见表6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803"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拆除状态</w:t>
            </w:r>
          </w:p>
        </w:tc>
        <w:tc>
          <w:tcPr>
            <w:tcW w:w="160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1</w:t>
            </w:r>
          </w:p>
        </w:tc>
        <w:tc>
          <w:tcPr>
            <w:tcW w:w="141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388" w:type="dxa"/>
            <w:noWrap w:val="0"/>
            <w:vAlign w:val="center"/>
          </w:tcPr>
          <w:p>
            <w:pPr>
              <w:keepNext w:val="0"/>
              <w:keepLines w:val="0"/>
              <w:pageBreakBefore w:val="0"/>
              <w:widowControl w:val="0"/>
              <w:kinsoku/>
              <w:wordWrap/>
              <w:overflowPunct/>
              <w:topLinePunct w:val="0"/>
              <w:bidi w:val="0"/>
              <w:snapToGrid/>
              <w:spacing w:line="360" w:lineRule="auto"/>
              <w:ind w:left="0" w:right="0" w:hanging="4"/>
              <w:jc w:val="both"/>
              <w:rPr>
                <w:rFonts w:ascii="宋体" w:hAnsi="宋体" w:eastAsia="宋体" w:cs="宋体"/>
                <w:sz w:val="24"/>
                <w:szCs w:val="24"/>
              </w:rPr>
            </w:pPr>
            <w:r>
              <w:rPr>
                <w:rFonts w:ascii="宋体" w:hAnsi="宋体" w:eastAsia="宋体" w:cs="宋体"/>
                <w:spacing w:val="-2"/>
                <w:sz w:val="24"/>
                <w:szCs w:val="24"/>
              </w:rPr>
              <w:t>保留。此</w:t>
            </w:r>
            <w:r>
              <w:rPr>
                <w:rFonts w:ascii="宋体" w:hAnsi="宋体" w:eastAsia="宋体" w:cs="宋体"/>
                <w:spacing w:val="-1"/>
                <w:sz w:val="24"/>
                <w:szCs w:val="24"/>
              </w:rPr>
              <w:t>字节固</w:t>
            </w:r>
            <w:r>
              <w:rPr>
                <w:rFonts w:ascii="宋体" w:hAnsi="宋体" w:eastAsia="宋体" w:cs="宋体"/>
                <w:spacing w:val="14"/>
                <w:sz w:val="24"/>
                <w:szCs w:val="24"/>
              </w:rPr>
              <w:t>定</w:t>
            </w:r>
            <w:r>
              <w:rPr>
                <w:rFonts w:ascii="宋体" w:hAnsi="宋体" w:eastAsia="宋体" w:cs="宋体"/>
                <w:spacing w:val="13"/>
                <w:sz w:val="24"/>
                <w:szCs w:val="24"/>
              </w:rPr>
              <w:t>上传“0</w:t>
            </w:r>
            <w:r>
              <w:rPr>
                <w:rFonts w:ascii="宋体" w:hAnsi="宋体" w:eastAsia="宋体" w:cs="宋体"/>
                <w:sz w:val="24"/>
                <w:szCs w:val="24"/>
              </w:rPr>
              <w:t>x</w:t>
            </w:r>
            <w:r>
              <w:rPr>
                <w:rFonts w:ascii="宋体" w:hAnsi="宋体" w:eastAsia="宋体" w:cs="宋体"/>
                <w:spacing w:val="13"/>
                <w:sz w:val="24"/>
                <w:szCs w:val="24"/>
              </w:rPr>
              <w:t>01”</w:t>
            </w:r>
          </w:p>
        </w:tc>
      </w:tr>
    </w:tbl>
    <w:p>
      <w:pPr>
        <w:bidi w:val="0"/>
        <w:rPr>
          <w:rFonts w:hint="eastAsia" w:ascii="宋体" w:hAnsi="宋体" w:cs="宋体"/>
          <w:color w:val="0000FF"/>
          <w:sz w:val="24"/>
          <w:szCs w:val="24"/>
        </w:rPr>
      </w:pPr>
    </w:p>
    <w:p>
      <w:pPr>
        <w:keepNext w:val="0"/>
        <w:keepLines w:val="0"/>
        <w:pageBreakBefore w:val="0"/>
        <w:widowControl w:val="0"/>
        <w:kinsoku/>
        <w:wordWrap/>
        <w:overflowPunct/>
        <w:topLinePunct w:val="0"/>
        <w:bidi w:val="0"/>
        <w:snapToGrid/>
        <w:spacing w:line="360" w:lineRule="auto"/>
        <w:ind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5.2.5.5.5机械登出信息</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登出的数据格式和定义见表9所示。</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表9</w:t>
      </w:r>
      <w:r>
        <w:rPr>
          <w:rFonts w:ascii="宋体" w:hAnsi="宋体" w:eastAsia="宋体" w:cs="宋体"/>
          <w:sz w:val="24"/>
          <w:szCs w:val="24"/>
        </w:rPr>
        <w:t>登出的数据格式和定义</w:t>
      </w:r>
    </w:p>
    <w:tbl>
      <w:tblPr>
        <w:tblStyle w:val="60"/>
        <w:tblpPr w:leftFromText="180" w:rightFromText="180" w:vertAnchor="text" w:horzAnchor="page" w:tblpX="1524" w:tblpY="91"/>
        <w:tblOverlap w:val="never"/>
        <w:tblW w:w="913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61"/>
        <w:gridCol w:w="1755"/>
        <w:gridCol w:w="1380"/>
        <w:gridCol w:w="43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661"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w:t>
            </w:r>
            <w:r>
              <w:rPr>
                <w:rFonts w:ascii="宋体" w:hAnsi="宋体" w:eastAsia="宋体" w:cs="宋体"/>
                <w:spacing w:val="-1"/>
                <w:sz w:val="24"/>
                <w:szCs w:val="24"/>
              </w:rPr>
              <w:t>据表示内容</w:t>
            </w:r>
          </w:p>
        </w:tc>
        <w:tc>
          <w:tcPr>
            <w:tcW w:w="175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8"/>
                <w:sz w:val="24"/>
                <w:szCs w:val="24"/>
              </w:rPr>
              <w:t>长</w:t>
            </w:r>
            <w:r>
              <w:rPr>
                <w:rFonts w:ascii="宋体" w:hAnsi="宋体" w:eastAsia="宋体" w:cs="宋体"/>
                <w:spacing w:val="16"/>
                <w:sz w:val="24"/>
                <w:szCs w:val="24"/>
              </w:rPr>
              <w:t>度(字节)</w:t>
            </w:r>
          </w:p>
        </w:tc>
        <w:tc>
          <w:tcPr>
            <w:tcW w:w="138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数据类</w:t>
            </w:r>
            <w:r>
              <w:rPr>
                <w:rFonts w:ascii="宋体" w:hAnsi="宋体" w:eastAsia="宋体" w:cs="宋体"/>
                <w:spacing w:val="-1"/>
                <w:sz w:val="24"/>
                <w:szCs w:val="24"/>
              </w:rPr>
              <w:t>型</w:t>
            </w:r>
          </w:p>
        </w:tc>
        <w:tc>
          <w:tcPr>
            <w:tcW w:w="4339"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661"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登</w:t>
            </w:r>
            <w:r>
              <w:rPr>
                <w:rFonts w:ascii="宋体" w:hAnsi="宋体" w:eastAsia="宋体" w:cs="宋体"/>
                <w:spacing w:val="-3"/>
                <w:sz w:val="24"/>
                <w:szCs w:val="24"/>
              </w:rPr>
              <w:t>出</w:t>
            </w:r>
            <w:r>
              <w:rPr>
                <w:rFonts w:ascii="宋体" w:hAnsi="宋体" w:eastAsia="宋体" w:cs="宋体"/>
                <w:spacing w:val="-2"/>
                <w:sz w:val="24"/>
                <w:szCs w:val="24"/>
              </w:rPr>
              <w:t>时间</w:t>
            </w:r>
          </w:p>
        </w:tc>
        <w:tc>
          <w:tcPr>
            <w:tcW w:w="175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6</w:t>
            </w:r>
          </w:p>
        </w:tc>
        <w:tc>
          <w:tcPr>
            <w:tcW w:w="138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339" w:type="dxa"/>
            <w:noWrap w:val="0"/>
            <w:vAlign w:val="center"/>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3"/>
                <w:sz w:val="24"/>
                <w:szCs w:val="24"/>
              </w:rPr>
              <w:t>时</w:t>
            </w:r>
            <w:r>
              <w:rPr>
                <w:rFonts w:ascii="宋体" w:hAnsi="宋体" w:eastAsia="宋体" w:cs="宋体"/>
                <w:spacing w:val="-2"/>
                <w:sz w:val="24"/>
                <w:szCs w:val="24"/>
              </w:rPr>
              <w:t>间定义见</w:t>
            </w:r>
            <w:r>
              <w:rPr>
                <w:rFonts w:hint="eastAsia" w:ascii="宋体" w:hAnsi="宋体" w:cs="宋体"/>
                <w:spacing w:val="-2"/>
                <w:sz w:val="24"/>
                <w:szCs w:val="24"/>
                <w:lang w:val="en-US" w:eastAsia="zh-CN"/>
              </w:rPr>
              <w:t>5</w:t>
            </w:r>
            <w:r>
              <w:rPr>
                <w:rFonts w:hint="eastAsia" w:ascii="宋体" w:hAnsi="宋体" w:eastAsia="宋体" w:cs="宋体"/>
                <w:spacing w:val="-2"/>
                <w:sz w:val="24"/>
                <w:szCs w:val="24"/>
                <w:lang w:val="en-US" w:eastAsia="zh-CN"/>
              </w:rPr>
              <w:t>.2</w:t>
            </w:r>
            <w:r>
              <w:rPr>
                <w:rFonts w:ascii="宋体" w:hAnsi="宋体" w:eastAsia="宋体" w:cs="宋体"/>
                <w:spacing w:val="-2"/>
                <w:sz w:val="24"/>
                <w:szCs w:val="24"/>
              </w:rPr>
              <w:t>.5.4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661"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登</w:t>
            </w:r>
            <w:r>
              <w:rPr>
                <w:rFonts w:ascii="宋体" w:hAnsi="宋体" w:eastAsia="宋体" w:cs="宋体"/>
                <w:spacing w:val="-2"/>
                <w:sz w:val="24"/>
                <w:szCs w:val="24"/>
              </w:rPr>
              <w:t>出流水号</w:t>
            </w:r>
          </w:p>
        </w:tc>
        <w:tc>
          <w:tcPr>
            <w:tcW w:w="1755"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2</w:t>
            </w:r>
          </w:p>
        </w:tc>
        <w:tc>
          <w:tcPr>
            <w:tcW w:w="1380" w:type="dxa"/>
            <w:noWrap w:val="0"/>
            <w:vAlign w:val="center"/>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WO</w:t>
            </w:r>
            <w:r>
              <w:rPr>
                <w:rFonts w:ascii="宋体" w:hAnsi="宋体" w:eastAsia="宋体" w:cs="宋体"/>
                <w:sz w:val="24"/>
                <w:szCs w:val="24"/>
              </w:rPr>
              <w:t>RD</w:t>
            </w:r>
          </w:p>
        </w:tc>
        <w:tc>
          <w:tcPr>
            <w:tcW w:w="4339" w:type="dxa"/>
            <w:noWrap w:val="0"/>
            <w:vAlign w:val="center"/>
          </w:tcPr>
          <w:p>
            <w:pPr>
              <w:keepNext w:val="0"/>
              <w:keepLines w:val="0"/>
              <w:pageBreakBefore w:val="0"/>
              <w:widowControl w:val="0"/>
              <w:kinsoku/>
              <w:wordWrap/>
              <w:overflowPunct/>
              <w:topLinePunct w:val="0"/>
              <w:bidi w:val="0"/>
              <w:snapToGrid/>
              <w:spacing w:line="360" w:lineRule="auto"/>
              <w:ind w:left="0" w:right="0" w:firstLine="4"/>
              <w:jc w:val="both"/>
              <w:rPr>
                <w:rFonts w:ascii="宋体" w:hAnsi="宋体" w:eastAsia="宋体" w:cs="宋体"/>
                <w:sz w:val="24"/>
                <w:szCs w:val="24"/>
              </w:rPr>
            </w:pPr>
            <w:r>
              <w:rPr>
                <w:rFonts w:ascii="宋体" w:hAnsi="宋体" w:eastAsia="宋体" w:cs="宋体"/>
                <w:spacing w:val="-3"/>
                <w:sz w:val="24"/>
                <w:szCs w:val="24"/>
              </w:rPr>
              <w:t>登</w:t>
            </w:r>
            <w:r>
              <w:rPr>
                <w:rFonts w:ascii="宋体" w:hAnsi="宋体" w:eastAsia="宋体" w:cs="宋体"/>
                <w:spacing w:val="-2"/>
                <w:sz w:val="24"/>
                <w:szCs w:val="24"/>
              </w:rPr>
              <w:t>出流水号与当次登入</w:t>
            </w:r>
            <w:r>
              <w:rPr>
                <w:rFonts w:ascii="宋体" w:hAnsi="宋体" w:eastAsia="宋体" w:cs="宋体"/>
                <w:spacing w:val="-1"/>
                <w:sz w:val="24"/>
                <w:szCs w:val="24"/>
              </w:rPr>
              <w:t>流水号一</w:t>
            </w:r>
            <w:r>
              <w:rPr>
                <w:rFonts w:ascii="宋体" w:hAnsi="宋体" w:eastAsia="宋体" w:cs="宋体"/>
                <w:spacing w:val="-12"/>
                <w:sz w:val="24"/>
                <w:szCs w:val="24"/>
              </w:rPr>
              <w:t>致</w:t>
            </w:r>
            <w:r>
              <w:rPr>
                <w:rFonts w:ascii="宋体" w:hAnsi="宋体" w:eastAsia="宋体" w:cs="宋体"/>
                <w:spacing w:val="-10"/>
                <w:sz w:val="24"/>
                <w:szCs w:val="24"/>
              </w:rPr>
              <w:t>。</w:t>
            </w:r>
          </w:p>
        </w:tc>
      </w:tr>
    </w:tbl>
    <w:p>
      <w:pPr>
        <w:bidi w:val="0"/>
        <w:jc w:val="left"/>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lang w:val="en-US" w:eastAsia="zh-CN"/>
        </w:rPr>
        <mc:AlternateContent>
          <mc:Choice Requires="wps">
            <w:drawing>
              <wp:anchor distT="0" distB="0" distL="114300" distR="114300" simplePos="0" relativeHeight="251664384" behindDoc="0" locked="0" layoutInCell="0" allowOverlap="1">
                <wp:simplePos x="0" y="0"/>
                <wp:positionH relativeFrom="page">
                  <wp:posOffset>4772025</wp:posOffset>
                </wp:positionH>
                <wp:positionV relativeFrom="page">
                  <wp:posOffset>1398905</wp:posOffset>
                </wp:positionV>
                <wp:extent cx="1125855" cy="1456055"/>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125855" cy="1456055"/>
                        </a:xfrm>
                        <a:prstGeom prst="rect">
                          <a:avLst/>
                        </a:prstGeom>
                        <a:noFill/>
                        <a:ln>
                          <a:noFill/>
                        </a:ln>
                        <a:effectLst/>
                      </wps:spPr>
                      <wps:txbx>
                        <w:txbxContent>
                          <w:p/>
                        </w:txbxContent>
                      </wps:txbx>
                      <wps:bodyPr lIns="0" tIns="0" rIns="0" bIns="0" upright="1"/>
                    </wps:wsp>
                  </a:graphicData>
                </a:graphic>
              </wp:anchor>
            </w:drawing>
          </mc:Choice>
          <mc:Fallback>
            <w:pict>
              <v:shape id="_x0000_s1026" o:spid="_x0000_s1026" o:spt="202" type="#_x0000_t202" style="position:absolute;left:0pt;margin-left:375.75pt;margin-top:110.15pt;height:114.65pt;width:88.65pt;mso-position-horizontal-relative:page;mso-position-vertical-relative:page;z-index:251664384;mso-width-relative:page;mso-height-relative:page;" filled="f" stroked="f" coordsize="21600,21600" o:allowincell="f" o:gfxdata="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ZrFD3bAAAACwEAAA8AAAAAAAAAAQAgAAAAIgAAAGRycy9kb3ducmV2&#10;LnhtbFBLAQIUABQAAAAIAIdO4kCIPwQPwAEAAIMDAAAOAAAAAAAAAAEAIAAAACoBAABkcnMvZTJv&#10;RG9jLnhtbFBLBQYAAAAABgAGAFkBAABcBQAAAAA=&#10;">
                <v:fill on="f" focussize="0,0"/>
                <v:stroke on="f"/>
                <v:imagedata o:title=""/>
                <o:lock v:ext="edit" aspectratio="f"/>
                <v:textbox inset="0mm,0mm,0mm,0mm">
                  <w:txbxContent>
                    <w:p/>
                  </w:txbxContent>
                </v:textbox>
              </v:shape>
            </w:pict>
          </mc:Fallback>
        </mc:AlternateContent>
      </w:r>
      <w:r>
        <w:rPr>
          <w:rFonts w:hint="eastAsia" w:ascii="宋体" w:hAnsi="宋体" w:eastAsia="宋体" w:cs="宋体"/>
          <w:bCs/>
          <w:sz w:val="24"/>
          <w:szCs w:val="24"/>
          <w:highlight w:val="none"/>
          <w:lang w:val="en-US" w:eastAsia="zh-CN"/>
        </w:rPr>
        <mc:AlternateContent>
          <mc:Choice Requires="wps">
            <w:drawing>
              <wp:anchor distT="0" distB="0" distL="114300" distR="114300" simplePos="0" relativeHeight="251662336" behindDoc="1" locked="0" layoutInCell="0" allowOverlap="1">
                <wp:simplePos x="0" y="0"/>
                <wp:positionH relativeFrom="page">
                  <wp:posOffset>3402330</wp:posOffset>
                </wp:positionH>
                <wp:positionV relativeFrom="page">
                  <wp:posOffset>1563370</wp:posOffset>
                </wp:positionV>
                <wp:extent cx="133985" cy="87630"/>
                <wp:effectExtent l="0" t="0" r="0" b="7620"/>
                <wp:wrapNone/>
                <wp:docPr id="40" name="任意多边形 40"/>
                <wp:cNvGraphicFramePr/>
                <a:graphic xmlns:a="http://schemas.openxmlformats.org/drawingml/2006/main">
                  <a:graphicData uri="http://schemas.microsoft.com/office/word/2010/wordprocessingShape">
                    <wps:wsp>
                      <wps:cNvSpPr/>
                      <wps:spPr>
                        <a:xfrm>
                          <a:off x="0" y="0"/>
                          <a:ext cx="133985" cy="87630"/>
                        </a:xfrm>
                        <a:custGeom>
                          <a:avLst/>
                          <a:gdLst/>
                          <a:ahLst/>
                          <a:cxnLst/>
                          <a:pathLst>
                            <a:path w="211" h="138">
                              <a:moveTo>
                                <a:pt x="210" y="137"/>
                              </a:moveTo>
                              <a:lnTo>
                                <a:pt x="0" y="68"/>
                              </a:lnTo>
                              <a:lnTo>
                                <a:pt x="210" y="0"/>
                              </a:lnTo>
                              <a:lnTo>
                                <a:pt x="210" y="137"/>
                              </a:lnTo>
                              <a:close/>
                            </a:path>
                          </a:pathLst>
                        </a:custGeom>
                        <a:solidFill>
                          <a:srgbClr val="FFFFFF">
                            <a:alpha val="49803"/>
                          </a:srgbClr>
                        </a:solidFill>
                        <a:ln>
                          <a:noFill/>
                        </a:ln>
                        <a:effectLst/>
                      </wps:spPr>
                      <wps:bodyPr upright="1"/>
                    </wps:wsp>
                  </a:graphicData>
                </a:graphic>
              </wp:anchor>
            </w:drawing>
          </mc:Choice>
          <mc:Fallback>
            <w:pict>
              <v:shape id="_x0000_s1026" o:spid="_x0000_s1026" o:spt="100" style="position:absolute;left:0pt;margin-left:267.9pt;margin-top:123.1pt;height:6.9pt;width:10.55pt;mso-position-horizontal-relative:page;mso-position-vertical-relative:page;z-index:-251654144;mso-width-relative:page;mso-height-relative:page;" fillcolor="#FFFFFF" filled="t" stroked="f" coordsize="211,138" o:allowincell="f" o:gfxdata="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oJh0f9oAAAALAQAADwAAAAAAAAABACAAAAAiAAAAZHJzL2Rvd25yZXYueG1sUEsBAhQAFAAA&#10;AAgAh07iQF80a8smAgAAiwQAAA4AAAAAAAAAAQAgAAAAKQEAAGRycy9lMm9Eb2MueG1sUEsFBgAA&#10;AAAGAAYAWQEAAMEFAAAAAA==&#10;" path="m210,137l0,68,210,0,210,137xe">
                <v:fill on="t" opacity="32638f" focussize="0,0"/>
                <v:stroke on="f"/>
                <v:imagedata o:title=""/>
                <o:lock v:ext="edit" aspectratio="f"/>
              </v:shape>
            </w:pict>
          </mc:Fallback>
        </mc:AlternateContent>
      </w:r>
      <w:r>
        <w:rPr>
          <w:rFonts w:hint="eastAsia" w:ascii="宋体" w:hAnsi="宋体" w:eastAsia="宋体" w:cs="宋体"/>
          <w:bCs/>
          <w:sz w:val="24"/>
          <w:szCs w:val="24"/>
          <w:highlight w:val="none"/>
          <w:lang w:val="en-US" w:eastAsia="zh-CN"/>
        </w:rPr>
        <mc:AlternateContent>
          <mc:Choice Requires="wps">
            <w:drawing>
              <wp:anchor distT="0" distB="0" distL="114300" distR="114300" simplePos="0" relativeHeight="251663360" behindDoc="1" locked="0" layoutInCell="0" allowOverlap="1">
                <wp:simplePos x="0" y="0"/>
                <wp:positionH relativeFrom="page">
                  <wp:posOffset>3402330</wp:posOffset>
                </wp:positionH>
                <wp:positionV relativeFrom="page">
                  <wp:posOffset>2620645</wp:posOffset>
                </wp:positionV>
                <wp:extent cx="133985" cy="87630"/>
                <wp:effectExtent l="0" t="0" r="0" b="7620"/>
                <wp:wrapNone/>
                <wp:docPr id="44" name="任意多边形 44"/>
                <wp:cNvGraphicFramePr/>
                <a:graphic xmlns:a="http://schemas.openxmlformats.org/drawingml/2006/main">
                  <a:graphicData uri="http://schemas.microsoft.com/office/word/2010/wordprocessingShape">
                    <wps:wsp>
                      <wps:cNvSpPr/>
                      <wps:spPr>
                        <a:xfrm>
                          <a:off x="0" y="0"/>
                          <a:ext cx="133985" cy="87630"/>
                        </a:xfrm>
                        <a:custGeom>
                          <a:avLst/>
                          <a:gdLst/>
                          <a:ahLst/>
                          <a:cxnLst/>
                          <a:pathLst>
                            <a:path w="211" h="138">
                              <a:moveTo>
                                <a:pt x="210" y="137"/>
                              </a:moveTo>
                              <a:lnTo>
                                <a:pt x="0" y="68"/>
                              </a:lnTo>
                              <a:lnTo>
                                <a:pt x="210" y="0"/>
                              </a:lnTo>
                              <a:lnTo>
                                <a:pt x="210" y="137"/>
                              </a:lnTo>
                              <a:close/>
                            </a:path>
                          </a:pathLst>
                        </a:custGeom>
                        <a:solidFill>
                          <a:srgbClr val="FFFFFF">
                            <a:alpha val="49803"/>
                          </a:srgbClr>
                        </a:solidFill>
                        <a:ln>
                          <a:noFill/>
                        </a:ln>
                        <a:effectLst/>
                      </wps:spPr>
                      <wps:bodyPr upright="1"/>
                    </wps:wsp>
                  </a:graphicData>
                </a:graphic>
              </wp:anchor>
            </w:drawing>
          </mc:Choice>
          <mc:Fallback>
            <w:pict>
              <v:shape id="_x0000_s1026" o:spid="_x0000_s1026" o:spt="100" style="position:absolute;left:0pt;margin-left:267.9pt;margin-top:206.35pt;height:6.9pt;width:10.55pt;mso-position-horizontal-relative:page;mso-position-vertical-relative:page;z-index:-251653120;mso-width-relative:page;mso-height-relative:page;" fillcolor="#FFFFFF" filled="t" stroked="f" coordsize="211,138" o:allowincell="f" o:gfxdata="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DKGPq2wAAAAsBAAAPAAAAAAAAAAEAIAAAACIAAABkcnMvZG93bnJldi54bWxQSwECFAAU&#10;AAAACACHTuJAsXgKYCcCAACLBAAADgAAAAAAAAABACAAAAAqAQAAZHJzL2Uyb0RvYy54bWxQSwUG&#10;AAAAAAYABgBZAQAAwwUAAAAA&#10;" path="m210,137l0,68,210,0,210,137xe">
                <v:fill on="t" opacity="32638f" focussize="0,0"/>
                <v:stroke on="f"/>
                <v:imagedata o:title=""/>
                <o:lock v:ext="edit" aspectratio="f"/>
              </v:shape>
            </w:pict>
          </mc:Fallback>
        </mc:AlternateContent>
      </w:r>
      <w:r>
        <w:rPr>
          <w:rFonts w:hint="eastAsia" w:ascii="宋体" w:hAnsi="宋体" w:eastAsia="宋体" w:cs="宋体"/>
          <w:bCs/>
          <w:sz w:val="24"/>
          <w:szCs w:val="24"/>
          <w:highlight w:val="none"/>
          <w:lang w:val="en-US" w:eastAsia="zh-CN"/>
        </w:rPr>
        <w:t>3平台间通讯协议与数据格式</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5.3.1协议结构</w:t>
      </w:r>
    </w:p>
    <w:p>
      <w:pPr>
        <w:bidi w:val="0"/>
        <w:jc w:val="center"/>
        <w:rPr>
          <w:rFonts w:hint="default" w:ascii="宋体" w:hAnsi="宋体" w:eastAsia="宋体" w:cs="宋体"/>
          <w:bCs/>
          <w:sz w:val="24"/>
          <w:highlight w:val="none"/>
          <w:lang w:val="en-US" w:eastAsia="zh-CN"/>
        </w:rPr>
      </w:pPr>
      <w:r>
        <w:rPr>
          <w:rFonts w:hint="eastAsia" w:ascii="宋体" w:hAnsi="宋体" w:eastAsia="宋体" w:cs="宋体"/>
          <w:bCs/>
          <w:sz w:val="24"/>
          <w:szCs w:val="24"/>
          <w:highlight w:val="none"/>
          <w:lang w:val="en-US" w:eastAsia="zh-CN"/>
        </w:rPr>
        <w:t>以TCP/IP网络控制协议作为底层通信承载协议，如图4所示。</w:t>
      </w:r>
      <w:r>
        <w:rPr>
          <w:rFonts w:hint="eastAsia" w:ascii="仿宋_GB2312" w:hAnsi="仿宋_GB2312" w:eastAsia="仿宋_GB2312" w:cs="仿宋_GB2312"/>
          <w:bCs/>
          <w:sz w:val="28"/>
          <w:szCs w:val="28"/>
          <w:highlight w:val="none"/>
          <w:lang w:val="en-US" w:eastAsia="zh-CN"/>
        </w:rPr>
        <w:t xml:space="preserve">                             </w:t>
      </w:r>
      <w:r>
        <w:rPr>
          <w:rFonts w:hint="default" w:ascii="宋体" w:hAnsi="宋体" w:eastAsia="宋体" w:cs="宋体"/>
          <w:bCs/>
          <w:sz w:val="24"/>
          <w:highlight w:val="none"/>
          <w:lang w:val="en-US" w:eastAsia="zh-CN"/>
        </w:rPr>
        <w:drawing>
          <wp:inline distT="0" distB="0" distL="114300" distR="114300">
            <wp:extent cx="4453255" cy="1822450"/>
            <wp:effectExtent l="0" t="0" r="4445" b="6350"/>
            <wp:docPr id="50" name="图片 50" descr="7d3d0d7dad67f238303b3d82ed7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7d3d0d7dad67f238303b3d82ed73062"/>
                    <pic:cNvPicPr>
                      <a:picLocks noChangeAspect="1"/>
                    </pic:cNvPicPr>
                  </pic:nvPicPr>
                  <pic:blipFill>
                    <a:blip r:embed="rId13"/>
                    <a:stretch>
                      <a:fillRect/>
                    </a:stretch>
                  </pic:blipFill>
                  <pic:spPr>
                    <a:xfrm>
                      <a:off x="0" y="0"/>
                      <a:ext cx="4453255" cy="1822450"/>
                    </a:xfrm>
                    <a:prstGeom prst="rect">
                      <a:avLst/>
                    </a:prstGeom>
                    <a:noFill/>
                    <a:ln>
                      <a:noFill/>
                    </a:ln>
                  </pic:spPr>
                </pic:pic>
              </a:graphicData>
            </a:graphic>
          </wp:inline>
        </w:drawing>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图4</w:t>
      </w:r>
      <w:r>
        <w:rPr>
          <w:rFonts w:ascii="宋体" w:hAnsi="宋体" w:eastAsia="宋体" w:cs="宋体"/>
          <w:spacing w:val="-2"/>
          <w:sz w:val="24"/>
          <w:szCs w:val="24"/>
        </w:rPr>
        <w:t>平台间通信协议栈</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5.3.2连接建立</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5.3.2.1</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仿宋_GB2312" w:hAnsi="仿宋_GB2312" w:eastAsia="仿宋_GB2312" w:cs="仿宋_GB2312"/>
          <w:bCs/>
          <w:sz w:val="28"/>
          <w:szCs w:val="28"/>
          <w:highlight w:val="none"/>
          <w:lang w:val="en-US" w:eastAsia="zh-CN"/>
        </w:rPr>
      </w:pPr>
      <w:r>
        <w:rPr>
          <w:rFonts w:hint="eastAsia" w:asciiTheme="minorEastAsia" w:hAnsiTheme="minorEastAsia" w:eastAsiaTheme="minorEastAsia" w:cstheme="minorEastAsia"/>
          <w:bCs/>
          <w:sz w:val="24"/>
          <w:szCs w:val="24"/>
          <w:highlight w:val="none"/>
          <w:lang w:val="en-US" w:eastAsia="zh-CN"/>
        </w:rPr>
        <w:t>市平台向省平台发起通信连接请求，当通信链路连接建立后，市平台应自动向省平台发送登入信息进行身份识别，省平台应对接收到的数据进行校验；校验正确时，省平台应返回成功应答；校验错误时，省平台应存储错误信息记录并通知市平台。登入流程如图5所示。</w:t>
      </w:r>
    </w:p>
    <w:p>
      <w:pPr>
        <w:bidi w:val="0"/>
        <w:jc w:val="center"/>
      </w:pPr>
      <w:r>
        <w:drawing>
          <wp:inline distT="0" distB="0" distL="114300" distR="114300">
            <wp:extent cx="2628900" cy="1894840"/>
            <wp:effectExtent l="0" t="0" r="0" b="10160"/>
            <wp:docPr id="51"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icPr>
                  <pic:blipFill>
                    <a:blip r:embed="rId14"/>
                    <a:stretch>
                      <a:fillRect/>
                    </a:stretch>
                  </pic:blipFill>
                  <pic:spPr>
                    <a:xfrm>
                      <a:off x="0" y="0"/>
                      <a:ext cx="2628900" cy="1894840"/>
                    </a:xfrm>
                    <a:prstGeom prst="rect">
                      <a:avLst/>
                    </a:prstGeom>
                    <a:noFill/>
                    <a:ln>
                      <a:noFill/>
                    </a:ln>
                  </pic:spPr>
                </pic:pic>
              </a:graphicData>
            </a:graphic>
          </wp:inline>
        </w:drawing>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图5平台登入流程示意图</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5.3.2.2</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市平台应在接收到省平台的应答指令后完成本次登入传输；市平台在规定时间内未收到应答指令，应每隔1min重新进行登入；若连续重复3次登入无应答，应间隔30min后，继续重新链接，并把链接成功前存储的未成功发送的数据重新上报。</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5.3.3连接断开</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省平台应根据以下情况断开与市平台的会话连接：</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a)TCP连接中断。</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市平台应根据以下情况断开与省平台的会话连接：</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a)TCP连接中断；</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b)TCP连接正常，达到重新发送次数后仍未收到应答。</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5.3.4数据包结构和定义</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5.3.4.1数据类型</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数据类型和传输规则符合</w:t>
      </w:r>
      <w:r>
        <w:rPr>
          <w:rFonts w:hint="eastAsia" w:ascii="宋体" w:hAnsi="宋体" w:eastAsia="宋体" w:cs="宋体"/>
          <w:bCs/>
          <w:sz w:val="24"/>
          <w:szCs w:val="24"/>
          <w:highlight w:val="none"/>
          <w:u w:val="none"/>
          <w:lang w:val="en-US" w:eastAsia="zh-CN"/>
        </w:rPr>
        <w:t>《电动汽车远程服务与管理系统技术规范 第3部分：通信协议及数据格式》（GB/T32960.3）</w:t>
      </w:r>
      <w:r>
        <w:rPr>
          <w:rFonts w:hint="eastAsia" w:ascii="宋体" w:hAnsi="宋体" w:eastAsia="宋体" w:cs="宋体"/>
          <w:bCs/>
          <w:sz w:val="24"/>
          <w:szCs w:val="24"/>
          <w:highlight w:val="none"/>
          <w:lang w:val="en-US" w:eastAsia="zh-CN"/>
        </w:rPr>
        <w:t>附录B.3.1的要求。</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5.3.4.2传输规则</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协议应采用大端模式的网络字节序来传递字和双字。</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5.3.4.3数据包结构</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一个完整的数据包应由起始符、命令单元、机械环保代码、数据加密方式、数据单元长度、数据单元和校验码组成。数据包结构和定义见表10。</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表10数据包结构和定义</w:t>
      </w:r>
    </w:p>
    <w:tbl>
      <w:tblPr>
        <w:tblStyle w:val="60"/>
        <w:tblW w:w="916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8"/>
        <w:gridCol w:w="708"/>
        <w:gridCol w:w="947"/>
        <w:gridCol w:w="912"/>
        <w:gridCol w:w="53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241"/>
              <w:jc w:val="center"/>
              <w:rPr>
                <w:rFonts w:ascii="宋体" w:hAnsi="宋体" w:eastAsia="宋体" w:cs="宋体"/>
                <w:sz w:val="24"/>
                <w:szCs w:val="24"/>
              </w:rPr>
            </w:pPr>
            <w:r>
              <w:rPr>
                <w:rFonts w:ascii="宋体" w:hAnsi="宋体" w:eastAsia="宋体" w:cs="宋体"/>
                <w:spacing w:val="-4"/>
                <w:sz w:val="24"/>
                <w:szCs w:val="24"/>
              </w:rPr>
              <w:t>起</w:t>
            </w:r>
            <w:r>
              <w:rPr>
                <w:rFonts w:ascii="宋体" w:hAnsi="宋体" w:eastAsia="宋体" w:cs="宋体"/>
                <w:spacing w:val="-3"/>
                <w:sz w:val="24"/>
                <w:szCs w:val="24"/>
              </w:rPr>
              <w:t>始</w:t>
            </w:r>
            <w:r>
              <w:rPr>
                <w:rFonts w:ascii="宋体" w:hAnsi="宋体" w:eastAsia="宋体" w:cs="宋体"/>
                <w:spacing w:val="-2"/>
                <w:sz w:val="24"/>
                <w:szCs w:val="24"/>
              </w:rPr>
              <w:t>字</w:t>
            </w:r>
            <w:r>
              <w:rPr>
                <w:rFonts w:ascii="宋体" w:hAnsi="宋体" w:eastAsia="宋体" w:cs="宋体"/>
                <w:sz w:val="24"/>
                <w:szCs w:val="24"/>
              </w:rPr>
              <w:t>节</w:t>
            </w:r>
          </w:p>
        </w:tc>
        <w:tc>
          <w:tcPr>
            <w:tcW w:w="1655" w:type="dxa"/>
            <w:gridSpan w:val="2"/>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定</w:t>
            </w:r>
            <w:r>
              <w:rPr>
                <w:rFonts w:ascii="宋体" w:hAnsi="宋体" w:eastAsia="宋体" w:cs="宋体"/>
                <w:spacing w:val="-3"/>
                <w:sz w:val="24"/>
                <w:szCs w:val="24"/>
              </w:rPr>
              <w:t>义</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245"/>
              <w:rPr>
                <w:rFonts w:ascii="宋体" w:hAnsi="宋体" w:eastAsia="宋体" w:cs="宋体"/>
                <w:sz w:val="24"/>
                <w:szCs w:val="24"/>
              </w:rPr>
            </w:pPr>
            <w:r>
              <w:rPr>
                <w:rFonts w:ascii="宋体" w:hAnsi="宋体" w:eastAsia="宋体" w:cs="宋体"/>
                <w:spacing w:val="-4"/>
                <w:sz w:val="24"/>
                <w:szCs w:val="24"/>
              </w:rPr>
              <w:t>数</w:t>
            </w:r>
            <w:r>
              <w:rPr>
                <w:rFonts w:ascii="宋体" w:hAnsi="宋体" w:eastAsia="宋体" w:cs="宋体"/>
                <w:spacing w:val="-3"/>
                <w:sz w:val="24"/>
                <w:szCs w:val="24"/>
              </w:rPr>
              <w:t>据类</w:t>
            </w:r>
            <w:r>
              <w:rPr>
                <w:rFonts w:ascii="宋体" w:hAnsi="宋体" w:eastAsia="宋体" w:cs="宋体"/>
                <w:sz w:val="24"/>
                <w:szCs w:val="24"/>
              </w:rPr>
              <w:t>型</w:t>
            </w:r>
          </w:p>
        </w:tc>
        <w:tc>
          <w:tcPr>
            <w:tcW w:w="5391"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0</w:t>
            </w:r>
          </w:p>
        </w:tc>
        <w:tc>
          <w:tcPr>
            <w:tcW w:w="1655" w:type="dxa"/>
            <w:gridSpan w:val="2"/>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起</w:t>
            </w:r>
            <w:r>
              <w:rPr>
                <w:rFonts w:ascii="宋体" w:hAnsi="宋体" w:eastAsia="宋体" w:cs="宋体"/>
                <w:spacing w:val="-2"/>
                <w:sz w:val="24"/>
                <w:szCs w:val="24"/>
              </w:rPr>
              <w:t>始符</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STR</w:t>
            </w:r>
            <w:r>
              <w:rPr>
                <w:rFonts w:ascii="宋体" w:hAnsi="宋体" w:eastAsia="宋体" w:cs="宋体"/>
                <w:spacing w:val="-1"/>
                <w:sz w:val="24"/>
                <w:szCs w:val="24"/>
              </w:rPr>
              <w:t>ING</w:t>
            </w:r>
          </w:p>
        </w:tc>
        <w:tc>
          <w:tcPr>
            <w:tcW w:w="5391"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440"/>
              <w:jc w:val="left"/>
              <w:rPr>
                <w:rFonts w:ascii="宋体" w:hAnsi="宋体" w:eastAsia="宋体" w:cs="宋体"/>
                <w:sz w:val="24"/>
                <w:szCs w:val="24"/>
              </w:rPr>
            </w:pPr>
            <w:r>
              <w:rPr>
                <w:rFonts w:hint="eastAsia" w:ascii="宋体" w:hAnsi="宋体" w:cs="宋体"/>
                <w:spacing w:val="-2"/>
                <w:sz w:val="24"/>
                <w:szCs w:val="24"/>
                <w:lang w:val="en-US" w:eastAsia="zh-CN"/>
              </w:rPr>
              <w:t xml:space="preserve">    </w:t>
            </w:r>
            <w:r>
              <w:rPr>
                <w:rFonts w:ascii="宋体" w:hAnsi="宋体" w:eastAsia="宋体" w:cs="宋体"/>
                <w:spacing w:val="-2"/>
                <w:sz w:val="24"/>
                <w:szCs w:val="24"/>
              </w:rPr>
              <w:t>固定为ASCI</w:t>
            </w:r>
            <w:r>
              <w:rPr>
                <w:rFonts w:ascii="宋体" w:hAnsi="宋体" w:eastAsia="宋体" w:cs="宋体"/>
                <w:sz w:val="24"/>
                <w:szCs w:val="24"/>
              </w:rPr>
              <w:t>I</w:t>
            </w:r>
            <w:r>
              <w:rPr>
                <w:rFonts w:ascii="宋体" w:hAnsi="宋体" w:eastAsia="宋体" w:cs="宋体"/>
                <w:spacing w:val="-2"/>
                <w:sz w:val="24"/>
                <w:szCs w:val="24"/>
              </w:rPr>
              <w:t>字符“##”，用</w:t>
            </w:r>
            <w:r>
              <w:rPr>
                <w:rFonts w:ascii="宋体" w:hAnsi="宋体" w:eastAsia="宋体" w:cs="宋体"/>
                <w:spacing w:val="1"/>
                <w:sz w:val="24"/>
                <w:szCs w:val="24"/>
              </w:rPr>
              <w:t>“0</w:t>
            </w:r>
            <w:r>
              <w:rPr>
                <w:rFonts w:ascii="宋体" w:hAnsi="宋体" w:eastAsia="宋体" w:cs="宋体"/>
                <w:sz w:val="24"/>
                <w:szCs w:val="24"/>
              </w:rPr>
              <w:t>x</w:t>
            </w:r>
            <w:r>
              <w:rPr>
                <w:rFonts w:ascii="宋体" w:hAnsi="宋体" w:eastAsia="宋体" w:cs="宋体"/>
                <w:spacing w:val="1"/>
                <w:sz w:val="24"/>
                <w:szCs w:val="24"/>
              </w:rPr>
              <w:t>23,0</w:t>
            </w:r>
            <w:r>
              <w:rPr>
                <w:rFonts w:ascii="宋体" w:hAnsi="宋体" w:eastAsia="宋体" w:cs="宋体"/>
                <w:sz w:val="24"/>
                <w:szCs w:val="24"/>
              </w:rPr>
              <w:t>x</w:t>
            </w:r>
            <w:r>
              <w:rPr>
                <w:rFonts w:ascii="宋体" w:hAnsi="宋体" w:eastAsia="宋体" w:cs="宋体"/>
                <w:spacing w:val="1"/>
                <w:sz w:val="24"/>
                <w:szCs w:val="24"/>
              </w:rPr>
              <w:t>23”</w:t>
            </w:r>
            <w:r>
              <w:rPr>
                <w:rFonts w:ascii="宋体" w:hAnsi="宋体" w:eastAsia="宋体" w:cs="宋体"/>
                <w:sz w:val="24"/>
                <w:szCs w:val="24"/>
              </w:rPr>
              <w:t>表示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2</w:t>
            </w:r>
          </w:p>
        </w:tc>
        <w:tc>
          <w:tcPr>
            <w:tcW w:w="708" w:type="dxa"/>
            <w:vMerge w:val="restart"/>
            <w:tcBorders>
              <w:left w:val="single" w:color="000000" w:sz="4" w:space="0"/>
              <w:bottom w:val="nil"/>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hanging="2"/>
              <w:jc w:val="center"/>
              <w:rPr>
                <w:rFonts w:ascii="宋体" w:hAnsi="宋体" w:eastAsia="宋体" w:cs="宋体"/>
                <w:sz w:val="24"/>
                <w:szCs w:val="24"/>
              </w:rPr>
            </w:pPr>
            <w:r>
              <w:rPr>
                <w:rFonts w:ascii="宋体" w:hAnsi="宋体" w:eastAsia="宋体" w:cs="宋体"/>
                <w:spacing w:val="-5"/>
                <w:sz w:val="24"/>
                <w:szCs w:val="24"/>
              </w:rPr>
              <w:t>命</w:t>
            </w:r>
            <w:r>
              <w:rPr>
                <w:rFonts w:ascii="宋体" w:hAnsi="宋体" w:eastAsia="宋体" w:cs="宋体"/>
                <w:spacing w:val="-4"/>
                <w:sz w:val="24"/>
                <w:szCs w:val="24"/>
              </w:rPr>
              <w:t>令</w:t>
            </w:r>
            <w:r>
              <w:rPr>
                <w:rFonts w:ascii="宋体" w:hAnsi="宋体" w:eastAsia="宋体" w:cs="宋体"/>
                <w:spacing w:val="-7"/>
                <w:sz w:val="24"/>
                <w:szCs w:val="24"/>
              </w:rPr>
              <w:t>单</w:t>
            </w:r>
            <w:r>
              <w:rPr>
                <w:rFonts w:ascii="宋体" w:hAnsi="宋体" w:eastAsia="宋体" w:cs="宋体"/>
                <w:spacing w:val="-5"/>
                <w:sz w:val="24"/>
                <w:szCs w:val="24"/>
              </w:rPr>
              <w:t>元</w:t>
            </w:r>
          </w:p>
        </w:tc>
        <w:tc>
          <w:tcPr>
            <w:tcW w:w="947"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242"/>
              <w:jc w:val="center"/>
              <w:rPr>
                <w:rFonts w:ascii="宋体" w:hAnsi="宋体" w:eastAsia="宋体" w:cs="宋体"/>
                <w:sz w:val="24"/>
                <w:szCs w:val="24"/>
              </w:rPr>
            </w:pPr>
            <w:r>
              <w:rPr>
                <w:rFonts w:ascii="宋体" w:hAnsi="宋体" w:eastAsia="宋体" w:cs="宋体"/>
                <w:spacing w:val="-4"/>
                <w:sz w:val="24"/>
                <w:szCs w:val="24"/>
              </w:rPr>
              <w:t>命</w:t>
            </w:r>
            <w:r>
              <w:rPr>
                <w:rFonts w:ascii="宋体" w:hAnsi="宋体" w:eastAsia="宋体" w:cs="宋体"/>
                <w:spacing w:val="-3"/>
                <w:sz w:val="24"/>
                <w:szCs w:val="24"/>
              </w:rPr>
              <w:t>令</w:t>
            </w:r>
            <w:r>
              <w:rPr>
                <w:rFonts w:ascii="宋体" w:hAnsi="宋体" w:eastAsia="宋体" w:cs="宋体"/>
                <w:spacing w:val="-2"/>
                <w:sz w:val="24"/>
                <w:szCs w:val="24"/>
              </w:rPr>
              <w:t>标</w:t>
            </w:r>
            <w:r>
              <w:rPr>
                <w:rFonts w:ascii="宋体" w:hAnsi="宋体" w:eastAsia="宋体" w:cs="宋体"/>
                <w:sz w:val="24"/>
                <w:szCs w:val="24"/>
              </w:rPr>
              <w:t>识</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5391" w:type="dxa"/>
            <w:vMerge w:val="restart"/>
            <w:tcBorders>
              <w:left w:val="single" w:color="000000" w:sz="4" w:space="0"/>
              <w:bottom w:val="nil"/>
            </w:tcBorders>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Arial"/>
                <w:sz w:val="21"/>
              </w:rPr>
            </w:pPr>
          </w:p>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1"/>
                <w:sz w:val="24"/>
                <w:szCs w:val="24"/>
                <w:highlight w:val="none"/>
              </w:rPr>
              <w:t>命令单元定义见第</w:t>
            </w:r>
            <w:r>
              <w:rPr>
                <w:rFonts w:hint="eastAsia" w:ascii="宋体" w:hAnsi="宋体" w:cs="宋体"/>
                <w:spacing w:val="-1"/>
                <w:sz w:val="24"/>
                <w:szCs w:val="24"/>
                <w:highlight w:val="none"/>
                <w:lang w:val="en-US" w:eastAsia="zh-CN"/>
              </w:rPr>
              <w:t>5</w:t>
            </w:r>
            <w:r>
              <w:rPr>
                <w:rFonts w:hint="eastAsia" w:ascii="宋体" w:hAnsi="宋体" w:eastAsia="宋体" w:cs="宋体"/>
                <w:bCs/>
                <w:sz w:val="24"/>
                <w:highlight w:val="none"/>
                <w:lang w:val="en-US" w:eastAsia="zh-CN"/>
              </w:rPr>
              <w:t>.3.4.4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3</w:t>
            </w:r>
          </w:p>
        </w:tc>
        <w:tc>
          <w:tcPr>
            <w:tcW w:w="708" w:type="dxa"/>
            <w:vMerge w:val="continue"/>
            <w:tcBorders>
              <w:top w:val="nil"/>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tc>
        <w:tc>
          <w:tcPr>
            <w:tcW w:w="947"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243"/>
              <w:jc w:val="center"/>
              <w:rPr>
                <w:rFonts w:ascii="宋体" w:hAnsi="宋体" w:eastAsia="宋体" w:cs="宋体"/>
                <w:sz w:val="24"/>
                <w:szCs w:val="24"/>
              </w:rPr>
            </w:pPr>
            <w:r>
              <w:rPr>
                <w:rFonts w:ascii="宋体" w:hAnsi="宋体" w:eastAsia="宋体" w:cs="宋体"/>
                <w:spacing w:val="-4"/>
                <w:sz w:val="24"/>
                <w:szCs w:val="24"/>
              </w:rPr>
              <w:t>应</w:t>
            </w:r>
            <w:r>
              <w:rPr>
                <w:rFonts w:ascii="宋体" w:hAnsi="宋体" w:eastAsia="宋体" w:cs="宋体"/>
                <w:spacing w:val="-3"/>
                <w:sz w:val="24"/>
                <w:szCs w:val="24"/>
              </w:rPr>
              <w:t>答标</w:t>
            </w:r>
            <w:r>
              <w:rPr>
                <w:rFonts w:ascii="宋体" w:hAnsi="宋体" w:eastAsia="宋体" w:cs="宋体"/>
                <w:sz w:val="24"/>
                <w:szCs w:val="24"/>
              </w:rPr>
              <w:t>志</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5391" w:type="dxa"/>
            <w:vMerge w:val="continue"/>
            <w:tcBorders>
              <w:top w:val="nil"/>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4</w:t>
            </w:r>
          </w:p>
        </w:tc>
        <w:tc>
          <w:tcPr>
            <w:tcW w:w="1655" w:type="dxa"/>
            <w:gridSpan w:val="2"/>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环保</w:t>
            </w:r>
            <w:r>
              <w:rPr>
                <w:rFonts w:ascii="宋体" w:hAnsi="宋体" w:eastAsia="宋体" w:cs="宋体"/>
                <w:spacing w:val="-1"/>
                <w:sz w:val="24"/>
                <w:szCs w:val="24"/>
              </w:rPr>
              <w:t>登记号码</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STR</w:t>
            </w:r>
            <w:r>
              <w:rPr>
                <w:rFonts w:ascii="宋体" w:hAnsi="宋体" w:eastAsia="宋体" w:cs="宋体"/>
                <w:spacing w:val="-1"/>
                <w:sz w:val="24"/>
                <w:szCs w:val="24"/>
              </w:rPr>
              <w:t>ING</w:t>
            </w:r>
          </w:p>
        </w:tc>
        <w:tc>
          <w:tcPr>
            <w:tcW w:w="5391"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2"/>
                <w:sz w:val="24"/>
                <w:szCs w:val="24"/>
              </w:rPr>
              <w:t>10个字符，</w:t>
            </w:r>
            <w:r>
              <w:rPr>
                <w:rFonts w:ascii="宋体" w:hAnsi="宋体" w:eastAsia="宋体" w:cs="宋体"/>
                <w:spacing w:val="-1"/>
                <w:sz w:val="24"/>
                <w:szCs w:val="24"/>
              </w:rPr>
              <w:t>例如2-12345678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3"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6"/>
                <w:sz w:val="24"/>
                <w:szCs w:val="24"/>
              </w:rPr>
              <w:t>4</w:t>
            </w:r>
          </w:p>
        </w:tc>
        <w:tc>
          <w:tcPr>
            <w:tcW w:w="1655" w:type="dxa"/>
            <w:gridSpan w:val="2"/>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数据加密</w:t>
            </w:r>
            <w:r>
              <w:rPr>
                <w:rFonts w:ascii="宋体" w:hAnsi="宋体" w:eastAsia="宋体" w:cs="宋体"/>
                <w:spacing w:val="-1"/>
                <w:sz w:val="24"/>
                <w:szCs w:val="24"/>
              </w:rPr>
              <w:t>方式</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5391"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10"/>
                <w:sz w:val="24"/>
                <w:szCs w:val="24"/>
              </w:rPr>
              <w:t>0</w:t>
            </w:r>
            <w:r>
              <w:rPr>
                <w:rFonts w:ascii="宋体" w:hAnsi="宋体" w:eastAsia="宋体" w:cs="宋体"/>
                <w:spacing w:val="-5"/>
                <w:sz w:val="24"/>
                <w:szCs w:val="24"/>
              </w:rPr>
              <w:t>x</w:t>
            </w:r>
            <w:r>
              <w:rPr>
                <w:rFonts w:ascii="宋体" w:hAnsi="宋体" w:eastAsia="宋体" w:cs="宋体"/>
                <w:spacing w:val="-6"/>
                <w:sz w:val="24"/>
                <w:szCs w:val="24"/>
              </w:rPr>
              <w:t>0</w:t>
            </w:r>
            <w:r>
              <w:rPr>
                <w:rFonts w:ascii="宋体" w:hAnsi="宋体" w:eastAsia="宋体" w:cs="宋体"/>
                <w:spacing w:val="-5"/>
                <w:sz w:val="24"/>
                <w:szCs w:val="24"/>
              </w:rPr>
              <w:t>1：数据不加密；0x02：数据经过SM2算</w:t>
            </w:r>
          </w:p>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9"/>
                <w:sz w:val="24"/>
                <w:szCs w:val="24"/>
              </w:rPr>
              <w:t>法</w:t>
            </w:r>
            <w:r>
              <w:rPr>
                <w:rFonts w:ascii="宋体" w:hAnsi="宋体" w:eastAsia="宋体" w:cs="宋体"/>
                <w:spacing w:val="-8"/>
                <w:sz w:val="24"/>
                <w:szCs w:val="24"/>
              </w:rPr>
              <w:t>加密；0x03:数据经过SM4位算法加密；</w:t>
            </w:r>
            <w:r>
              <w:rPr>
                <w:rFonts w:ascii="宋体" w:hAnsi="宋体" w:eastAsia="宋体" w:cs="宋体"/>
                <w:spacing w:val="-10"/>
                <w:sz w:val="24"/>
                <w:szCs w:val="24"/>
              </w:rPr>
              <w:t>0</w:t>
            </w:r>
            <w:r>
              <w:rPr>
                <w:rFonts w:ascii="宋体" w:hAnsi="宋体" w:eastAsia="宋体" w:cs="宋体"/>
                <w:spacing w:val="-5"/>
                <w:sz w:val="24"/>
                <w:szCs w:val="24"/>
              </w:rPr>
              <w:t>x</w:t>
            </w:r>
            <w:r>
              <w:rPr>
                <w:rFonts w:ascii="宋体" w:hAnsi="宋体" w:eastAsia="宋体" w:cs="宋体"/>
                <w:spacing w:val="-6"/>
                <w:sz w:val="24"/>
                <w:szCs w:val="24"/>
              </w:rPr>
              <w:t>0</w:t>
            </w:r>
            <w:r>
              <w:rPr>
                <w:rFonts w:ascii="宋体" w:hAnsi="宋体" w:eastAsia="宋体" w:cs="宋体"/>
                <w:spacing w:val="-5"/>
                <w:sz w:val="24"/>
                <w:szCs w:val="24"/>
              </w:rPr>
              <w:t>4：数据经过RSA算法加密；0x05:数据</w:t>
            </w:r>
            <w:r>
              <w:rPr>
                <w:rFonts w:ascii="宋体" w:hAnsi="宋体" w:eastAsia="宋体" w:cs="宋体"/>
                <w:spacing w:val="-1"/>
                <w:sz w:val="24"/>
                <w:szCs w:val="24"/>
              </w:rPr>
              <w:t>经过</w:t>
            </w:r>
            <w:r>
              <w:rPr>
                <w:rFonts w:ascii="宋体" w:hAnsi="宋体" w:eastAsia="宋体" w:cs="宋体"/>
                <w:sz w:val="24"/>
                <w:szCs w:val="24"/>
              </w:rPr>
              <w:t>AES</w:t>
            </w:r>
            <w:r>
              <w:rPr>
                <w:rFonts w:ascii="宋体" w:hAnsi="宋体" w:eastAsia="宋体" w:cs="宋体"/>
                <w:spacing w:val="-1"/>
                <w:sz w:val="24"/>
                <w:szCs w:val="24"/>
              </w:rPr>
              <w:t>128位算法加密；</w:t>
            </w:r>
            <w:r>
              <w:rPr>
                <w:rFonts w:ascii="宋体" w:hAnsi="宋体" w:eastAsia="宋体" w:cs="宋体"/>
                <w:sz w:val="24"/>
                <w:szCs w:val="24"/>
              </w:rPr>
              <w:t>“0xFE”表示异</w:t>
            </w:r>
          </w:p>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1"/>
                <w:sz w:val="24"/>
                <w:szCs w:val="24"/>
              </w:rPr>
              <w:t>常；“0xF</w:t>
            </w:r>
            <w:r>
              <w:rPr>
                <w:rFonts w:ascii="宋体" w:hAnsi="宋体" w:eastAsia="宋体" w:cs="宋体"/>
                <w:sz w:val="24"/>
                <w:szCs w:val="24"/>
              </w:rPr>
              <w:t>F</w:t>
            </w:r>
            <w:r>
              <w:rPr>
                <w:rFonts w:ascii="宋体" w:hAnsi="宋体" w:eastAsia="宋体" w:cs="宋体"/>
                <w:spacing w:val="-1"/>
                <w:sz w:val="24"/>
                <w:szCs w:val="24"/>
              </w:rPr>
              <w:t>”表示无效，其他预留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6"/>
                <w:sz w:val="24"/>
                <w:szCs w:val="24"/>
              </w:rPr>
              <w:t>5</w:t>
            </w:r>
          </w:p>
        </w:tc>
        <w:tc>
          <w:tcPr>
            <w:tcW w:w="1655" w:type="dxa"/>
            <w:gridSpan w:val="2"/>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数据单元</w:t>
            </w:r>
            <w:r>
              <w:rPr>
                <w:rFonts w:ascii="宋体" w:hAnsi="宋体" w:eastAsia="宋体" w:cs="宋体"/>
                <w:spacing w:val="-1"/>
                <w:sz w:val="24"/>
                <w:szCs w:val="24"/>
              </w:rPr>
              <w:t>长度</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WO</w:t>
            </w:r>
            <w:r>
              <w:rPr>
                <w:rFonts w:ascii="宋体" w:hAnsi="宋体" w:eastAsia="宋体" w:cs="宋体"/>
                <w:sz w:val="24"/>
                <w:szCs w:val="24"/>
              </w:rPr>
              <w:t>RD</w:t>
            </w:r>
          </w:p>
        </w:tc>
        <w:tc>
          <w:tcPr>
            <w:tcW w:w="5391"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1083"/>
              <w:jc w:val="both"/>
              <w:rPr>
                <w:rFonts w:ascii="宋体" w:hAnsi="宋体" w:eastAsia="宋体" w:cs="宋体"/>
                <w:sz w:val="24"/>
                <w:szCs w:val="24"/>
              </w:rPr>
            </w:pPr>
            <w:r>
              <w:rPr>
                <w:rFonts w:ascii="宋体" w:hAnsi="宋体" w:eastAsia="宋体" w:cs="宋体"/>
                <w:spacing w:val="-1"/>
                <w:sz w:val="24"/>
                <w:szCs w:val="24"/>
              </w:rPr>
              <w:t>数据单</w:t>
            </w:r>
            <w:r>
              <w:rPr>
                <w:rFonts w:hint="eastAsia" w:ascii="宋体" w:hAnsi="宋体" w:cs="宋体"/>
                <w:spacing w:val="-1"/>
                <w:sz w:val="24"/>
                <w:szCs w:val="24"/>
                <w:lang w:val="en-US" w:eastAsia="zh-CN"/>
              </w:rPr>
              <w:t xml:space="preserve">   单</w:t>
            </w:r>
            <w:r>
              <w:rPr>
                <w:rFonts w:ascii="宋体" w:hAnsi="宋体" w:eastAsia="宋体" w:cs="宋体"/>
                <w:spacing w:val="-1"/>
                <w:sz w:val="24"/>
                <w:szCs w:val="24"/>
              </w:rPr>
              <w:t>元长度是数据单元的</w:t>
            </w:r>
            <w:r>
              <w:rPr>
                <w:rFonts w:ascii="宋体" w:hAnsi="宋体" w:eastAsia="宋体" w:cs="宋体"/>
                <w:sz w:val="24"/>
                <w:szCs w:val="24"/>
              </w:rPr>
              <w:t>总字节数，有</w:t>
            </w:r>
            <w:r>
              <w:rPr>
                <w:rFonts w:ascii="宋体" w:hAnsi="宋体" w:eastAsia="宋体" w:cs="宋体"/>
                <w:spacing w:val="-2"/>
                <w:sz w:val="24"/>
                <w:szCs w:val="24"/>
              </w:rPr>
              <w:t>效值</w:t>
            </w:r>
            <w:r>
              <w:rPr>
                <w:rFonts w:ascii="宋体" w:hAnsi="宋体" w:eastAsia="宋体" w:cs="宋体"/>
                <w:spacing w:val="-1"/>
                <w:sz w:val="24"/>
                <w:szCs w:val="24"/>
              </w:rPr>
              <w:t>范围：0~65531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6"/>
                <w:sz w:val="24"/>
                <w:szCs w:val="24"/>
              </w:rPr>
              <w:t>7</w:t>
            </w:r>
          </w:p>
        </w:tc>
        <w:tc>
          <w:tcPr>
            <w:tcW w:w="1655" w:type="dxa"/>
            <w:gridSpan w:val="2"/>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数</w:t>
            </w:r>
            <w:r>
              <w:rPr>
                <w:rFonts w:ascii="宋体" w:hAnsi="宋体" w:eastAsia="宋体" w:cs="宋体"/>
                <w:spacing w:val="-2"/>
                <w:sz w:val="24"/>
                <w:szCs w:val="24"/>
              </w:rPr>
              <w:t>据单元</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tc>
        <w:tc>
          <w:tcPr>
            <w:tcW w:w="5391"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1"/>
                <w:sz w:val="24"/>
                <w:szCs w:val="24"/>
              </w:rPr>
              <w:t>数据单元格式和定义见第</w:t>
            </w: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w:t>
            </w:r>
            <w:r>
              <w:rPr>
                <w:rFonts w:hint="eastAsia" w:ascii="宋体" w:hAnsi="宋体" w:eastAsia="宋体" w:cs="宋体"/>
                <w:sz w:val="24"/>
                <w:szCs w:val="24"/>
                <w:lang w:val="en-US" w:eastAsia="zh-CN"/>
              </w:rPr>
              <w:t>3</w:t>
            </w:r>
            <w:r>
              <w:rPr>
                <w:rFonts w:ascii="宋体" w:hAnsi="宋体" w:eastAsia="宋体" w:cs="宋体"/>
                <w:sz w:val="24"/>
                <w:szCs w:val="24"/>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5" w:hRule="atLeast"/>
          <w:jc w:val="center"/>
        </w:trPr>
        <w:tc>
          <w:tcPr>
            <w:tcW w:w="1208"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4"/>
                <w:szCs w:val="24"/>
              </w:rPr>
            </w:pPr>
            <w:r>
              <w:rPr>
                <w:rFonts w:ascii="宋体" w:hAnsi="宋体" w:eastAsia="宋体" w:cs="宋体"/>
                <w:spacing w:val="-4"/>
                <w:sz w:val="24"/>
                <w:szCs w:val="24"/>
              </w:rPr>
              <w:t>倒</w:t>
            </w:r>
            <w:r>
              <w:rPr>
                <w:rFonts w:ascii="宋体" w:hAnsi="宋体" w:eastAsia="宋体" w:cs="宋体"/>
                <w:spacing w:val="-3"/>
                <w:sz w:val="24"/>
                <w:szCs w:val="24"/>
              </w:rPr>
              <w:t>数</w:t>
            </w:r>
            <w:r>
              <w:rPr>
                <w:rFonts w:ascii="宋体" w:hAnsi="宋体" w:eastAsia="宋体" w:cs="宋体"/>
                <w:spacing w:val="-2"/>
                <w:sz w:val="24"/>
                <w:szCs w:val="24"/>
              </w:rPr>
              <w:t>第1</w:t>
            </w:r>
          </w:p>
        </w:tc>
        <w:tc>
          <w:tcPr>
            <w:tcW w:w="1655" w:type="dxa"/>
            <w:gridSpan w:val="2"/>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校</w:t>
            </w:r>
            <w:r>
              <w:rPr>
                <w:rFonts w:ascii="宋体" w:hAnsi="宋体" w:eastAsia="宋体" w:cs="宋体"/>
                <w:spacing w:val="-2"/>
                <w:sz w:val="24"/>
                <w:szCs w:val="24"/>
              </w:rPr>
              <w:t>验码</w:t>
            </w:r>
          </w:p>
        </w:tc>
        <w:tc>
          <w:tcPr>
            <w:tcW w:w="91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5391"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10"/>
                <w:sz w:val="24"/>
                <w:szCs w:val="24"/>
              </w:rPr>
              <w:t>采用</w:t>
            </w:r>
            <w:r>
              <w:rPr>
                <w:rFonts w:ascii="宋体" w:hAnsi="宋体" w:eastAsia="宋体" w:cs="宋体"/>
                <w:sz w:val="24"/>
                <w:szCs w:val="24"/>
              </w:rPr>
              <w:t>BCC</w:t>
            </w:r>
            <w:r>
              <w:rPr>
                <w:rFonts w:ascii="宋体" w:hAnsi="宋体" w:eastAsia="宋体" w:cs="宋体"/>
                <w:spacing w:val="5"/>
                <w:sz w:val="24"/>
                <w:szCs w:val="24"/>
              </w:rPr>
              <w:t>(异或校验)法，校验范围从命令</w:t>
            </w:r>
          </w:p>
          <w:p>
            <w:pPr>
              <w:keepNext w:val="0"/>
              <w:keepLines w:val="0"/>
              <w:pageBreakBefore w:val="0"/>
              <w:widowControl w:val="0"/>
              <w:kinsoku/>
              <w:wordWrap/>
              <w:overflowPunct/>
              <w:topLinePunct w:val="0"/>
              <w:bidi w:val="0"/>
              <w:snapToGrid/>
              <w:spacing w:line="360" w:lineRule="auto"/>
              <w:ind w:left="0" w:right="0"/>
              <w:jc w:val="both"/>
              <w:rPr>
                <w:rFonts w:ascii="宋体" w:hAnsi="宋体" w:eastAsia="宋体" w:cs="宋体"/>
                <w:sz w:val="24"/>
                <w:szCs w:val="24"/>
              </w:rPr>
            </w:pPr>
            <w:r>
              <w:rPr>
                <w:rFonts w:ascii="宋体" w:hAnsi="宋体" w:eastAsia="宋体" w:cs="宋体"/>
                <w:spacing w:val="-1"/>
                <w:sz w:val="24"/>
                <w:szCs w:val="24"/>
              </w:rPr>
              <w:t>单元的第一个字节开始，</w:t>
            </w:r>
            <w:r>
              <w:rPr>
                <w:rFonts w:ascii="宋体" w:hAnsi="宋体" w:eastAsia="宋体" w:cs="宋体"/>
                <w:sz w:val="24"/>
                <w:szCs w:val="24"/>
              </w:rPr>
              <w:t>同后一字节异</w:t>
            </w:r>
            <w:r>
              <w:rPr>
                <w:rFonts w:ascii="宋体" w:hAnsi="宋体" w:eastAsia="宋体" w:cs="宋体"/>
                <w:spacing w:val="-1"/>
                <w:sz w:val="24"/>
                <w:szCs w:val="24"/>
              </w:rPr>
              <w:t>或，直到校验码前一字节为</w:t>
            </w:r>
            <w:r>
              <w:rPr>
                <w:rFonts w:ascii="宋体" w:hAnsi="宋体" w:eastAsia="宋体" w:cs="宋体"/>
                <w:sz w:val="24"/>
                <w:szCs w:val="24"/>
              </w:rPr>
              <w:t>止，校验码占</w:t>
            </w:r>
            <w:r>
              <w:rPr>
                <w:rFonts w:ascii="宋体" w:hAnsi="宋体" w:eastAsia="宋体" w:cs="宋体"/>
                <w:spacing w:val="-2"/>
                <w:sz w:val="24"/>
                <w:szCs w:val="24"/>
              </w:rPr>
              <w:t>用一个字节</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5.3.4.4命令单元</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5.3.4.4.1命令标识</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命令标识应是发起方的唯一标识，命令标识定义见表11所示。</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表11命令标识定义</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p>
    <w:tbl>
      <w:tblPr>
        <w:tblStyle w:val="60"/>
        <w:tblpPr w:leftFromText="180" w:rightFromText="180" w:vertAnchor="text" w:horzAnchor="page" w:tblpX="1967" w:tblpY="47"/>
        <w:tblOverlap w:val="never"/>
        <w:tblW w:w="825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0"/>
        <w:gridCol w:w="2325"/>
        <w:gridCol w:w="470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编</w:t>
            </w:r>
            <w:r>
              <w:rPr>
                <w:rFonts w:ascii="宋体" w:hAnsi="宋体" w:eastAsia="宋体" w:cs="宋体"/>
                <w:spacing w:val="-2"/>
                <w:sz w:val="24"/>
                <w:szCs w:val="24"/>
              </w:rPr>
              <w:t>码</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定</w:t>
            </w:r>
            <w:r>
              <w:rPr>
                <w:rFonts w:ascii="宋体" w:hAnsi="宋体" w:eastAsia="宋体" w:cs="宋体"/>
                <w:spacing w:val="-3"/>
                <w:sz w:val="24"/>
                <w:szCs w:val="24"/>
              </w:rPr>
              <w:t>义</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方向</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x01</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机械登</w:t>
            </w:r>
            <w:r>
              <w:rPr>
                <w:rFonts w:ascii="宋体" w:hAnsi="宋体" w:eastAsia="宋体" w:cs="宋体"/>
                <w:spacing w:val="-1"/>
                <w:sz w:val="24"/>
                <w:szCs w:val="24"/>
              </w:rPr>
              <w:t>入</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x02</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实</w:t>
            </w:r>
            <w:r>
              <w:rPr>
                <w:rFonts w:ascii="宋体" w:hAnsi="宋体" w:eastAsia="宋体" w:cs="宋体"/>
                <w:spacing w:val="-2"/>
                <w:sz w:val="24"/>
                <w:szCs w:val="24"/>
              </w:rPr>
              <w:t>时信息上报</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x03</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补发</w:t>
            </w:r>
            <w:r>
              <w:rPr>
                <w:rFonts w:ascii="宋体" w:hAnsi="宋体" w:eastAsia="宋体" w:cs="宋体"/>
                <w:spacing w:val="-1"/>
                <w:sz w:val="24"/>
                <w:szCs w:val="24"/>
              </w:rPr>
              <w:t>信息上报</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0x04</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机械登</w:t>
            </w:r>
            <w:r>
              <w:rPr>
                <w:rFonts w:ascii="宋体" w:hAnsi="宋体" w:eastAsia="宋体" w:cs="宋体"/>
                <w:spacing w:val="-1"/>
                <w:sz w:val="24"/>
                <w:szCs w:val="24"/>
              </w:rPr>
              <w:t>出</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x06</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机械拆除报警信息</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x07</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平台登</w:t>
            </w:r>
            <w:r>
              <w:rPr>
                <w:rFonts w:ascii="宋体" w:hAnsi="宋体" w:eastAsia="宋体" w:cs="宋体"/>
                <w:spacing w:val="-1"/>
                <w:sz w:val="24"/>
                <w:szCs w:val="24"/>
              </w:rPr>
              <w:t>入</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x08</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平台登</w:t>
            </w:r>
            <w:r>
              <w:rPr>
                <w:rFonts w:ascii="宋体" w:hAnsi="宋体" w:eastAsia="宋体" w:cs="宋体"/>
                <w:spacing w:val="-1"/>
                <w:sz w:val="24"/>
                <w:szCs w:val="24"/>
              </w:rPr>
              <w:t>出</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x09</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平</w:t>
            </w:r>
            <w:r>
              <w:rPr>
                <w:rFonts w:ascii="宋体" w:hAnsi="宋体" w:eastAsia="宋体" w:cs="宋体"/>
                <w:spacing w:val="-1"/>
                <w:sz w:val="24"/>
                <w:szCs w:val="24"/>
              </w:rPr>
              <w:t>台密钥交换</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w:t>
            </w:r>
            <w:r>
              <w:rPr>
                <w:rFonts w:ascii="宋体" w:hAnsi="宋体" w:eastAsia="宋体" w:cs="宋体"/>
                <w:spacing w:val="-2"/>
                <w:sz w:val="24"/>
                <w:szCs w:val="24"/>
              </w:rPr>
              <w:t>行/下行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1"/>
                <w:position w:val="5"/>
                <w:sz w:val="24"/>
                <w:szCs w:val="24"/>
              </w:rPr>
              <w:t>0</w:t>
            </w:r>
            <w:r>
              <w:rPr>
                <w:rFonts w:ascii="宋体" w:hAnsi="宋体" w:eastAsia="宋体" w:cs="宋体"/>
                <w:position w:val="5"/>
                <w:sz w:val="24"/>
                <w:szCs w:val="24"/>
              </w:rPr>
              <w:t>x</w:t>
            </w:r>
            <w:r>
              <w:rPr>
                <w:rFonts w:ascii="宋体" w:hAnsi="宋体" w:eastAsia="宋体" w:cs="宋体"/>
                <w:spacing w:val="29"/>
                <w:position w:val="5"/>
                <w:sz w:val="24"/>
                <w:szCs w:val="24"/>
              </w:rPr>
              <w:t>0</w:t>
            </w:r>
            <w:r>
              <w:rPr>
                <w:rFonts w:ascii="宋体" w:hAnsi="宋体" w:eastAsia="宋体" w:cs="宋体"/>
                <w:position w:val="5"/>
                <w:sz w:val="24"/>
                <w:szCs w:val="24"/>
              </w:rPr>
              <w:t>A</w:t>
            </w:r>
            <w:r>
              <w:rPr>
                <w:rFonts w:ascii="宋体" w:hAnsi="宋体" w:eastAsia="宋体" w:cs="宋体"/>
                <w:spacing w:val="29"/>
                <w:position w:val="5"/>
                <w:sz w:val="24"/>
                <w:szCs w:val="24"/>
              </w:rPr>
              <w:t>~</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x7F</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上行</w:t>
            </w:r>
            <w:r>
              <w:rPr>
                <w:rFonts w:ascii="宋体" w:hAnsi="宋体" w:eastAsia="宋体" w:cs="宋体"/>
                <w:spacing w:val="-1"/>
                <w:sz w:val="24"/>
                <w:szCs w:val="24"/>
              </w:rPr>
              <w:t>数据系统预留</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上行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3"/>
                <w:position w:val="5"/>
                <w:sz w:val="24"/>
                <w:szCs w:val="24"/>
              </w:rPr>
              <w:t>0</w:t>
            </w:r>
            <w:r>
              <w:rPr>
                <w:rFonts w:ascii="宋体" w:hAnsi="宋体" w:eastAsia="宋体" w:cs="宋体"/>
                <w:position w:val="5"/>
                <w:sz w:val="24"/>
                <w:szCs w:val="24"/>
              </w:rPr>
              <w:t>x</w:t>
            </w:r>
            <w:r>
              <w:rPr>
                <w:rFonts w:ascii="宋体" w:hAnsi="宋体" w:eastAsia="宋体" w:cs="宋体"/>
                <w:spacing w:val="22"/>
                <w:position w:val="5"/>
                <w:sz w:val="24"/>
                <w:szCs w:val="24"/>
              </w:rPr>
              <w:t>83~</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xBF</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下行数据系统预</w:t>
            </w:r>
            <w:r>
              <w:rPr>
                <w:rFonts w:ascii="宋体" w:hAnsi="宋体" w:eastAsia="宋体" w:cs="宋体"/>
                <w:spacing w:val="-1"/>
                <w:sz w:val="24"/>
                <w:szCs w:val="24"/>
              </w:rPr>
              <w:t>留</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5"/>
                <w:sz w:val="24"/>
                <w:szCs w:val="24"/>
              </w:rPr>
              <w:t>下</w:t>
            </w:r>
            <w:r>
              <w:rPr>
                <w:rFonts w:ascii="宋体" w:hAnsi="宋体" w:eastAsia="宋体" w:cs="宋体"/>
                <w:spacing w:val="-4"/>
                <w:sz w:val="24"/>
                <w:szCs w:val="24"/>
              </w:rPr>
              <w:t>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1"/>
                <w:sz w:val="24"/>
                <w:szCs w:val="24"/>
              </w:rPr>
              <w:t>0</w:t>
            </w:r>
            <w:r>
              <w:rPr>
                <w:rFonts w:ascii="宋体" w:hAnsi="宋体" w:eastAsia="宋体" w:cs="宋体"/>
                <w:sz w:val="24"/>
                <w:szCs w:val="24"/>
              </w:rPr>
              <w:t>xC</w:t>
            </w:r>
            <w:r>
              <w:rPr>
                <w:rFonts w:ascii="宋体" w:hAnsi="宋体" w:eastAsia="宋体" w:cs="宋体"/>
                <w:spacing w:val="29"/>
                <w:sz w:val="24"/>
                <w:szCs w:val="24"/>
              </w:rPr>
              <w:t>0~</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平台交换自定义数</w:t>
            </w:r>
            <w:r>
              <w:rPr>
                <w:rFonts w:ascii="宋体" w:hAnsi="宋体" w:eastAsia="宋体" w:cs="宋体"/>
                <w:sz w:val="24"/>
                <w:szCs w:val="24"/>
              </w:rPr>
              <w:t>据</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leftChars="0" w:right="0"/>
              <w:jc w:val="center"/>
              <w:rPr>
                <w:rFonts w:ascii="宋体" w:hAnsi="宋体" w:eastAsia="宋体" w:cs="宋体"/>
                <w:spacing w:val="31"/>
                <w:sz w:val="24"/>
                <w:szCs w:val="24"/>
              </w:rPr>
            </w:pPr>
            <w:r>
              <w:rPr>
                <w:rFonts w:ascii="宋体" w:hAnsi="宋体" w:eastAsia="宋体" w:cs="宋体"/>
                <w:spacing w:val="-3"/>
                <w:sz w:val="24"/>
                <w:szCs w:val="24"/>
              </w:rPr>
              <w:t>0</w:t>
            </w:r>
            <w:r>
              <w:rPr>
                <w:rFonts w:ascii="宋体" w:hAnsi="宋体" w:eastAsia="宋体" w:cs="宋体"/>
                <w:spacing w:val="-2"/>
                <w:sz w:val="24"/>
                <w:szCs w:val="24"/>
              </w:rPr>
              <w:t>xFE</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pacing w:val="-1"/>
                <w:sz w:val="24"/>
                <w:szCs w:val="24"/>
              </w:rPr>
            </w:pP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1230" w:type="dxa"/>
            <w:noWrap w:val="0"/>
            <w:vAlign w:val="top"/>
          </w:tcPr>
          <w:p>
            <w:pPr>
              <w:keepNext w:val="0"/>
              <w:keepLines w:val="0"/>
              <w:pageBreakBefore w:val="0"/>
              <w:widowControl w:val="0"/>
              <w:kinsoku/>
              <w:wordWrap/>
              <w:overflowPunct/>
              <w:topLinePunct w:val="0"/>
              <w:bidi w:val="0"/>
              <w:snapToGrid/>
              <w:spacing w:line="360" w:lineRule="auto"/>
              <w:ind w:left="0" w:leftChars="0" w:right="0"/>
              <w:jc w:val="center"/>
              <w:rPr>
                <w:rFonts w:ascii="宋体" w:hAnsi="宋体" w:eastAsia="宋体" w:cs="宋体"/>
                <w:spacing w:val="31"/>
                <w:sz w:val="24"/>
                <w:szCs w:val="24"/>
              </w:rPr>
            </w:pPr>
            <w:r>
              <w:rPr>
                <w:rFonts w:ascii="宋体" w:hAnsi="宋体" w:eastAsia="宋体" w:cs="宋体"/>
                <w:spacing w:val="-3"/>
                <w:sz w:val="24"/>
                <w:szCs w:val="24"/>
              </w:rPr>
              <w:t>0</w:t>
            </w:r>
            <w:r>
              <w:rPr>
                <w:rFonts w:ascii="宋体" w:hAnsi="宋体" w:eastAsia="宋体" w:cs="宋体"/>
                <w:spacing w:val="-2"/>
                <w:sz w:val="24"/>
                <w:szCs w:val="24"/>
              </w:rPr>
              <w:t>x80</w:t>
            </w:r>
          </w:p>
        </w:tc>
        <w:tc>
          <w:tcPr>
            <w:tcW w:w="232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leftChars="0" w:right="0"/>
              <w:jc w:val="center"/>
              <w:rPr>
                <w:rFonts w:ascii="宋体" w:hAnsi="宋体" w:eastAsia="宋体" w:cs="宋体"/>
                <w:spacing w:val="-1"/>
                <w:sz w:val="24"/>
                <w:szCs w:val="24"/>
              </w:rPr>
            </w:pPr>
            <w:r>
              <w:rPr>
                <w:rFonts w:ascii="宋体" w:hAnsi="宋体" w:eastAsia="宋体" w:cs="宋体"/>
                <w:spacing w:val="-2"/>
                <w:sz w:val="24"/>
                <w:szCs w:val="24"/>
              </w:rPr>
              <w:t>平台心</w:t>
            </w:r>
            <w:r>
              <w:rPr>
                <w:rFonts w:ascii="宋体" w:hAnsi="宋体" w:eastAsia="宋体" w:cs="宋体"/>
                <w:spacing w:val="-1"/>
                <w:sz w:val="24"/>
                <w:szCs w:val="24"/>
              </w:rPr>
              <w:t>跳</w:t>
            </w:r>
          </w:p>
        </w:tc>
        <w:tc>
          <w:tcPr>
            <w:tcW w:w="47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leftChars="0" w:right="0"/>
              <w:jc w:val="center"/>
              <w:rPr>
                <w:rFonts w:ascii="Arial"/>
                <w:sz w:val="21"/>
              </w:rPr>
            </w:pPr>
            <w:r>
              <w:rPr>
                <w:rFonts w:ascii="宋体" w:hAnsi="宋体" w:eastAsia="宋体" w:cs="宋体"/>
                <w:spacing w:val="-3"/>
                <w:sz w:val="24"/>
                <w:szCs w:val="24"/>
              </w:rPr>
              <w:t>上</w:t>
            </w:r>
            <w:r>
              <w:rPr>
                <w:rFonts w:ascii="宋体" w:hAnsi="宋体" w:eastAsia="宋体" w:cs="宋体"/>
                <w:spacing w:val="-2"/>
                <w:sz w:val="24"/>
                <w:szCs w:val="24"/>
              </w:rPr>
              <w:t>行/下行</w:t>
            </w:r>
          </w:p>
        </w:tc>
      </w:tr>
    </w:tbl>
    <w:p>
      <w:pPr>
        <w:bidi w:val="0"/>
        <w:jc w:val="both"/>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bidi w:val="0"/>
        <w:rPr>
          <w:rFonts w:hint="eastAsia" w:ascii="宋体" w:hAnsi="宋体" w:cs="宋体"/>
          <w:color w:val="0000FF"/>
          <w:sz w:val="24"/>
          <w:szCs w:val="24"/>
        </w:rPr>
      </w:pP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5.3.4.4.2应答标志</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命令的主动发起方应答标志为0xFE，表示此包为命令包；当应答标志不是0xFE时，被动接收方不应应答。当命令的被动接收方应答标志不是0xFE，此包表示为应答包。</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当市平台、企业平台发送应答时，只需变更应答标志、应答报文时间，删除其余报文内容，并重新计算校验位即可。</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ascii="宋体" w:hAnsi="宋体" w:eastAsia="宋体" w:cs="宋体"/>
          <w:sz w:val="24"/>
          <w:szCs w:val="24"/>
        </w:rPr>
      </w:pPr>
      <w:r>
        <w:rPr>
          <w:rFonts w:hint="eastAsia" w:ascii="宋体" w:hAnsi="宋体" w:eastAsia="宋体" w:cs="宋体"/>
          <w:bCs/>
          <w:sz w:val="24"/>
          <w:szCs w:val="24"/>
          <w:highlight w:val="none"/>
          <w:lang w:val="en-US" w:eastAsia="zh-CN"/>
        </w:rPr>
        <w:t>应答标志定义见表12。</w:t>
      </w:r>
    </w:p>
    <w:p>
      <w:pPr>
        <w:bidi w:val="0"/>
        <w:jc w:val="center"/>
        <w:rPr>
          <w:rFonts w:ascii="宋体" w:hAnsi="宋体" w:eastAsia="宋体" w:cs="宋体"/>
          <w:sz w:val="24"/>
          <w:szCs w:val="24"/>
        </w:rPr>
      </w:pPr>
    </w:p>
    <w:p>
      <w:pPr>
        <w:bidi w:val="0"/>
        <w:jc w:val="center"/>
      </w:pPr>
      <w:r>
        <w:rPr>
          <w:rFonts w:ascii="宋体" w:hAnsi="宋体" w:eastAsia="宋体" w:cs="宋体"/>
          <w:sz w:val="24"/>
          <w:szCs w:val="24"/>
        </w:rPr>
        <w:t>表12应答标志定义</w:t>
      </w:r>
    </w:p>
    <w:tbl>
      <w:tblPr>
        <w:tblStyle w:val="60"/>
        <w:tblW w:w="8447" w:type="dxa"/>
        <w:tblInd w:w="8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5"/>
        <w:gridCol w:w="1770"/>
        <w:gridCol w:w="540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27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编</w:t>
            </w:r>
            <w:r>
              <w:rPr>
                <w:rFonts w:ascii="宋体" w:hAnsi="宋体" w:eastAsia="宋体" w:cs="宋体"/>
                <w:spacing w:val="-2"/>
                <w:sz w:val="24"/>
                <w:szCs w:val="24"/>
              </w:rPr>
              <w:t>码</w:t>
            </w:r>
          </w:p>
        </w:tc>
        <w:tc>
          <w:tcPr>
            <w:tcW w:w="177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定</w:t>
            </w:r>
            <w:r>
              <w:rPr>
                <w:rFonts w:ascii="宋体" w:hAnsi="宋体" w:eastAsia="宋体" w:cs="宋体"/>
                <w:spacing w:val="-3"/>
                <w:sz w:val="24"/>
                <w:szCs w:val="24"/>
              </w:rPr>
              <w:t>义</w:t>
            </w:r>
          </w:p>
        </w:tc>
        <w:tc>
          <w:tcPr>
            <w:tcW w:w="54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说</w:t>
            </w:r>
            <w:r>
              <w:rPr>
                <w:rFonts w:ascii="宋体" w:hAnsi="宋体" w:eastAsia="宋体" w:cs="宋体"/>
                <w:spacing w:val="-2"/>
                <w:sz w:val="24"/>
                <w:szCs w:val="24"/>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127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x01</w:t>
            </w:r>
          </w:p>
        </w:tc>
        <w:tc>
          <w:tcPr>
            <w:tcW w:w="177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成功</w:t>
            </w:r>
          </w:p>
        </w:tc>
        <w:tc>
          <w:tcPr>
            <w:tcW w:w="54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接收到的信息正确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127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x02</w:t>
            </w:r>
          </w:p>
        </w:tc>
        <w:tc>
          <w:tcPr>
            <w:tcW w:w="177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修</w:t>
            </w:r>
            <w:r>
              <w:rPr>
                <w:rFonts w:ascii="宋体" w:hAnsi="宋体" w:eastAsia="宋体" w:cs="宋体"/>
                <w:spacing w:val="-2"/>
                <w:sz w:val="24"/>
                <w:szCs w:val="24"/>
              </w:rPr>
              <w:t>改错</w:t>
            </w:r>
          </w:p>
        </w:tc>
        <w:tc>
          <w:tcPr>
            <w:tcW w:w="54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3"/>
                <w:sz w:val="24"/>
                <w:szCs w:val="24"/>
              </w:rPr>
              <w:t>设</w:t>
            </w:r>
            <w:r>
              <w:rPr>
                <w:rFonts w:ascii="宋体" w:hAnsi="宋体" w:eastAsia="宋体" w:cs="宋体"/>
                <w:spacing w:val="-2"/>
                <w:sz w:val="24"/>
                <w:szCs w:val="24"/>
              </w:rPr>
              <w:t>置未成功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127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x03</w:t>
            </w:r>
          </w:p>
        </w:tc>
        <w:tc>
          <w:tcPr>
            <w:tcW w:w="177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4"/>
                <w:szCs w:val="24"/>
              </w:rPr>
            </w:pPr>
            <w:r>
              <w:rPr>
                <w:rFonts w:ascii="宋体" w:hAnsi="宋体" w:eastAsia="宋体" w:cs="宋体"/>
                <w:spacing w:val="-2"/>
                <w:sz w:val="24"/>
                <w:szCs w:val="24"/>
              </w:rPr>
              <w:t>环保</w:t>
            </w:r>
            <w:r>
              <w:rPr>
                <w:rFonts w:ascii="宋体" w:hAnsi="宋体" w:eastAsia="宋体" w:cs="宋体"/>
                <w:spacing w:val="-1"/>
                <w:sz w:val="24"/>
                <w:szCs w:val="24"/>
              </w:rPr>
              <w:t>登记号码</w:t>
            </w:r>
          </w:p>
        </w:tc>
        <w:tc>
          <w:tcPr>
            <w:tcW w:w="54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环保登记号码重复错</w:t>
            </w:r>
            <w:r>
              <w:rPr>
                <w:rFonts w:ascii="宋体" w:hAnsi="宋体" w:eastAsia="宋体" w:cs="宋体"/>
                <w:sz w:val="24"/>
                <w:szCs w:val="24"/>
              </w:rPr>
              <w:t>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1275"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0</w:t>
            </w:r>
            <w:r>
              <w:rPr>
                <w:rFonts w:ascii="宋体" w:hAnsi="宋体" w:eastAsia="宋体" w:cs="宋体"/>
                <w:spacing w:val="-2"/>
                <w:sz w:val="24"/>
                <w:szCs w:val="24"/>
              </w:rPr>
              <w:t>xFE</w:t>
            </w:r>
          </w:p>
        </w:tc>
        <w:tc>
          <w:tcPr>
            <w:tcW w:w="177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命</w:t>
            </w:r>
            <w:r>
              <w:rPr>
                <w:rFonts w:ascii="宋体" w:hAnsi="宋体" w:eastAsia="宋体" w:cs="宋体"/>
                <w:spacing w:val="-2"/>
                <w:sz w:val="24"/>
                <w:szCs w:val="24"/>
              </w:rPr>
              <w:t>令</w:t>
            </w:r>
          </w:p>
        </w:tc>
        <w:tc>
          <w:tcPr>
            <w:tcW w:w="5402"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表示数据包为命令</w:t>
            </w:r>
            <w:r>
              <w:rPr>
                <w:rFonts w:ascii="宋体" w:hAnsi="宋体" w:eastAsia="宋体" w:cs="宋体"/>
                <w:sz w:val="24"/>
                <w:szCs w:val="24"/>
              </w:rPr>
              <w:t>包，而非应答包</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5.3.5时间</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时间应符合</w:t>
      </w:r>
      <w:r>
        <w:rPr>
          <w:rFonts w:hint="eastAsia" w:asciiTheme="minorEastAsia" w:hAnsiTheme="minorEastAsia" w:eastAsiaTheme="minorEastAsia" w:cstheme="minorEastAsia"/>
          <w:bCs/>
          <w:sz w:val="24"/>
          <w:szCs w:val="24"/>
          <w:highlight w:val="none"/>
          <w:u w:val="none"/>
          <w:lang w:val="en-US" w:eastAsia="zh-CN"/>
        </w:rPr>
        <w:t>《电动汽车远程服务与管理系统技术规范 第3部分：通信协议及数据格式》（GB/T32960.3）</w:t>
      </w:r>
      <w:r>
        <w:rPr>
          <w:rFonts w:hint="eastAsia" w:asciiTheme="minorEastAsia" w:hAnsiTheme="minorEastAsia" w:eastAsiaTheme="minorEastAsia" w:cstheme="minorEastAsia"/>
          <w:bCs/>
          <w:sz w:val="24"/>
          <w:szCs w:val="24"/>
          <w:highlight w:val="none"/>
          <w:lang w:val="en-US" w:eastAsia="zh-CN"/>
        </w:rPr>
        <w:t>第6.4要求。</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5.3.6数据单元格式和定义</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5.3.6.1平台登入</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平台登入数据格式和定义见表13。</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表13平</w:t>
      </w:r>
      <w:r>
        <w:rPr>
          <w:rFonts w:ascii="宋体" w:hAnsi="宋体" w:eastAsia="宋体" w:cs="宋体"/>
          <w:sz w:val="24"/>
          <w:szCs w:val="24"/>
        </w:rPr>
        <w:t>台登入数据格式和定义</w:t>
      </w:r>
    </w:p>
    <w:tbl>
      <w:tblPr>
        <w:tblStyle w:val="60"/>
        <w:tblW w:w="911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70"/>
        <w:gridCol w:w="1590"/>
        <w:gridCol w:w="1351"/>
        <w:gridCol w:w="42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197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1"/>
                <w:sz w:val="24"/>
                <w:szCs w:val="24"/>
              </w:rPr>
            </w:pPr>
            <w:r>
              <w:rPr>
                <w:rFonts w:ascii="宋体" w:hAnsi="宋体" w:eastAsia="宋体" w:cs="宋体"/>
                <w:spacing w:val="-1"/>
                <w:sz w:val="24"/>
                <w:szCs w:val="24"/>
              </w:rPr>
              <w:t>数据表示内容</w:t>
            </w:r>
          </w:p>
        </w:tc>
        <w:tc>
          <w:tcPr>
            <w:tcW w:w="159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1"/>
                <w:sz w:val="24"/>
                <w:szCs w:val="24"/>
              </w:rPr>
            </w:pPr>
            <w:r>
              <w:rPr>
                <w:rFonts w:ascii="宋体" w:hAnsi="宋体" w:eastAsia="宋体" w:cs="宋体"/>
                <w:spacing w:val="-1"/>
                <w:sz w:val="24"/>
                <w:szCs w:val="24"/>
              </w:rPr>
              <w:t>长度(字节)</w:t>
            </w:r>
          </w:p>
        </w:tc>
        <w:tc>
          <w:tcPr>
            <w:tcW w:w="1351"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1"/>
                <w:sz w:val="24"/>
                <w:szCs w:val="24"/>
              </w:rPr>
            </w:pPr>
            <w:r>
              <w:rPr>
                <w:rFonts w:ascii="宋体" w:hAnsi="宋体" w:eastAsia="宋体" w:cs="宋体"/>
                <w:spacing w:val="-1"/>
                <w:sz w:val="24"/>
                <w:szCs w:val="24"/>
              </w:rPr>
              <w:t>数据类型</w:t>
            </w:r>
          </w:p>
        </w:tc>
        <w:tc>
          <w:tcPr>
            <w:tcW w:w="4205"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1"/>
                <w:sz w:val="24"/>
                <w:szCs w:val="24"/>
              </w:rPr>
            </w:pPr>
            <w:r>
              <w:rPr>
                <w:rFonts w:ascii="宋体" w:hAnsi="宋体" w:eastAsia="宋体" w:cs="宋体"/>
                <w:spacing w:val="-1"/>
                <w:sz w:val="24"/>
                <w:szCs w:val="24"/>
              </w:rPr>
              <w:t>描述及要求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197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leftChars="0" w:right="0" w:firstLine="0" w:firstLineChars="0"/>
              <w:rPr>
                <w:rFonts w:ascii="宋体" w:hAnsi="宋体" w:eastAsia="宋体" w:cs="宋体"/>
                <w:sz w:val="24"/>
                <w:szCs w:val="24"/>
              </w:rPr>
            </w:pPr>
            <w:r>
              <w:rPr>
                <w:rFonts w:ascii="宋体" w:hAnsi="宋体" w:eastAsia="宋体" w:cs="宋体"/>
                <w:spacing w:val="-2"/>
                <w:sz w:val="24"/>
                <w:szCs w:val="24"/>
              </w:rPr>
              <w:t>平</w:t>
            </w:r>
            <w:r>
              <w:rPr>
                <w:rFonts w:ascii="宋体" w:hAnsi="宋体" w:eastAsia="宋体" w:cs="宋体"/>
                <w:spacing w:val="-1"/>
                <w:sz w:val="24"/>
                <w:szCs w:val="24"/>
              </w:rPr>
              <w:t>台登入时间</w:t>
            </w:r>
          </w:p>
        </w:tc>
        <w:tc>
          <w:tcPr>
            <w:tcW w:w="159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z w:val="24"/>
                <w:szCs w:val="24"/>
              </w:rPr>
              <w:t>6</w:t>
            </w:r>
          </w:p>
        </w:tc>
        <w:tc>
          <w:tcPr>
            <w:tcW w:w="1351"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B</w:t>
            </w:r>
            <w:r>
              <w:rPr>
                <w:rFonts w:ascii="宋体" w:hAnsi="宋体" w:eastAsia="宋体" w:cs="宋体"/>
                <w:sz w:val="24"/>
                <w:szCs w:val="24"/>
              </w:rPr>
              <w:t>YTE</w:t>
            </w:r>
            <w:r>
              <w:rPr>
                <w:rFonts w:ascii="宋体" w:hAnsi="宋体" w:eastAsia="宋体" w:cs="宋体"/>
                <w:spacing w:val="-1"/>
                <w:sz w:val="24"/>
                <w:szCs w:val="24"/>
              </w:rPr>
              <w:t>[6]</w:t>
            </w:r>
          </w:p>
        </w:tc>
        <w:tc>
          <w:tcPr>
            <w:tcW w:w="4205"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leftChars="0" w:right="0" w:firstLine="0" w:firstLineChars="0"/>
              <w:rPr>
                <w:rFonts w:ascii="宋体" w:hAnsi="宋体" w:eastAsia="宋体" w:cs="宋体"/>
                <w:sz w:val="24"/>
                <w:szCs w:val="24"/>
                <w:highlight w:val="yellow"/>
              </w:rPr>
            </w:pPr>
            <w:r>
              <w:rPr>
                <w:rFonts w:ascii="宋体" w:hAnsi="宋体" w:eastAsia="宋体" w:cs="宋体"/>
                <w:spacing w:val="-1"/>
                <w:sz w:val="24"/>
                <w:szCs w:val="24"/>
                <w:highlight w:val="none"/>
              </w:rPr>
              <w:t>时间应符合</w:t>
            </w:r>
            <w:r>
              <w:rPr>
                <w:rFonts w:hint="eastAsia" w:ascii="宋体" w:hAnsi="宋体" w:cs="宋体"/>
                <w:sz w:val="24"/>
                <w:szCs w:val="24"/>
                <w:highlight w:val="none"/>
                <w:lang w:eastAsia="zh-CN"/>
              </w:rPr>
              <w:t>GB/T32960.3-2016第</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.4</w:t>
            </w:r>
            <w:r>
              <w:rPr>
                <w:rFonts w:ascii="宋体" w:hAnsi="宋体" w:eastAsia="宋体" w:cs="宋体"/>
                <w:spacing w:val="-4"/>
                <w:sz w:val="24"/>
                <w:szCs w:val="24"/>
                <w:highlight w:val="none"/>
              </w:rPr>
              <w:t>要</w:t>
            </w:r>
            <w:r>
              <w:rPr>
                <w:rFonts w:ascii="宋体" w:hAnsi="宋体" w:eastAsia="宋体" w:cs="宋体"/>
                <w:spacing w:val="-2"/>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jc w:val="center"/>
        </w:trPr>
        <w:tc>
          <w:tcPr>
            <w:tcW w:w="197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登</w:t>
            </w:r>
            <w:r>
              <w:rPr>
                <w:rFonts w:ascii="宋体" w:hAnsi="宋体" w:eastAsia="宋体" w:cs="宋体"/>
                <w:spacing w:val="-2"/>
                <w:sz w:val="24"/>
                <w:szCs w:val="24"/>
              </w:rPr>
              <w:t>入流水号</w:t>
            </w:r>
          </w:p>
        </w:tc>
        <w:tc>
          <w:tcPr>
            <w:tcW w:w="159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z w:val="24"/>
                <w:szCs w:val="24"/>
              </w:rPr>
              <w:t>2</w:t>
            </w:r>
          </w:p>
        </w:tc>
        <w:tc>
          <w:tcPr>
            <w:tcW w:w="1351"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WO</w:t>
            </w:r>
            <w:r>
              <w:rPr>
                <w:rFonts w:ascii="宋体" w:hAnsi="宋体" w:eastAsia="宋体" w:cs="宋体"/>
                <w:sz w:val="24"/>
                <w:szCs w:val="24"/>
              </w:rPr>
              <w:t>RD</w:t>
            </w:r>
          </w:p>
        </w:tc>
        <w:tc>
          <w:tcPr>
            <w:tcW w:w="4205"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2"/>
              <w:rPr>
                <w:rFonts w:ascii="宋体" w:hAnsi="宋体" w:eastAsia="宋体" w:cs="宋体"/>
                <w:sz w:val="24"/>
                <w:szCs w:val="24"/>
              </w:rPr>
            </w:pPr>
            <w:r>
              <w:rPr>
                <w:rFonts w:ascii="宋体" w:hAnsi="宋体" w:eastAsia="宋体" w:cs="宋体"/>
                <w:spacing w:val="-1"/>
                <w:sz w:val="24"/>
                <w:szCs w:val="24"/>
              </w:rPr>
              <w:t>平台每登入一次，登</w:t>
            </w:r>
            <w:r>
              <w:rPr>
                <w:rFonts w:ascii="宋体" w:hAnsi="宋体" w:eastAsia="宋体" w:cs="宋体"/>
                <w:sz w:val="24"/>
                <w:szCs w:val="24"/>
              </w:rPr>
              <w:t>入流水号自动加</w:t>
            </w:r>
            <w:r>
              <w:rPr>
                <w:rFonts w:ascii="宋体" w:hAnsi="宋体" w:eastAsia="宋体" w:cs="宋体"/>
                <w:spacing w:val="-1"/>
                <w:sz w:val="24"/>
                <w:szCs w:val="24"/>
              </w:rPr>
              <w:t>1，从1开始循环累加，最</w:t>
            </w:r>
            <w:r>
              <w:rPr>
                <w:rFonts w:ascii="宋体" w:hAnsi="宋体" w:eastAsia="宋体" w:cs="宋体"/>
                <w:sz w:val="24"/>
                <w:szCs w:val="24"/>
              </w:rPr>
              <w:t>大值为</w:t>
            </w:r>
            <w:r>
              <w:rPr>
                <w:rFonts w:ascii="宋体" w:hAnsi="宋体" w:eastAsia="宋体" w:cs="宋体"/>
                <w:spacing w:val="-2"/>
                <w:sz w:val="24"/>
                <w:szCs w:val="24"/>
              </w:rPr>
              <w:t>65531，循环周</w:t>
            </w:r>
            <w:r>
              <w:rPr>
                <w:rFonts w:ascii="宋体" w:hAnsi="宋体" w:eastAsia="宋体" w:cs="宋体"/>
                <w:spacing w:val="-1"/>
                <w:sz w:val="24"/>
                <w:szCs w:val="24"/>
              </w:rPr>
              <w:t>期为天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jc w:val="center"/>
        </w:trPr>
        <w:tc>
          <w:tcPr>
            <w:tcW w:w="197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平台</w:t>
            </w:r>
            <w:r>
              <w:rPr>
                <w:rFonts w:ascii="宋体" w:hAnsi="宋体" w:eastAsia="宋体" w:cs="宋体"/>
                <w:spacing w:val="-1"/>
                <w:sz w:val="24"/>
                <w:szCs w:val="24"/>
              </w:rPr>
              <w:t>用户名</w:t>
            </w:r>
          </w:p>
        </w:tc>
        <w:tc>
          <w:tcPr>
            <w:tcW w:w="159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6"/>
                <w:sz w:val="24"/>
                <w:szCs w:val="24"/>
              </w:rPr>
              <w:t>2</w:t>
            </w:r>
          </w:p>
        </w:tc>
        <w:tc>
          <w:tcPr>
            <w:tcW w:w="1351"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STR</w:t>
            </w:r>
            <w:r>
              <w:rPr>
                <w:rFonts w:ascii="宋体" w:hAnsi="宋体" w:eastAsia="宋体" w:cs="宋体"/>
                <w:spacing w:val="-1"/>
                <w:sz w:val="24"/>
                <w:szCs w:val="24"/>
              </w:rPr>
              <w:t>ING</w:t>
            </w:r>
          </w:p>
        </w:tc>
        <w:tc>
          <w:tcPr>
            <w:tcW w:w="4205"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平</w:t>
            </w:r>
            <w:r>
              <w:rPr>
                <w:rFonts w:ascii="宋体" w:hAnsi="宋体" w:eastAsia="宋体" w:cs="宋体"/>
                <w:spacing w:val="-1"/>
                <w:sz w:val="24"/>
                <w:szCs w:val="24"/>
              </w:rPr>
              <w:t>台登入用户名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jc w:val="center"/>
        </w:trPr>
        <w:tc>
          <w:tcPr>
            <w:tcW w:w="197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平台密</w:t>
            </w:r>
            <w:r>
              <w:rPr>
                <w:rFonts w:ascii="宋体" w:hAnsi="宋体" w:eastAsia="宋体" w:cs="宋体"/>
                <w:spacing w:val="-1"/>
                <w:sz w:val="24"/>
                <w:szCs w:val="24"/>
              </w:rPr>
              <w:t>码</w:t>
            </w:r>
          </w:p>
        </w:tc>
        <w:tc>
          <w:tcPr>
            <w:tcW w:w="159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2</w:t>
            </w:r>
            <w:r>
              <w:rPr>
                <w:rFonts w:ascii="宋体" w:hAnsi="宋体" w:eastAsia="宋体" w:cs="宋体"/>
                <w:spacing w:val="-3"/>
                <w:sz w:val="24"/>
                <w:szCs w:val="24"/>
              </w:rPr>
              <w:t>0</w:t>
            </w:r>
          </w:p>
        </w:tc>
        <w:tc>
          <w:tcPr>
            <w:tcW w:w="1351"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STR</w:t>
            </w:r>
            <w:r>
              <w:rPr>
                <w:rFonts w:ascii="宋体" w:hAnsi="宋体" w:eastAsia="宋体" w:cs="宋体"/>
                <w:spacing w:val="-1"/>
                <w:sz w:val="24"/>
                <w:szCs w:val="24"/>
              </w:rPr>
              <w:t>ING</w:t>
            </w:r>
          </w:p>
        </w:tc>
        <w:tc>
          <w:tcPr>
            <w:tcW w:w="4205"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平台</w:t>
            </w:r>
            <w:r>
              <w:rPr>
                <w:rFonts w:ascii="宋体" w:hAnsi="宋体" w:eastAsia="宋体" w:cs="宋体"/>
                <w:spacing w:val="-1"/>
                <w:sz w:val="24"/>
                <w:szCs w:val="24"/>
              </w:rPr>
              <w:t>登入密码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4" w:hRule="atLeast"/>
          <w:jc w:val="center"/>
        </w:trPr>
        <w:tc>
          <w:tcPr>
            <w:tcW w:w="197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加密规则</w:t>
            </w:r>
          </w:p>
        </w:tc>
        <w:tc>
          <w:tcPr>
            <w:tcW w:w="1590"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z w:val="24"/>
                <w:szCs w:val="24"/>
              </w:rPr>
              <w:t>1</w:t>
            </w:r>
          </w:p>
        </w:tc>
        <w:tc>
          <w:tcPr>
            <w:tcW w:w="1351"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Arial"/>
                <w:sz w:val="21"/>
              </w:rPr>
            </w:pP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4205"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2"/>
                <w:sz w:val="24"/>
                <w:szCs w:val="24"/>
              </w:rPr>
              <w:t>0</w:t>
            </w:r>
            <w:r>
              <w:rPr>
                <w:rFonts w:ascii="宋体" w:hAnsi="宋体" w:eastAsia="宋体" w:cs="宋体"/>
                <w:spacing w:val="-6"/>
                <w:sz w:val="24"/>
                <w:szCs w:val="24"/>
              </w:rPr>
              <w:t>x</w:t>
            </w:r>
            <w:r>
              <w:rPr>
                <w:rFonts w:ascii="宋体" w:hAnsi="宋体" w:eastAsia="宋体" w:cs="宋体"/>
                <w:spacing w:val="-12"/>
                <w:sz w:val="24"/>
                <w:szCs w:val="24"/>
              </w:rPr>
              <w:t>0</w:t>
            </w:r>
            <w:r>
              <w:rPr>
                <w:rFonts w:ascii="宋体" w:hAnsi="宋体" w:eastAsia="宋体" w:cs="宋体"/>
                <w:spacing w:val="-9"/>
                <w:sz w:val="24"/>
                <w:szCs w:val="24"/>
              </w:rPr>
              <w:t>1</w:t>
            </w:r>
            <w:r>
              <w:rPr>
                <w:rFonts w:ascii="宋体" w:hAnsi="宋体" w:eastAsia="宋体" w:cs="宋体"/>
                <w:spacing w:val="-6"/>
                <w:sz w:val="24"/>
                <w:szCs w:val="24"/>
              </w:rPr>
              <w:t>：数据不加密；0x02：数据经过</w:t>
            </w:r>
            <w:r>
              <w:rPr>
                <w:rFonts w:ascii="宋体" w:hAnsi="宋体" w:eastAsia="宋体" w:cs="宋体"/>
                <w:spacing w:val="-5"/>
                <w:sz w:val="24"/>
                <w:szCs w:val="24"/>
              </w:rPr>
              <w:t>SM</w:t>
            </w:r>
            <w:r>
              <w:rPr>
                <w:rFonts w:ascii="宋体" w:hAnsi="宋体" w:eastAsia="宋体" w:cs="宋体"/>
                <w:spacing w:val="-10"/>
                <w:sz w:val="24"/>
                <w:szCs w:val="24"/>
              </w:rPr>
              <w:t>2算法</w:t>
            </w:r>
            <w:r>
              <w:rPr>
                <w:rFonts w:ascii="宋体" w:hAnsi="宋体" w:eastAsia="宋体" w:cs="宋体"/>
                <w:spacing w:val="-5"/>
                <w:sz w:val="24"/>
                <w:szCs w:val="24"/>
              </w:rPr>
              <w:t>加密；0x03:数据经过SM4位算</w:t>
            </w:r>
            <w:r>
              <w:rPr>
                <w:rFonts w:ascii="宋体" w:hAnsi="宋体" w:eastAsia="宋体" w:cs="宋体"/>
                <w:spacing w:val="-12"/>
                <w:sz w:val="24"/>
                <w:szCs w:val="24"/>
              </w:rPr>
              <w:t>法</w:t>
            </w:r>
            <w:r>
              <w:rPr>
                <w:rFonts w:ascii="宋体" w:hAnsi="宋体" w:eastAsia="宋体" w:cs="宋体"/>
                <w:spacing w:val="-10"/>
                <w:sz w:val="24"/>
                <w:szCs w:val="24"/>
              </w:rPr>
              <w:t>加</w:t>
            </w:r>
            <w:r>
              <w:rPr>
                <w:rFonts w:ascii="宋体" w:hAnsi="宋体" w:eastAsia="宋体" w:cs="宋体"/>
                <w:spacing w:val="-6"/>
                <w:sz w:val="24"/>
                <w:szCs w:val="24"/>
              </w:rPr>
              <w:t>密；0x04：数据经过RSA算法加密；0x05:数据经过AE</w:t>
            </w:r>
            <w:r>
              <w:rPr>
                <w:rFonts w:ascii="宋体" w:hAnsi="宋体" w:eastAsia="宋体" w:cs="宋体"/>
                <w:spacing w:val="-4"/>
                <w:sz w:val="24"/>
                <w:szCs w:val="24"/>
              </w:rPr>
              <w:t>S</w:t>
            </w:r>
            <w:r>
              <w:rPr>
                <w:rFonts w:ascii="宋体" w:hAnsi="宋体" w:eastAsia="宋体" w:cs="宋体"/>
                <w:spacing w:val="-6"/>
                <w:sz w:val="24"/>
                <w:szCs w:val="24"/>
              </w:rPr>
              <w:t>128位算法加</w:t>
            </w:r>
            <w:r>
              <w:rPr>
                <w:rFonts w:ascii="宋体" w:hAnsi="宋体" w:eastAsia="宋体" w:cs="宋体"/>
                <w:spacing w:val="-1"/>
                <w:sz w:val="24"/>
                <w:szCs w:val="24"/>
              </w:rPr>
              <w:t>密；“0</w:t>
            </w:r>
            <w:r>
              <w:rPr>
                <w:rFonts w:ascii="宋体" w:hAnsi="宋体" w:eastAsia="宋体" w:cs="宋体"/>
                <w:sz w:val="24"/>
                <w:szCs w:val="24"/>
              </w:rPr>
              <w:t>xFE</w:t>
            </w:r>
            <w:r>
              <w:rPr>
                <w:rFonts w:ascii="宋体" w:hAnsi="宋体" w:eastAsia="宋体" w:cs="宋体"/>
                <w:spacing w:val="-1"/>
                <w:sz w:val="24"/>
                <w:szCs w:val="24"/>
              </w:rPr>
              <w:t>”表示异常；</w:t>
            </w:r>
            <w:r>
              <w:rPr>
                <w:rFonts w:ascii="宋体" w:hAnsi="宋体" w:eastAsia="宋体" w:cs="宋体"/>
                <w:sz w:val="24"/>
                <w:szCs w:val="24"/>
              </w:rPr>
              <w:t>“0xFF”表示</w:t>
            </w:r>
            <w:r>
              <w:rPr>
                <w:rFonts w:ascii="宋体" w:hAnsi="宋体" w:eastAsia="宋体" w:cs="宋体"/>
                <w:spacing w:val="-2"/>
                <w:sz w:val="24"/>
                <w:szCs w:val="24"/>
              </w:rPr>
              <w:t>无效</w:t>
            </w:r>
            <w:r>
              <w:rPr>
                <w:rFonts w:ascii="宋体" w:hAnsi="宋体" w:eastAsia="宋体" w:cs="宋体"/>
                <w:spacing w:val="-1"/>
                <w:sz w:val="24"/>
                <w:szCs w:val="24"/>
              </w:rPr>
              <w:t>，其他预留</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5.3.6.2平台登出</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ascii="宋体" w:hAnsi="宋体" w:eastAsia="宋体" w:cs="宋体"/>
          <w:spacing w:val="1"/>
          <w:sz w:val="24"/>
          <w:szCs w:val="24"/>
        </w:rPr>
      </w:pPr>
      <w:r>
        <w:rPr>
          <w:rFonts w:hint="eastAsia" w:ascii="宋体" w:hAnsi="宋体" w:eastAsia="宋体" w:cs="宋体"/>
          <w:bCs/>
          <w:sz w:val="24"/>
          <w:szCs w:val="24"/>
          <w:highlight w:val="none"/>
          <w:lang w:val="en-US" w:eastAsia="zh-CN"/>
        </w:rPr>
        <w:t>平台登出数据格式和定义见表14。</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表14平</w:t>
      </w:r>
      <w:r>
        <w:rPr>
          <w:rFonts w:ascii="宋体" w:hAnsi="宋体" w:eastAsia="宋体" w:cs="宋体"/>
          <w:sz w:val="24"/>
          <w:szCs w:val="24"/>
        </w:rPr>
        <w:t>台登出数据格式和定义</w:t>
      </w:r>
    </w:p>
    <w:tbl>
      <w:tblPr>
        <w:tblStyle w:val="60"/>
        <w:tblW w:w="88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55"/>
        <w:gridCol w:w="1725"/>
        <w:gridCol w:w="1230"/>
        <w:gridCol w:w="40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jc w:val="center"/>
        </w:trPr>
        <w:tc>
          <w:tcPr>
            <w:tcW w:w="1855" w:type="dxa"/>
            <w:tcBorders>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z w:val="24"/>
                <w:szCs w:val="24"/>
              </w:rPr>
            </w:pPr>
            <w:r>
              <w:rPr>
                <w:rFonts w:ascii="宋体" w:hAnsi="宋体" w:eastAsia="宋体" w:cs="宋体"/>
                <w:spacing w:val="-2"/>
                <w:sz w:val="24"/>
                <w:szCs w:val="24"/>
              </w:rPr>
              <w:t>数据</w:t>
            </w:r>
            <w:r>
              <w:rPr>
                <w:rFonts w:ascii="宋体" w:hAnsi="宋体" w:eastAsia="宋体" w:cs="宋体"/>
                <w:spacing w:val="-1"/>
                <w:sz w:val="24"/>
                <w:szCs w:val="24"/>
              </w:rPr>
              <w:t>表示内</w:t>
            </w:r>
            <w:r>
              <w:rPr>
                <w:rFonts w:ascii="宋体" w:hAnsi="宋体" w:eastAsia="宋体" w:cs="宋体"/>
                <w:sz w:val="24"/>
                <w:szCs w:val="24"/>
              </w:rPr>
              <w:t>容</w:t>
            </w:r>
          </w:p>
        </w:tc>
        <w:tc>
          <w:tcPr>
            <w:tcW w:w="1725" w:type="dxa"/>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239"/>
              <w:jc w:val="center"/>
              <w:rPr>
                <w:rFonts w:ascii="宋体" w:hAnsi="宋体" w:eastAsia="宋体" w:cs="宋体"/>
                <w:sz w:val="24"/>
                <w:szCs w:val="24"/>
              </w:rPr>
            </w:pPr>
            <w:r>
              <w:rPr>
                <w:rFonts w:ascii="宋体" w:hAnsi="宋体" w:eastAsia="宋体" w:cs="宋体"/>
                <w:spacing w:val="29"/>
                <w:sz w:val="24"/>
                <w:szCs w:val="24"/>
              </w:rPr>
              <w:t>长</w:t>
            </w:r>
            <w:r>
              <w:rPr>
                <w:rFonts w:ascii="宋体" w:hAnsi="宋体" w:eastAsia="宋体" w:cs="宋体"/>
                <w:spacing w:val="28"/>
                <w:sz w:val="24"/>
                <w:szCs w:val="24"/>
              </w:rPr>
              <w:t>度(字</w:t>
            </w:r>
            <w:r>
              <w:rPr>
                <w:rFonts w:ascii="宋体" w:hAnsi="宋体" w:eastAsia="宋体" w:cs="宋体"/>
                <w:spacing w:val="-9"/>
                <w:sz w:val="24"/>
                <w:szCs w:val="24"/>
              </w:rPr>
              <w:t>节</w:t>
            </w:r>
            <w:r>
              <w:rPr>
                <w:rFonts w:ascii="宋体" w:hAnsi="宋体" w:eastAsia="宋体" w:cs="宋体"/>
                <w:spacing w:val="-7"/>
                <w:sz w:val="24"/>
                <w:szCs w:val="24"/>
              </w:rPr>
              <w:t>)</w:t>
            </w:r>
          </w:p>
        </w:tc>
        <w:tc>
          <w:tcPr>
            <w:tcW w:w="1230" w:type="dxa"/>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数据类型</w:t>
            </w:r>
          </w:p>
        </w:tc>
        <w:tc>
          <w:tcPr>
            <w:tcW w:w="4012" w:type="dxa"/>
            <w:tcBorders>
              <w:lef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描述及要求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1855" w:type="dxa"/>
            <w:tcBorders>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登出时间</w:t>
            </w:r>
          </w:p>
        </w:tc>
        <w:tc>
          <w:tcPr>
            <w:tcW w:w="1725" w:type="dxa"/>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6</w:t>
            </w:r>
          </w:p>
        </w:tc>
        <w:tc>
          <w:tcPr>
            <w:tcW w:w="1230" w:type="dxa"/>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BYTE[6]</w:t>
            </w:r>
          </w:p>
        </w:tc>
        <w:tc>
          <w:tcPr>
            <w:tcW w:w="4012" w:type="dxa"/>
            <w:tcBorders>
              <w:lef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时间应符合</w:t>
            </w:r>
            <w:r>
              <w:rPr>
                <w:rFonts w:hint="eastAsia" w:ascii="宋体" w:hAnsi="宋体" w:cs="宋体"/>
                <w:spacing w:val="-2"/>
                <w:sz w:val="24"/>
                <w:szCs w:val="24"/>
                <w:lang w:eastAsia="zh-CN"/>
              </w:rPr>
              <w:t>GB/T32960.3-2016第6.4</w:t>
            </w:r>
            <w:r>
              <w:rPr>
                <w:rFonts w:ascii="宋体" w:hAnsi="宋体" w:eastAsia="宋体" w:cs="宋体"/>
                <w:spacing w:val="-2"/>
                <w:sz w:val="24"/>
                <w:szCs w:val="24"/>
              </w:rPr>
              <w:t>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1855" w:type="dxa"/>
            <w:tcBorders>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登出流水号</w:t>
            </w:r>
          </w:p>
        </w:tc>
        <w:tc>
          <w:tcPr>
            <w:tcW w:w="1725" w:type="dxa"/>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2</w:t>
            </w:r>
          </w:p>
        </w:tc>
        <w:tc>
          <w:tcPr>
            <w:tcW w:w="1230" w:type="dxa"/>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ascii="宋体" w:hAnsi="宋体" w:eastAsia="宋体" w:cs="宋体"/>
                <w:spacing w:val="-2"/>
                <w:sz w:val="24"/>
                <w:szCs w:val="24"/>
              </w:rPr>
              <w:t>WORD</w:t>
            </w:r>
          </w:p>
        </w:tc>
        <w:tc>
          <w:tcPr>
            <w:tcW w:w="4012" w:type="dxa"/>
            <w:tcBorders>
              <w:left w:val="single" w:color="000000" w:sz="4" w:space="0"/>
            </w:tcBorders>
            <w:noWrap w:val="0"/>
            <w:vAlign w:val="center"/>
          </w:tcPr>
          <w:p>
            <w:pPr>
              <w:keepNext w:val="0"/>
              <w:keepLines w:val="0"/>
              <w:pageBreakBefore w:val="0"/>
              <w:widowControl w:val="0"/>
              <w:kinsoku/>
              <w:wordWrap/>
              <w:overflowPunct/>
              <w:topLinePunct w:val="0"/>
              <w:bidi w:val="0"/>
              <w:snapToGrid/>
              <w:spacing w:line="360" w:lineRule="auto"/>
              <w:ind w:left="0" w:right="0" w:hanging="483"/>
              <w:jc w:val="center"/>
              <w:rPr>
                <w:rFonts w:ascii="宋体" w:hAnsi="宋体" w:eastAsia="宋体" w:cs="宋体"/>
                <w:spacing w:val="-2"/>
                <w:sz w:val="24"/>
                <w:szCs w:val="24"/>
              </w:rPr>
            </w:pPr>
            <w:r>
              <w:rPr>
                <w:rFonts w:hint="eastAsia" w:ascii="宋体" w:hAnsi="宋体" w:cs="宋体"/>
                <w:spacing w:val="-2"/>
                <w:sz w:val="24"/>
                <w:szCs w:val="24"/>
                <w:lang w:val="en-US" w:eastAsia="zh-CN"/>
              </w:rPr>
              <w:t xml:space="preserve">  </w:t>
            </w:r>
            <w:r>
              <w:rPr>
                <w:rFonts w:ascii="宋体" w:hAnsi="宋体" w:eastAsia="宋体" w:cs="宋体"/>
                <w:spacing w:val="-2"/>
                <w:sz w:val="24"/>
                <w:szCs w:val="24"/>
              </w:rPr>
              <w:t>登出流水号与当次登入流水号一致</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所有监控设备终端提供3年免费质保3.3.6.3平台密钥交换平台密钥交换数据格式和定义见表15。</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表15平台</w:t>
      </w:r>
      <w:r>
        <w:rPr>
          <w:rFonts w:ascii="宋体" w:hAnsi="宋体" w:eastAsia="宋体" w:cs="宋体"/>
          <w:sz w:val="24"/>
          <w:szCs w:val="24"/>
        </w:rPr>
        <w:t>密钥交换数据格式和定义</w:t>
      </w:r>
    </w:p>
    <w:tbl>
      <w:tblPr>
        <w:tblStyle w:val="60"/>
        <w:tblW w:w="87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41"/>
        <w:gridCol w:w="2022"/>
        <w:gridCol w:w="1708"/>
        <w:gridCol w:w="26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jc w:val="center"/>
        </w:trPr>
        <w:tc>
          <w:tcPr>
            <w:tcW w:w="2341"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数</w:t>
            </w:r>
            <w:r>
              <w:rPr>
                <w:rFonts w:ascii="宋体" w:hAnsi="宋体" w:eastAsia="宋体" w:cs="宋体"/>
                <w:spacing w:val="-1"/>
                <w:sz w:val="24"/>
                <w:szCs w:val="24"/>
              </w:rPr>
              <w:t>据表示内容</w:t>
            </w:r>
          </w:p>
        </w:tc>
        <w:tc>
          <w:tcPr>
            <w:tcW w:w="202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8"/>
                <w:sz w:val="24"/>
                <w:szCs w:val="24"/>
              </w:rPr>
              <w:t>长</w:t>
            </w:r>
            <w:r>
              <w:rPr>
                <w:rFonts w:ascii="宋体" w:hAnsi="宋体" w:eastAsia="宋体" w:cs="宋体"/>
                <w:spacing w:val="16"/>
                <w:sz w:val="24"/>
                <w:szCs w:val="24"/>
              </w:rPr>
              <w:t>度(字节)</w:t>
            </w:r>
          </w:p>
        </w:tc>
        <w:tc>
          <w:tcPr>
            <w:tcW w:w="1708"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数据类</w:t>
            </w:r>
            <w:r>
              <w:rPr>
                <w:rFonts w:ascii="宋体" w:hAnsi="宋体" w:eastAsia="宋体" w:cs="宋体"/>
                <w:spacing w:val="-1"/>
                <w:sz w:val="24"/>
                <w:szCs w:val="24"/>
              </w:rPr>
              <w:t>型</w:t>
            </w:r>
          </w:p>
        </w:tc>
        <w:tc>
          <w:tcPr>
            <w:tcW w:w="2679"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 w:hRule="atLeast"/>
          <w:jc w:val="center"/>
        </w:trPr>
        <w:tc>
          <w:tcPr>
            <w:tcW w:w="2341"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密钥类型</w:t>
            </w:r>
          </w:p>
        </w:tc>
        <w:tc>
          <w:tcPr>
            <w:tcW w:w="202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1</w:t>
            </w:r>
          </w:p>
        </w:tc>
        <w:tc>
          <w:tcPr>
            <w:tcW w:w="1708"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BYT</w:t>
            </w:r>
            <w:r>
              <w:rPr>
                <w:rFonts w:ascii="宋体" w:hAnsi="宋体" w:eastAsia="宋体" w:cs="宋体"/>
                <w:sz w:val="24"/>
                <w:szCs w:val="24"/>
              </w:rPr>
              <w:t>E</w:t>
            </w:r>
          </w:p>
        </w:tc>
        <w:tc>
          <w:tcPr>
            <w:tcW w:w="2679"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0</w:t>
            </w:r>
            <w:r>
              <w:rPr>
                <w:rFonts w:ascii="宋体" w:hAnsi="宋体" w:eastAsia="宋体" w:cs="宋体"/>
                <w:spacing w:val="-1"/>
                <w:sz w:val="24"/>
                <w:szCs w:val="24"/>
              </w:rPr>
              <w:t>x</w:t>
            </w:r>
            <w:r>
              <w:rPr>
                <w:rFonts w:ascii="宋体" w:hAnsi="宋体" w:eastAsia="宋体" w:cs="宋体"/>
                <w:spacing w:val="-2"/>
                <w:sz w:val="24"/>
                <w:szCs w:val="24"/>
              </w:rPr>
              <w:t>01</w:t>
            </w:r>
            <w:r>
              <w:rPr>
                <w:rFonts w:ascii="宋体" w:hAnsi="宋体" w:eastAsia="宋体" w:cs="宋体"/>
                <w:spacing w:val="-1"/>
                <w:sz w:val="24"/>
                <w:szCs w:val="24"/>
              </w:rPr>
              <w:t>：SM2；</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0</w:t>
            </w:r>
            <w:r>
              <w:rPr>
                <w:rFonts w:ascii="宋体" w:hAnsi="宋体" w:eastAsia="宋体" w:cs="宋体"/>
                <w:spacing w:val="-1"/>
                <w:sz w:val="24"/>
                <w:szCs w:val="24"/>
              </w:rPr>
              <w:t>x</w:t>
            </w:r>
            <w:r>
              <w:rPr>
                <w:rFonts w:ascii="宋体" w:hAnsi="宋体" w:eastAsia="宋体" w:cs="宋体"/>
                <w:spacing w:val="-2"/>
                <w:sz w:val="24"/>
                <w:szCs w:val="24"/>
              </w:rPr>
              <w:t>02</w:t>
            </w:r>
            <w:r>
              <w:rPr>
                <w:rFonts w:ascii="宋体" w:hAnsi="宋体" w:eastAsia="宋体" w:cs="宋体"/>
                <w:spacing w:val="-1"/>
                <w:sz w:val="24"/>
                <w:szCs w:val="24"/>
              </w:rPr>
              <w:t>：SM4；</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0</w:t>
            </w:r>
            <w:r>
              <w:rPr>
                <w:rFonts w:ascii="宋体" w:hAnsi="宋体" w:eastAsia="宋体" w:cs="宋体"/>
                <w:spacing w:val="-1"/>
                <w:sz w:val="24"/>
                <w:szCs w:val="24"/>
              </w:rPr>
              <w:t>x</w:t>
            </w:r>
            <w:r>
              <w:rPr>
                <w:rFonts w:ascii="宋体" w:hAnsi="宋体" w:eastAsia="宋体" w:cs="宋体"/>
                <w:spacing w:val="-2"/>
                <w:sz w:val="24"/>
                <w:szCs w:val="24"/>
              </w:rPr>
              <w:t>03</w:t>
            </w:r>
            <w:r>
              <w:rPr>
                <w:rFonts w:ascii="宋体" w:hAnsi="宋体" w:eastAsia="宋体" w:cs="宋体"/>
                <w:spacing w:val="-1"/>
                <w:sz w:val="24"/>
                <w:szCs w:val="24"/>
              </w:rPr>
              <w:t>：RSA；</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0x04：AES128；</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其他预留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2341"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密钥长度</w:t>
            </w:r>
          </w:p>
        </w:tc>
        <w:tc>
          <w:tcPr>
            <w:tcW w:w="202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2</w:t>
            </w:r>
          </w:p>
        </w:tc>
        <w:tc>
          <w:tcPr>
            <w:tcW w:w="1708"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WO</w:t>
            </w:r>
            <w:r>
              <w:rPr>
                <w:rFonts w:ascii="宋体" w:hAnsi="宋体" w:eastAsia="宋体" w:cs="宋体"/>
                <w:sz w:val="24"/>
                <w:szCs w:val="24"/>
              </w:rPr>
              <w:t>RD</w:t>
            </w:r>
          </w:p>
        </w:tc>
        <w:tc>
          <w:tcPr>
            <w:tcW w:w="2679"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239" w:leftChars="114" w:right="0" w:firstLine="101" w:firstLineChars="43"/>
              <w:rPr>
                <w:rFonts w:ascii="宋体" w:hAnsi="宋体" w:eastAsia="宋体" w:cs="宋体"/>
                <w:sz w:val="24"/>
                <w:szCs w:val="24"/>
              </w:rPr>
            </w:pPr>
            <w:r>
              <w:rPr>
                <w:rFonts w:ascii="宋体" w:hAnsi="宋体" w:eastAsia="宋体" w:cs="宋体"/>
                <w:spacing w:val="-2"/>
                <w:sz w:val="24"/>
                <w:szCs w:val="24"/>
              </w:rPr>
              <w:t>密钥</w:t>
            </w:r>
            <w:r>
              <w:rPr>
                <w:rFonts w:ascii="宋体" w:hAnsi="宋体" w:eastAsia="宋体" w:cs="宋体"/>
                <w:spacing w:val="-1"/>
                <w:sz w:val="24"/>
                <w:szCs w:val="24"/>
              </w:rPr>
              <w:t>总字节数，有效值范围：0~65</w:t>
            </w:r>
            <w:r>
              <w:rPr>
                <w:rFonts w:ascii="宋体" w:hAnsi="宋体" w:eastAsia="宋体" w:cs="宋体"/>
                <w:sz w:val="24"/>
                <w:szCs w:val="24"/>
              </w:rPr>
              <w:t>531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2341"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密</w:t>
            </w:r>
            <w:r>
              <w:rPr>
                <w:rFonts w:ascii="宋体" w:hAnsi="宋体" w:eastAsia="宋体" w:cs="宋体"/>
                <w:spacing w:val="-2"/>
                <w:sz w:val="24"/>
                <w:szCs w:val="24"/>
              </w:rPr>
              <w:t>钥</w:t>
            </w:r>
          </w:p>
        </w:tc>
        <w:tc>
          <w:tcPr>
            <w:tcW w:w="202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N</w:t>
            </w:r>
          </w:p>
        </w:tc>
        <w:tc>
          <w:tcPr>
            <w:tcW w:w="1708"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STR</w:t>
            </w:r>
            <w:r>
              <w:rPr>
                <w:rFonts w:ascii="宋体" w:hAnsi="宋体" w:eastAsia="宋体" w:cs="宋体"/>
                <w:spacing w:val="-1"/>
                <w:sz w:val="24"/>
                <w:szCs w:val="24"/>
              </w:rPr>
              <w:t>ING</w:t>
            </w:r>
          </w:p>
        </w:tc>
        <w:tc>
          <w:tcPr>
            <w:tcW w:w="2679"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2"/>
                <w:sz w:val="24"/>
                <w:szCs w:val="24"/>
              </w:rPr>
              <w:t>平台密</w:t>
            </w:r>
            <w:r>
              <w:rPr>
                <w:rFonts w:ascii="宋体" w:hAnsi="宋体" w:eastAsia="宋体" w:cs="宋体"/>
                <w:spacing w:val="-1"/>
                <w:sz w:val="24"/>
                <w:szCs w:val="24"/>
              </w:rPr>
              <w:t>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jc w:val="center"/>
        </w:trPr>
        <w:tc>
          <w:tcPr>
            <w:tcW w:w="2341"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4"/>
                <w:sz w:val="24"/>
                <w:szCs w:val="24"/>
              </w:rPr>
              <w:t>启</w:t>
            </w:r>
            <w:r>
              <w:rPr>
                <w:rFonts w:ascii="宋体" w:hAnsi="宋体" w:eastAsia="宋体" w:cs="宋体"/>
                <w:spacing w:val="-3"/>
                <w:sz w:val="24"/>
                <w:szCs w:val="24"/>
              </w:rPr>
              <w:t>用</w:t>
            </w:r>
            <w:r>
              <w:rPr>
                <w:rFonts w:ascii="宋体" w:hAnsi="宋体" w:eastAsia="宋体" w:cs="宋体"/>
                <w:spacing w:val="-2"/>
                <w:sz w:val="24"/>
                <w:szCs w:val="24"/>
              </w:rPr>
              <w:t>时间</w:t>
            </w:r>
          </w:p>
        </w:tc>
        <w:tc>
          <w:tcPr>
            <w:tcW w:w="202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6</w:t>
            </w:r>
          </w:p>
        </w:tc>
        <w:tc>
          <w:tcPr>
            <w:tcW w:w="1708"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w:t>
            </w:r>
            <w:r>
              <w:rPr>
                <w:rFonts w:ascii="宋体" w:hAnsi="宋体" w:eastAsia="宋体" w:cs="宋体"/>
                <w:sz w:val="24"/>
                <w:szCs w:val="24"/>
              </w:rPr>
              <w:t>YTE</w:t>
            </w:r>
            <w:r>
              <w:rPr>
                <w:rFonts w:ascii="宋体" w:hAnsi="宋体" w:eastAsia="宋体" w:cs="宋体"/>
                <w:spacing w:val="-1"/>
                <w:sz w:val="24"/>
                <w:szCs w:val="24"/>
              </w:rPr>
              <w:t>[6]</w:t>
            </w:r>
          </w:p>
        </w:tc>
        <w:tc>
          <w:tcPr>
            <w:tcW w:w="2679"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时</w:t>
            </w:r>
            <w:r>
              <w:rPr>
                <w:rFonts w:ascii="宋体" w:hAnsi="宋体" w:eastAsia="宋体" w:cs="宋体"/>
                <w:spacing w:val="-3"/>
                <w:sz w:val="24"/>
                <w:szCs w:val="24"/>
              </w:rPr>
              <w:t>间</w:t>
            </w:r>
            <w:r>
              <w:rPr>
                <w:rFonts w:ascii="宋体" w:hAnsi="宋体" w:eastAsia="宋体" w:cs="宋体"/>
                <w:spacing w:val="-2"/>
                <w:sz w:val="24"/>
                <w:szCs w:val="24"/>
              </w:rPr>
              <w:t>应符合GB/T</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32960.3-201第</w:t>
            </w:r>
            <w:r>
              <w:rPr>
                <w:rFonts w:hint="eastAsia" w:ascii="宋体" w:hAnsi="宋体" w:eastAsia="宋体" w:cs="宋体"/>
                <w:spacing w:val="-1"/>
                <w:sz w:val="24"/>
                <w:szCs w:val="24"/>
                <w:lang w:val="en-US" w:eastAsia="zh-CN"/>
              </w:rPr>
              <w:t>6.4</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要</w:t>
            </w:r>
            <w:r>
              <w:rPr>
                <w:rFonts w:ascii="宋体" w:hAnsi="宋体" w:eastAsia="宋体" w:cs="宋体"/>
                <w:spacing w:val="-2"/>
                <w:sz w:val="24"/>
                <w:szCs w:val="24"/>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jc w:val="center"/>
        </w:trPr>
        <w:tc>
          <w:tcPr>
            <w:tcW w:w="2341"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3"/>
                <w:sz w:val="24"/>
                <w:szCs w:val="24"/>
              </w:rPr>
              <w:t>失效时间</w:t>
            </w:r>
          </w:p>
        </w:tc>
        <w:tc>
          <w:tcPr>
            <w:tcW w:w="2022"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6</w:t>
            </w:r>
          </w:p>
        </w:tc>
        <w:tc>
          <w:tcPr>
            <w:tcW w:w="1708"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Arial"/>
                <w:sz w:val="21"/>
              </w:rPr>
            </w:pP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w:t>
            </w:r>
            <w:r>
              <w:rPr>
                <w:rFonts w:ascii="宋体" w:hAnsi="宋体" w:eastAsia="宋体" w:cs="宋体"/>
                <w:sz w:val="24"/>
                <w:szCs w:val="24"/>
              </w:rPr>
              <w:t>YTE</w:t>
            </w:r>
            <w:r>
              <w:rPr>
                <w:rFonts w:ascii="宋体" w:hAnsi="宋体" w:eastAsia="宋体" w:cs="宋体"/>
                <w:spacing w:val="-1"/>
                <w:sz w:val="24"/>
                <w:szCs w:val="24"/>
              </w:rPr>
              <w:t>[6]</w:t>
            </w:r>
          </w:p>
        </w:tc>
        <w:tc>
          <w:tcPr>
            <w:tcW w:w="2679"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时</w:t>
            </w:r>
            <w:r>
              <w:rPr>
                <w:rFonts w:ascii="宋体" w:hAnsi="宋体" w:eastAsia="宋体" w:cs="宋体"/>
                <w:spacing w:val="-3"/>
                <w:sz w:val="24"/>
                <w:szCs w:val="24"/>
              </w:rPr>
              <w:t>间</w:t>
            </w:r>
            <w:r>
              <w:rPr>
                <w:rFonts w:ascii="宋体" w:hAnsi="宋体" w:eastAsia="宋体" w:cs="宋体"/>
                <w:spacing w:val="-2"/>
                <w:sz w:val="24"/>
                <w:szCs w:val="24"/>
              </w:rPr>
              <w:t>应符合GB/T</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1"/>
                <w:sz w:val="24"/>
                <w:szCs w:val="24"/>
              </w:rPr>
              <w:t>32960.3-201第</w:t>
            </w:r>
            <w:r>
              <w:rPr>
                <w:rFonts w:hint="eastAsia" w:ascii="宋体" w:hAnsi="宋体" w:eastAsia="宋体" w:cs="宋体"/>
                <w:spacing w:val="-1"/>
                <w:sz w:val="24"/>
                <w:szCs w:val="24"/>
                <w:lang w:val="en-US" w:eastAsia="zh-CN"/>
              </w:rPr>
              <w:t>6.4</w:t>
            </w:r>
          </w:p>
          <w:p>
            <w:pPr>
              <w:keepNext w:val="0"/>
              <w:keepLines w:val="0"/>
              <w:pageBreakBefore w:val="0"/>
              <w:widowControl w:val="0"/>
              <w:kinsoku/>
              <w:wordWrap/>
              <w:overflowPunct/>
              <w:topLinePunct w:val="0"/>
              <w:bidi w:val="0"/>
              <w:snapToGrid/>
              <w:spacing w:line="360" w:lineRule="auto"/>
              <w:ind w:left="0" w:right="0"/>
              <w:rPr>
                <w:rFonts w:ascii="宋体" w:hAnsi="宋体" w:eastAsia="宋体" w:cs="宋体"/>
                <w:sz w:val="24"/>
                <w:szCs w:val="24"/>
              </w:rPr>
            </w:pPr>
            <w:r>
              <w:rPr>
                <w:rFonts w:ascii="宋体" w:hAnsi="宋体" w:eastAsia="宋体" w:cs="宋体"/>
                <w:spacing w:val="-4"/>
                <w:sz w:val="24"/>
                <w:szCs w:val="24"/>
              </w:rPr>
              <w:t>要</w:t>
            </w:r>
            <w:r>
              <w:rPr>
                <w:rFonts w:ascii="宋体" w:hAnsi="宋体" w:eastAsia="宋体" w:cs="宋体"/>
                <w:spacing w:val="-2"/>
                <w:sz w:val="24"/>
                <w:szCs w:val="24"/>
              </w:rPr>
              <w:t>求</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5.3.6.4平台心跳</w:t>
      </w:r>
    </w:p>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仿宋_GB2312" w:hAnsi="仿宋_GB2312" w:eastAsia="仿宋_GB2312" w:cs="仿宋_GB2312"/>
          <w:bCs/>
          <w:sz w:val="28"/>
          <w:szCs w:val="28"/>
          <w:highlight w:val="none"/>
          <w:lang w:val="en-US" w:eastAsia="zh-CN"/>
        </w:rPr>
      </w:pPr>
      <w:r>
        <w:rPr>
          <w:rFonts w:hint="eastAsia" w:ascii="宋体" w:hAnsi="宋体" w:eastAsia="宋体" w:cs="宋体"/>
          <w:bCs/>
          <w:sz w:val="24"/>
          <w:szCs w:val="24"/>
          <w:highlight w:val="none"/>
          <w:lang w:val="en-US" w:eastAsia="zh-CN"/>
        </w:rPr>
        <w:t>平台心跳数据格式和定义见表16。</w:t>
      </w:r>
    </w:p>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表16平</w:t>
      </w:r>
      <w:r>
        <w:rPr>
          <w:rFonts w:ascii="宋体" w:hAnsi="宋体" w:eastAsia="宋体" w:cs="宋体"/>
          <w:sz w:val="24"/>
          <w:szCs w:val="24"/>
        </w:rPr>
        <w:t>台心跳数据格式和定义</w:t>
      </w:r>
    </w:p>
    <w:tbl>
      <w:tblPr>
        <w:tblStyle w:val="60"/>
        <w:tblW w:w="88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40"/>
        <w:gridCol w:w="1813"/>
        <w:gridCol w:w="1545"/>
        <w:gridCol w:w="33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214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w:t>
            </w:r>
            <w:r>
              <w:rPr>
                <w:rFonts w:ascii="宋体" w:hAnsi="宋体" w:eastAsia="宋体" w:cs="宋体"/>
                <w:spacing w:val="-1"/>
                <w:sz w:val="24"/>
                <w:szCs w:val="24"/>
              </w:rPr>
              <w:t>据表示内容</w:t>
            </w:r>
          </w:p>
        </w:tc>
        <w:tc>
          <w:tcPr>
            <w:tcW w:w="1813"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leftChars="0" w:right="0" w:firstLine="0" w:firstLineChars="0"/>
              <w:jc w:val="center"/>
              <w:rPr>
                <w:rFonts w:ascii="宋体" w:hAnsi="宋体" w:eastAsia="宋体" w:cs="宋体"/>
                <w:sz w:val="24"/>
                <w:szCs w:val="24"/>
              </w:rPr>
            </w:pPr>
            <w:r>
              <w:rPr>
                <w:rFonts w:ascii="宋体" w:hAnsi="宋体" w:eastAsia="宋体" w:cs="宋体"/>
                <w:spacing w:val="18"/>
                <w:sz w:val="24"/>
                <w:szCs w:val="24"/>
              </w:rPr>
              <w:t>长</w:t>
            </w:r>
            <w:r>
              <w:rPr>
                <w:rFonts w:ascii="宋体" w:hAnsi="宋体" w:eastAsia="宋体" w:cs="宋体"/>
                <w:spacing w:val="16"/>
                <w:sz w:val="24"/>
                <w:szCs w:val="24"/>
              </w:rPr>
              <w:t>度(字节)</w:t>
            </w:r>
          </w:p>
        </w:tc>
        <w:tc>
          <w:tcPr>
            <w:tcW w:w="1545"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数据类</w:t>
            </w:r>
            <w:r>
              <w:rPr>
                <w:rFonts w:ascii="宋体" w:hAnsi="宋体" w:eastAsia="宋体" w:cs="宋体"/>
                <w:spacing w:val="-1"/>
                <w:sz w:val="24"/>
                <w:szCs w:val="24"/>
              </w:rPr>
              <w:t>型</w:t>
            </w:r>
          </w:p>
        </w:tc>
        <w:tc>
          <w:tcPr>
            <w:tcW w:w="3306"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2"/>
                <w:sz w:val="24"/>
                <w:szCs w:val="24"/>
              </w:rPr>
              <w:t>描述</w:t>
            </w:r>
            <w:r>
              <w:rPr>
                <w:rFonts w:ascii="宋体" w:hAnsi="宋体" w:eastAsia="宋体" w:cs="宋体"/>
                <w:spacing w:val="-1"/>
                <w:sz w:val="24"/>
                <w:szCs w:val="24"/>
              </w:rPr>
              <w:t>及要求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jc w:val="center"/>
        </w:trPr>
        <w:tc>
          <w:tcPr>
            <w:tcW w:w="2140" w:type="dxa"/>
            <w:tcBorders>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6"/>
                <w:sz w:val="24"/>
                <w:szCs w:val="24"/>
              </w:rPr>
              <w:t>时</w:t>
            </w:r>
            <w:r>
              <w:rPr>
                <w:rFonts w:ascii="宋体" w:hAnsi="宋体" w:eastAsia="宋体" w:cs="宋体"/>
                <w:spacing w:val="-5"/>
                <w:sz w:val="24"/>
                <w:szCs w:val="24"/>
              </w:rPr>
              <w:t>间</w:t>
            </w:r>
          </w:p>
        </w:tc>
        <w:tc>
          <w:tcPr>
            <w:tcW w:w="1813"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z w:val="24"/>
                <w:szCs w:val="24"/>
              </w:rPr>
              <w:t>6</w:t>
            </w:r>
          </w:p>
        </w:tc>
        <w:tc>
          <w:tcPr>
            <w:tcW w:w="1545" w:type="dxa"/>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jc w:val="center"/>
              <w:rPr>
                <w:rFonts w:ascii="宋体" w:hAnsi="宋体" w:eastAsia="宋体" w:cs="宋体"/>
                <w:sz w:val="24"/>
                <w:szCs w:val="24"/>
              </w:rPr>
            </w:pPr>
            <w:r>
              <w:rPr>
                <w:rFonts w:ascii="宋体" w:hAnsi="宋体" w:eastAsia="宋体" w:cs="宋体"/>
                <w:spacing w:val="-1"/>
                <w:sz w:val="24"/>
                <w:szCs w:val="24"/>
              </w:rPr>
              <w:t>B</w:t>
            </w:r>
            <w:r>
              <w:rPr>
                <w:rFonts w:ascii="宋体" w:hAnsi="宋体" w:eastAsia="宋体" w:cs="宋体"/>
                <w:sz w:val="24"/>
                <w:szCs w:val="24"/>
              </w:rPr>
              <w:t>YTE</w:t>
            </w:r>
            <w:r>
              <w:rPr>
                <w:rFonts w:ascii="宋体" w:hAnsi="宋体" w:eastAsia="宋体" w:cs="宋体"/>
                <w:spacing w:val="-1"/>
                <w:sz w:val="24"/>
                <w:szCs w:val="24"/>
              </w:rPr>
              <w:t>[6]</w:t>
            </w:r>
          </w:p>
        </w:tc>
        <w:tc>
          <w:tcPr>
            <w:tcW w:w="3306" w:type="dxa"/>
            <w:tcBorders>
              <w:left w:val="single" w:color="000000" w:sz="4" w:space="0"/>
            </w:tcBorders>
            <w:noWrap w:val="0"/>
            <w:vAlign w:val="top"/>
          </w:tcPr>
          <w:p>
            <w:pPr>
              <w:keepNext w:val="0"/>
              <w:keepLines w:val="0"/>
              <w:pageBreakBefore w:val="0"/>
              <w:widowControl w:val="0"/>
              <w:kinsoku/>
              <w:wordWrap/>
              <w:overflowPunct/>
              <w:topLinePunct w:val="0"/>
              <w:bidi w:val="0"/>
              <w:snapToGrid/>
              <w:spacing w:line="360" w:lineRule="auto"/>
              <w:ind w:left="0" w:right="0" w:hanging="531"/>
              <w:rPr>
                <w:rFonts w:ascii="宋体" w:hAnsi="宋体" w:eastAsia="宋体" w:cs="宋体"/>
                <w:sz w:val="24"/>
                <w:szCs w:val="24"/>
              </w:rPr>
            </w:pPr>
            <w:r>
              <w:rPr>
                <w:rFonts w:ascii="宋体" w:hAnsi="宋体" w:eastAsia="宋体" w:cs="宋体"/>
                <w:spacing w:val="-2"/>
                <w:sz w:val="24"/>
                <w:szCs w:val="24"/>
              </w:rPr>
              <w:t>时间</w:t>
            </w:r>
            <w:r>
              <w:rPr>
                <w:rFonts w:hint="eastAsia" w:ascii="宋体" w:hAnsi="宋体" w:cs="宋体"/>
                <w:spacing w:val="-2"/>
                <w:sz w:val="24"/>
                <w:szCs w:val="24"/>
                <w:lang w:val="en-US" w:eastAsia="zh-CN"/>
              </w:rPr>
              <w:t xml:space="preserve"> </w:t>
            </w:r>
            <w:r>
              <w:rPr>
                <w:rFonts w:ascii="宋体" w:hAnsi="宋体" w:eastAsia="宋体" w:cs="宋体"/>
                <w:spacing w:val="-2"/>
                <w:sz w:val="24"/>
                <w:szCs w:val="24"/>
              </w:rPr>
              <w:t>应</w:t>
            </w:r>
            <w:r>
              <w:rPr>
                <w:rFonts w:ascii="宋体" w:hAnsi="宋体" w:eastAsia="宋体" w:cs="宋体"/>
                <w:spacing w:val="-1"/>
                <w:sz w:val="24"/>
                <w:szCs w:val="24"/>
              </w:rPr>
              <w:t>符合</w:t>
            </w:r>
            <w:r>
              <w:rPr>
                <w:rFonts w:hint="eastAsia" w:ascii="宋体" w:hAnsi="宋体" w:cs="宋体"/>
                <w:spacing w:val="-1"/>
                <w:sz w:val="24"/>
                <w:szCs w:val="24"/>
                <w:lang w:eastAsia="zh-CN"/>
              </w:rPr>
              <w:t>GB/T32960.3-2016第6.4</w:t>
            </w:r>
            <w:r>
              <w:rPr>
                <w:rFonts w:ascii="宋体" w:hAnsi="宋体" w:eastAsia="宋体" w:cs="宋体"/>
                <w:spacing w:val="-1"/>
                <w:sz w:val="24"/>
                <w:szCs w:val="24"/>
              </w:rPr>
              <w:t>要求</w:t>
            </w:r>
          </w:p>
        </w:tc>
      </w:tr>
    </w:tbl>
    <w:p>
      <w:pPr>
        <w:keepNext w:val="0"/>
        <w:keepLines w:val="0"/>
        <w:pageBreakBefore w:val="0"/>
        <w:widowControl w:val="0"/>
        <w:kinsoku/>
        <w:wordWrap/>
        <w:overflowPunct/>
        <w:topLinePunct w:val="0"/>
        <w:bidi w:val="0"/>
        <w:snapToGrid/>
        <w:spacing w:line="360" w:lineRule="auto"/>
        <w:ind w:left="0" w:right="0"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5.3.6.5数据单元</w:t>
      </w:r>
    </w:p>
    <w:p>
      <w:pPr>
        <w:bidi w:val="0"/>
        <w:ind w:firstLine="480" w:firstLineChars="20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数据单元应是车载终端上传的符合</w:t>
      </w: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.2.5规定的原始数据包。</w:t>
      </w:r>
    </w:p>
    <w:p>
      <w:pPr>
        <w:pStyle w:val="8"/>
        <w:pageBreakBefore w:val="0"/>
        <w:widowControl w:val="0"/>
        <w:kinsoku/>
        <w:wordWrap/>
        <w:overflowPunct/>
        <w:topLinePunct w:val="0"/>
        <w:autoSpaceDE/>
        <w:autoSpaceDN/>
        <w:bidi w:val="0"/>
        <w:adjustRightInd w:val="0"/>
        <w:snapToGrid w:val="0"/>
        <w:spacing w:before="0" w:after="0" w:line="56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六</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服务</w:t>
      </w:r>
      <w:r>
        <w:rPr>
          <w:rFonts w:hint="eastAsia" w:ascii="宋体" w:hAnsi="宋体" w:eastAsia="宋体" w:cs="宋体"/>
          <w:b w:val="0"/>
          <w:bCs w:val="0"/>
          <w:sz w:val="24"/>
          <w:szCs w:val="24"/>
        </w:rPr>
        <w:t>要求</w:t>
      </w:r>
    </w:p>
    <w:p>
      <w:pPr>
        <w:pStyle w:val="9"/>
        <w:pageBreakBefore w:val="0"/>
        <w:widowControl w:val="0"/>
        <w:kinsoku/>
        <w:wordWrap/>
        <w:overflowPunct/>
        <w:topLinePunct w:val="0"/>
        <w:autoSpaceDE/>
        <w:autoSpaceDN/>
        <w:bidi w:val="0"/>
        <w:adjustRightInd w:val="0"/>
        <w:snapToGrid w:val="0"/>
        <w:spacing w:before="0" w:after="0" w:line="560" w:lineRule="exact"/>
        <w:ind w:firstLine="480" w:firstLineChars="200"/>
        <w:textAlignment w:val="auto"/>
        <w:rPr>
          <w:rFonts w:hint="eastAsia" w:ascii="宋体" w:hAnsi="宋体" w:eastAsia="宋体" w:cs="宋体"/>
          <w:b w:val="0"/>
          <w:bCs w:val="0"/>
          <w:sz w:val="24"/>
          <w:szCs w:val="24"/>
          <w:highlight w:val="none"/>
        </w:rPr>
      </w:pPr>
      <w:bookmarkStart w:id="63" w:name="_Toc56874130"/>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、工期安排</w:t>
      </w:r>
      <w:bookmarkEnd w:id="63"/>
    </w:p>
    <w:p>
      <w:pPr>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11月30日前</w:t>
      </w:r>
      <w:r>
        <w:rPr>
          <w:rFonts w:hint="eastAsia" w:ascii="宋体" w:hAnsi="宋体" w:eastAsia="宋体" w:cs="宋体"/>
          <w:sz w:val="24"/>
          <w:szCs w:val="24"/>
        </w:rPr>
        <w:t>。</w:t>
      </w:r>
    </w:p>
    <w:p>
      <w:pPr>
        <w:pStyle w:val="14"/>
        <w:keepNext w:val="0"/>
        <w:keepLines w:val="0"/>
        <w:pageBreakBefore w:val="0"/>
        <w:numPr>
          <w:ilvl w:val="0"/>
          <w:numId w:val="0"/>
        </w:numPr>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2、安装范围</w:t>
      </w:r>
    </w:p>
    <w:p>
      <w:pPr>
        <w:pStyle w:val="10"/>
        <w:ind w:firstLine="480" w:firstLineChars="200"/>
        <w:rPr>
          <w:rFonts w:hint="eastAsia" w:ascii="宋体" w:hAnsi="宋体" w:eastAsia="宋体" w:cs="宋体"/>
          <w:b w:val="0"/>
          <w:bCs w:val="0"/>
          <w:sz w:val="24"/>
          <w:szCs w:val="24"/>
        </w:rPr>
      </w:pPr>
      <w:r>
        <w:rPr>
          <w:rFonts w:hint="eastAsia" w:ascii="宋体" w:hAnsi="宋体" w:eastAsia="宋体" w:cs="宋体"/>
          <w:b w:val="0"/>
          <w:bCs w:val="0"/>
          <w:kern w:val="2"/>
          <w:sz w:val="24"/>
          <w:szCs w:val="24"/>
          <w:lang w:val="en-US" w:eastAsia="zh-CN" w:bidi="ar-SA"/>
        </w:rPr>
        <w:t>对聊城市辖区内已编码登记的国三及以上燃油非道路移动机械安装实时定位监控装置。</w:t>
      </w:r>
      <w:r>
        <w:rPr>
          <w:rFonts w:hint="eastAsia" w:ascii="宋体" w:hAnsi="宋体" w:eastAsia="宋体" w:cs="宋体"/>
          <w:b w:val="0"/>
          <w:bCs w:val="0"/>
          <w:color w:val="auto"/>
          <w:kern w:val="2"/>
          <w:sz w:val="24"/>
          <w:szCs w:val="24"/>
          <w:lang w:val="en-US" w:eastAsia="zh-CN" w:bidi="ar-SA"/>
        </w:rPr>
        <w:t>对于外地机械聊城本地备案的临时性工程机械不予安装，予淘汰更新的机械不安装。</w:t>
      </w:r>
    </w:p>
    <w:p>
      <w:pPr>
        <w:pageBreakBefore w:val="0"/>
        <w:widowControl w:val="0"/>
        <w:numPr>
          <w:ilvl w:val="0"/>
          <w:numId w:val="0"/>
        </w:numPr>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安装</w:t>
      </w:r>
      <w:r>
        <w:rPr>
          <w:rFonts w:hint="eastAsia" w:asciiTheme="minorEastAsia" w:hAnsiTheme="minorEastAsia" w:eastAsiaTheme="minorEastAsia" w:cstheme="minorEastAsia"/>
          <w:b w:val="0"/>
          <w:bCs w:val="0"/>
          <w:sz w:val="24"/>
          <w:szCs w:val="24"/>
          <w:lang w:eastAsia="zh-CN"/>
        </w:rPr>
        <w:t>与</w:t>
      </w:r>
      <w:r>
        <w:rPr>
          <w:rFonts w:hint="eastAsia" w:asciiTheme="minorEastAsia" w:hAnsiTheme="minorEastAsia" w:eastAsiaTheme="minorEastAsia" w:cstheme="minorEastAsia"/>
          <w:b w:val="0"/>
          <w:bCs w:val="0"/>
          <w:sz w:val="24"/>
          <w:szCs w:val="24"/>
        </w:rPr>
        <w:t>调试</w:t>
      </w:r>
      <w:r>
        <w:rPr>
          <w:rFonts w:hint="eastAsia" w:asciiTheme="minorEastAsia" w:hAnsiTheme="minorEastAsia" w:eastAsiaTheme="minorEastAsia" w:cstheme="minorEastAsia"/>
          <w:b w:val="0"/>
          <w:bCs w:val="0"/>
          <w:sz w:val="24"/>
          <w:szCs w:val="24"/>
          <w:lang w:eastAsia="zh-CN"/>
        </w:rPr>
        <w:t>服务</w:t>
      </w:r>
    </w:p>
    <w:p>
      <w:pPr>
        <w:pageBreakBefore w:val="0"/>
        <w:widowControl w:val="0"/>
        <w:numPr>
          <w:ilvl w:val="0"/>
          <w:numId w:val="0"/>
        </w:numPr>
        <w:kinsoku/>
        <w:wordWrap/>
        <w:overflowPunct/>
        <w:topLinePunct w:val="0"/>
        <w:autoSpaceDE/>
        <w:autoSpaceDN/>
        <w:bidi w:val="0"/>
        <w:adjustRightInd w:val="0"/>
        <w:snapToGrid w:val="0"/>
        <w:spacing w:line="560" w:lineRule="exact"/>
        <w:ind w:firstLine="480" w:firstLineChars="200"/>
        <w:textAlignment w:val="auto"/>
        <w:rPr>
          <w:rFonts w:hint="eastAsia" w:ascii="仿宋_GB2312" w:hAnsi="仿宋_GB2312" w:eastAsia="仿宋_GB2312" w:cs="仿宋_GB2312"/>
          <w:sz w:val="32"/>
          <w:szCs w:val="32"/>
          <w:lang w:eastAsia="zh-CN"/>
        </w:rPr>
      </w:pPr>
      <w:r>
        <w:rPr>
          <w:rFonts w:hint="eastAsia" w:asciiTheme="minorEastAsia" w:hAnsiTheme="minorEastAsia" w:eastAsiaTheme="minorEastAsia" w:cstheme="minorEastAsia"/>
          <w:sz w:val="24"/>
          <w:szCs w:val="24"/>
        </w:rPr>
        <w:t>采用上门服务方式实施安装</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保证每个区至少有一支服务队伍，上门服务需提前与企业、施工单位、机械所有者预约确定安装时间，由安装人员上门安装服务，</w:t>
      </w:r>
      <w:r>
        <w:rPr>
          <w:rFonts w:hint="eastAsia" w:asciiTheme="minorEastAsia" w:hAnsiTheme="minorEastAsia" w:eastAsiaTheme="minorEastAsia" w:cstheme="minorEastAsia"/>
          <w:sz w:val="24"/>
          <w:szCs w:val="24"/>
          <w:lang w:eastAsia="zh-CN"/>
        </w:rPr>
        <w:t>安装完成后现场进行调试，保证各项功能正常，定位监控数据正常传输至监管平台。</w:t>
      </w:r>
    </w:p>
    <w:p>
      <w:pPr>
        <w:pStyle w:val="9"/>
        <w:pageBreakBefore w:val="0"/>
        <w:widowControl w:val="0"/>
        <w:kinsoku/>
        <w:wordWrap/>
        <w:overflowPunct/>
        <w:topLinePunct w:val="0"/>
        <w:autoSpaceDE/>
        <w:autoSpaceDN/>
        <w:bidi w:val="0"/>
        <w:adjustRightInd w:val="0"/>
        <w:snapToGrid w:val="0"/>
        <w:spacing w:before="0" w:after="0" w:line="560" w:lineRule="exact"/>
        <w:ind w:firstLine="480" w:firstLineChars="200"/>
        <w:textAlignment w:val="auto"/>
        <w:rPr>
          <w:rFonts w:hint="eastAsia" w:ascii="宋体" w:hAnsi="宋体" w:eastAsia="宋体" w:cs="宋体"/>
          <w:b w:val="0"/>
          <w:bCs w:val="0"/>
          <w:sz w:val="24"/>
          <w:szCs w:val="24"/>
          <w:lang w:val="en-US" w:eastAsia="zh-CN"/>
        </w:rPr>
      </w:pPr>
      <w:bookmarkStart w:id="64" w:name="_Toc56874132"/>
      <w:r>
        <w:rPr>
          <w:rFonts w:hint="eastAsia" w:ascii="宋体" w:hAnsi="宋体" w:eastAsia="宋体" w:cs="宋体"/>
          <w:b w:val="0"/>
          <w:bCs w:val="0"/>
          <w:sz w:val="24"/>
          <w:szCs w:val="24"/>
          <w:lang w:val="en-US" w:eastAsia="zh-CN"/>
        </w:rPr>
        <w:t>4、验收要求</w:t>
      </w:r>
    </w:p>
    <w:p>
      <w:pPr>
        <w:pStyle w:val="9"/>
        <w:pageBreakBefore w:val="0"/>
        <w:widowControl w:val="0"/>
        <w:kinsoku/>
        <w:wordWrap/>
        <w:overflowPunct/>
        <w:topLinePunct w:val="0"/>
        <w:autoSpaceDE/>
        <w:autoSpaceDN/>
        <w:bidi w:val="0"/>
        <w:adjustRightInd w:val="0"/>
        <w:snapToGrid w:val="0"/>
        <w:spacing w:before="0" w:after="0" w:line="560" w:lineRule="exact"/>
        <w:ind w:firstLine="480" w:firstLineChars="200"/>
        <w:textAlignment w:val="auto"/>
        <w:rPr>
          <w:rFonts w:hint="eastAsia" w:ascii="宋体" w:hAnsi="宋体" w:eastAsia="宋体" w:cs="宋体"/>
          <w:b w:val="0"/>
          <w:bCs w:val="0"/>
          <w:strike w:val="0"/>
          <w:sz w:val="24"/>
          <w:szCs w:val="24"/>
          <w:lang w:val="en-US" w:eastAsia="zh-CN"/>
        </w:rPr>
      </w:pPr>
      <w:r>
        <w:rPr>
          <w:rFonts w:hint="eastAsia" w:ascii="宋体" w:hAnsi="宋体" w:eastAsia="宋体" w:cs="宋体"/>
          <w:b w:val="0"/>
          <w:bCs w:val="0"/>
          <w:strike w:val="0"/>
          <w:dstrike w:val="0"/>
          <w:sz w:val="24"/>
          <w:szCs w:val="24"/>
          <w:lang w:val="en-US" w:eastAsia="zh-CN"/>
        </w:rPr>
        <w:t>项目调试完成后稳定运行3个月进行验收。</w:t>
      </w:r>
      <w:r>
        <w:rPr>
          <w:rFonts w:hint="eastAsia" w:ascii="宋体" w:hAnsi="宋体" w:eastAsia="宋体" w:cs="宋体"/>
          <w:b w:val="0"/>
          <w:bCs w:val="0"/>
          <w:strike w:val="0"/>
          <w:dstrike w:val="0"/>
          <w:sz w:val="24"/>
          <w:szCs w:val="24"/>
          <w:lang w:eastAsia="zh-CN"/>
        </w:rPr>
        <w:t>验收合格后进入</w:t>
      </w:r>
      <w:r>
        <w:rPr>
          <w:rFonts w:hint="eastAsia" w:ascii="宋体" w:hAnsi="宋体" w:eastAsia="宋体" w:cs="宋体"/>
          <w:b w:val="0"/>
          <w:bCs w:val="0"/>
          <w:strike w:val="0"/>
          <w:dstrike w:val="0"/>
          <w:sz w:val="24"/>
          <w:szCs w:val="24"/>
          <w:lang w:val="en-US" w:eastAsia="zh-CN"/>
        </w:rPr>
        <w:t>3年质保</w:t>
      </w:r>
      <w:r>
        <w:rPr>
          <w:rFonts w:hint="eastAsia" w:ascii="宋体" w:hAnsi="宋体" w:eastAsia="宋体" w:cs="宋体"/>
          <w:b w:val="0"/>
          <w:bCs w:val="0"/>
          <w:strike w:val="0"/>
          <w:dstrike w:val="0"/>
          <w:sz w:val="24"/>
          <w:szCs w:val="24"/>
          <w:lang w:eastAsia="zh-CN"/>
        </w:rPr>
        <w:t>运维期</w:t>
      </w:r>
      <w:r>
        <w:rPr>
          <w:rFonts w:hint="eastAsia" w:ascii="宋体" w:hAnsi="宋体" w:eastAsia="宋体" w:cs="宋体"/>
          <w:b w:val="0"/>
          <w:bCs w:val="0"/>
          <w:strike w:val="0"/>
          <w:dstrike w:val="0"/>
          <w:sz w:val="24"/>
          <w:szCs w:val="24"/>
          <w:lang w:val="en-US" w:eastAsia="zh-CN"/>
        </w:rPr>
        <w:t>。运维期满后，提供两年数据采集传输服务。</w:t>
      </w:r>
    </w:p>
    <w:p>
      <w:pPr>
        <w:pStyle w:val="9"/>
        <w:pageBreakBefore w:val="0"/>
        <w:widowControl w:val="0"/>
        <w:kinsoku/>
        <w:wordWrap/>
        <w:overflowPunct/>
        <w:topLinePunct w:val="0"/>
        <w:autoSpaceDE/>
        <w:autoSpaceDN/>
        <w:bidi w:val="0"/>
        <w:adjustRightInd w:val="0"/>
        <w:snapToGrid w:val="0"/>
        <w:spacing w:before="0" w:after="0" w:line="560" w:lineRule="exact"/>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培训及</w:t>
      </w:r>
      <w:r>
        <w:rPr>
          <w:rFonts w:hint="eastAsia" w:ascii="宋体" w:hAnsi="宋体" w:eastAsia="宋体" w:cs="宋体"/>
          <w:b w:val="0"/>
          <w:bCs w:val="0"/>
          <w:sz w:val="24"/>
          <w:szCs w:val="24"/>
        </w:rPr>
        <w:t>运维</w:t>
      </w:r>
      <w:bookmarkEnd w:id="64"/>
      <w:r>
        <w:rPr>
          <w:rFonts w:hint="eastAsia" w:ascii="宋体" w:hAnsi="宋体" w:eastAsia="宋体" w:cs="宋体"/>
          <w:b w:val="0"/>
          <w:bCs w:val="0"/>
          <w:sz w:val="24"/>
          <w:szCs w:val="24"/>
          <w:lang w:eastAsia="zh-CN"/>
        </w:rPr>
        <w:t>服务</w:t>
      </w:r>
    </w:p>
    <w:p>
      <w:pPr>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对生态环境局和相关人员进行不少于2天理论及实操培训，确保甲方工作人员了解设备基本结构、工作原理、日常运行维护事项，掌握非道路移动机械位置信息监控平台与监控设备的安装部署、系统配置、日常应用等技术。</w:t>
      </w:r>
    </w:p>
    <w:p>
      <w:pPr>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）项目运行过程中按照</w:t>
      </w:r>
      <w:r>
        <w:rPr>
          <w:rFonts w:hint="eastAsia" w:ascii="宋体" w:hAnsi="宋体" w:eastAsia="宋体" w:cs="宋体"/>
          <w:sz w:val="24"/>
          <w:szCs w:val="24"/>
          <w:highlight w:val="none"/>
          <w:lang w:val="en-US" w:eastAsia="zh-CN"/>
        </w:rPr>
        <w:t>《山东省非道路移动机械在线监控及联网技术要求》</w:t>
      </w:r>
      <w:r>
        <w:rPr>
          <w:rFonts w:hint="eastAsia" w:ascii="宋体" w:hAnsi="宋体" w:eastAsia="宋体" w:cs="宋体"/>
          <w:sz w:val="24"/>
          <w:szCs w:val="24"/>
          <w:highlight w:val="none"/>
          <w:lang w:eastAsia="zh-CN"/>
        </w:rPr>
        <w:t>向</w:t>
      </w:r>
      <w:r>
        <w:rPr>
          <w:rFonts w:hint="eastAsia" w:ascii="宋体" w:hAnsi="宋体" w:eastAsia="宋体" w:cs="宋体"/>
          <w:sz w:val="24"/>
          <w:szCs w:val="24"/>
          <w:highlight w:val="none"/>
          <w:lang w:val="en-US" w:eastAsia="zh-CN"/>
        </w:rPr>
        <w:t>省、市</w:t>
      </w:r>
      <w:r>
        <w:rPr>
          <w:rFonts w:hint="eastAsia" w:ascii="宋体" w:hAnsi="宋体" w:eastAsia="宋体" w:cs="宋体"/>
          <w:sz w:val="24"/>
          <w:szCs w:val="24"/>
          <w:highlight w:val="none"/>
          <w:lang w:eastAsia="zh-CN"/>
        </w:rPr>
        <w:t>平台</w:t>
      </w:r>
      <w:r>
        <w:rPr>
          <w:rFonts w:hint="eastAsia" w:ascii="宋体" w:hAnsi="宋体" w:eastAsia="宋体" w:cs="宋体"/>
          <w:sz w:val="24"/>
          <w:szCs w:val="24"/>
          <w:highlight w:val="none"/>
          <w:lang w:val="en-US" w:eastAsia="zh-CN"/>
        </w:rPr>
        <w:t>同步</w:t>
      </w:r>
      <w:r>
        <w:rPr>
          <w:rFonts w:hint="eastAsia" w:ascii="宋体" w:hAnsi="宋体" w:eastAsia="宋体" w:cs="宋体"/>
          <w:sz w:val="24"/>
          <w:szCs w:val="24"/>
          <w:highlight w:val="none"/>
          <w:lang w:eastAsia="zh-CN"/>
        </w:rPr>
        <w:t>上传</w:t>
      </w:r>
      <w:r>
        <w:rPr>
          <w:rFonts w:hint="eastAsia" w:ascii="宋体" w:hAnsi="宋体" w:eastAsia="宋体" w:cs="宋体"/>
          <w:sz w:val="24"/>
          <w:szCs w:val="24"/>
          <w:highlight w:val="none"/>
          <w:lang w:val="en-US" w:eastAsia="zh-CN"/>
        </w:rPr>
        <w:t>定位</w:t>
      </w:r>
      <w:r>
        <w:rPr>
          <w:rFonts w:hint="eastAsia" w:ascii="宋体" w:hAnsi="宋体" w:eastAsia="宋体" w:cs="宋体"/>
          <w:sz w:val="24"/>
          <w:szCs w:val="24"/>
          <w:highlight w:val="none"/>
          <w:lang w:eastAsia="zh-CN"/>
        </w:rPr>
        <w:t>数据</w:t>
      </w:r>
      <w:r>
        <w:rPr>
          <w:rFonts w:hint="eastAsia" w:ascii="宋体" w:hAnsi="宋体" w:eastAsia="宋体" w:cs="宋体"/>
          <w:sz w:val="24"/>
          <w:szCs w:val="24"/>
          <w:lang w:eastAsia="zh-CN"/>
        </w:rPr>
        <w:t>。</w:t>
      </w:r>
    </w:p>
    <w:p>
      <w:pPr>
        <w:pStyle w:val="10"/>
        <w:pageBreakBefore w:val="0"/>
        <w:widowControl w:val="0"/>
        <w:kinsoku/>
        <w:wordWrap/>
        <w:overflowPunct/>
        <w:topLinePunct w:val="0"/>
        <w:autoSpaceDE/>
        <w:autoSpaceDN/>
        <w:bidi w:val="0"/>
        <w:spacing w:line="560" w:lineRule="exact"/>
        <w:ind w:firstLine="723"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）供应商每</w:t>
      </w:r>
      <w:r>
        <w:rPr>
          <w:rFonts w:hint="eastAsia" w:ascii="宋体" w:hAnsi="宋体" w:eastAsia="宋体" w:cs="宋体"/>
          <w:sz w:val="24"/>
          <w:szCs w:val="24"/>
          <w:lang w:val="en-US" w:eastAsia="zh-CN"/>
        </w:rPr>
        <w:t>日通过监控平台进行巡查，</w:t>
      </w:r>
      <w:r>
        <w:rPr>
          <w:rFonts w:hint="eastAsia" w:ascii="宋体" w:hAnsi="宋体" w:eastAsia="宋体" w:cs="宋体"/>
          <w:sz w:val="24"/>
          <w:szCs w:val="24"/>
          <w:lang w:eastAsia="zh-CN"/>
        </w:rPr>
        <w:t>对离线</w:t>
      </w:r>
      <w:r>
        <w:rPr>
          <w:rFonts w:hint="eastAsia" w:ascii="宋体" w:hAnsi="宋体" w:eastAsia="宋体" w:cs="宋体"/>
          <w:sz w:val="24"/>
          <w:szCs w:val="24"/>
          <w:lang w:val="en-US" w:eastAsia="zh-CN"/>
        </w:rPr>
        <w:t>终端</w:t>
      </w:r>
      <w:r>
        <w:rPr>
          <w:rFonts w:hint="eastAsia" w:ascii="宋体" w:hAnsi="宋体" w:eastAsia="宋体" w:cs="宋体"/>
          <w:sz w:val="24"/>
          <w:szCs w:val="24"/>
          <w:lang w:eastAsia="zh-CN"/>
        </w:rPr>
        <w:t>进行电话回访及</w:t>
      </w:r>
      <w:r>
        <w:rPr>
          <w:rFonts w:hint="eastAsia" w:ascii="宋体" w:hAnsi="宋体" w:eastAsia="宋体" w:cs="宋体"/>
          <w:sz w:val="24"/>
          <w:szCs w:val="24"/>
          <w:lang w:val="en-US" w:eastAsia="zh-CN"/>
        </w:rPr>
        <w:t>现场</w:t>
      </w:r>
      <w:r>
        <w:rPr>
          <w:rFonts w:hint="eastAsia" w:ascii="宋体" w:hAnsi="宋体" w:eastAsia="宋体" w:cs="宋体"/>
          <w:sz w:val="24"/>
          <w:szCs w:val="24"/>
          <w:lang w:eastAsia="zh-CN"/>
        </w:rPr>
        <w:t>巡检，根据巡检情况分析并形成运维</w:t>
      </w:r>
      <w:r>
        <w:rPr>
          <w:rFonts w:hint="eastAsia" w:ascii="宋体" w:hAnsi="宋体" w:eastAsia="宋体" w:cs="宋体"/>
          <w:sz w:val="24"/>
          <w:szCs w:val="24"/>
          <w:lang w:val="en-US" w:eastAsia="zh-CN"/>
        </w:rPr>
        <w:t>日志</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每月形成</w:t>
      </w:r>
      <w:r>
        <w:rPr>
          <w:rFonts w:hint="eastAsia" w:ascii="宋体" w:hAnsi="宋体" w:eastAsia="宋体" w:cs="宋体"/>
          <w:sz w:val="24"/>
          <w:szCs w:val="24"/>
          <w:lang w:eastAsia="zh-CN"/>
        </w:rPr>
        <w:t>运维报告及相关纸质记录备查，确保每月</w:t>
      </w:r>
      <w:r>
        <w:rPr>
          <w:rFonts w:hint="eastAsia" w:ascii="宋体" w:hAnsi="宋体" w:eastAsia="宋体" w:cs="宋体"/>
          <w:sz w:val="24"/>
          <w:szCs w:val="24"/>
          <w:lang w:val="en-US" w:eastAsia="zh-CN"/>
        </w:rPr>
        <w:t>终端</w:t>
      </w:r>
      <w:r>
        <w:rPr>
          <w:rFonts w:hint="eastAsia" w:ascii="宋体" w:hAnsi="宋体" w:eastAsia="宋体" w:cs="宋体"/>
          <w:sz w:val="24"/>
          <w:szCs w:val="24"/>
          <w:lang w:eastAsia="zh-CN"/>
        </w:rPr>
        <w:t>在线率不低于</w:t>
      </w:r>
      <w:r>
        <w:rPr>
          <w:rFonts w:hint="eastAsia" w:ascii="宋体" w:hAnsi="宋体" w:eastAsia="宋体" w:cs="宋体"/>
          <w:sz w:val="24"/>
          <w:szCs w:val="24"/>
          <w:lang w:val="en-US" w:eastAsia="zh-CN"/>
        </w:rPr>
        <w:t>70%。</w:t>
      </w:r>
    </w:p>
    <w:p>
      <w:pPr>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highlight w:val="none"/>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供应商</w:t>
      </w:r>
      <w:r>
        <w:rPr>
          <w:rFonts w:hint="eastAsia" w:ascii="宋体" w:hAnsi="宋体" w:eastAsia="宋体" w:cs="宋体"/>
          <w:sz w:val="24"/>
          <w:szCs w:val="24"/>
        </w:rPr>
        <w:t>组建不低于</w:t>
      </w:r>
      <w:r>
        <w:rPr>
          <w:rFonts w:hint="eastAsia" w:ascii="宋体" w:hAnsi="宋体" w:eastAsia="宋体" w:cs="宋体"/>
          <w:sz w:val="24"/>
          <w:szCs w:val="24"/>
          <w:lang w:val="en-US" w:eastAsia="zh-CN"/>
        </w:rPr>
        <w:t>5</w:t>
      </w:r>
      <w:r>
        <w:rPr>
          <w:rFonts w:hint="eastAsia" w:ascii="宋体" w:hAnsi="宋体" w:eastAsia="宋体" w:cs="宋体"/>
          <w:sz w:val="24"/>
          <w:szCs w:val="24"/>
        </w:rPr>
        <w:t>人的项目</w:t>
      </w:r>
      <w:r>
        <w:rPr>
          <w:rFonts w:hint="eastAsia" w:ascii="宋体" w:hAnsi="宋体" w:eastAsia="宋体" w:cs="宋体"/>
          <w:sz w:val="24"/>
          <w:szCs w:val="24"/>
          <w:lang w:eastAsia="zh-CN"/>
        </w:rPr>
        <w:t>运维</w:t>
      </w:r>
      <w:r>
        <w:rPr>
          <w:rFonts w:hint="eastAsia" w:ascii="宋体" w:hAnsi="宋体" w:eastAsia="宋体" w:cs="宋体"/>
          <w:sz w:val="24"/>
          <w:szCs w:val="24"/>
        </w:rPr>
        <w:t>服务团队，其中项目负责人和运维人员应在服务期内相对固定，未征得建设单位同意，不得随意更换</w:t>
      </w:r>
      <w:r>
        <w:rPr>
          <w:rFonts w:hint="eastAsia" w:ascii="宋体" w:hAnsi="宋体" w:eastAsia="宋体" w:cs="宋体"/>
          <w:sz w:val="24"/>
          <w:szCs w:val="24"/>
          <w:highlight w:val="none"/>
        </w:rPr>
        <w:t>。</w:t>
      </w:r>
    </w:p>
    <w:p>
      <w:pPr>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cs="宋体"/>
          <w:sz w:val="24"/>
          <w:szCs w:val="24"/>
          <w:lang w:val="en-US" w:eastAsia="zh-CN"/>
        </w:rPr>
        <w:t>项目验收后，供应商应派1人驻甲方服务，负责日常运维和考核工作</w:t>
      </w:r>
      <w:r>
        <w:rPr>
          <w:rFonts w:hint="eastAsia" w:ascii="宋体" w:hAnsi="宋体" w:eastAsia="宋体" w:cs="宋体"/>
          <w:color w:val="auto"/>
          <w:sz w:val="24"/>
          <w:szCs w:val="24"/>
          <w:lang w:val="en-US" w:eastAsia="zh-CN"/>
        </w:rPr>
        <w:t>。</w:t>
      </w:r>
      <w:r>
        <w:rPr>
          <w:rFonts w:hint="eastAsia" w:ascii="宋体" w:hAnsi="宋体" w:eastAsia="宋体" w:cs="宋体"/>
          <w:sz w:val="24"/>
          <w:szCs w:val="24"/>
          <w:lang w:eastAsia="zh-CN"/>
        </w:rPr>
        <w:t>对采购方提出的问题或技术支持要求，供应商在</w:t>
      </w:r>
      <w:r>
        <w:rPr>
          <w:rFonts w:hint="eastAsia" w:ascii="宋体" w:hAnsi="宋体" w:eastAsia="宋体" w:cs="宋体"/>
          <w:sz w:val="24"/>
          <w:szCs w:val="24"/>
          <w:lang w:val="en-US" w:eastAsia="zh-CN"/>
        </w:rPr>
        <w:t>2小时内给予响应，24小时内给予解决。</w:t>
      </w:r>
    </w:p>
    <w:p>
      <w:pPr>
        <w:pStyle w:val="10"/>
        <w:pageBreakBefore w:val="0"/>
        <w:widowControl w:val="0"/>
        <w:kinsoku/>
        <w:wordWrap/>
        <w:overflowPunct/>
        <w:topLinePunct w:val="0"/>
        <w:autoSpaceDE/>
        <w:autoSpaceDN/>
        <w:bidi w:val="0"/>
        <w:spacing w:line="560" w:lineRule="exact"/>
        <w:ind w:firstLine="723"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（6）为确保定位监控数据上传，供应商对损坏或丢失的定位监控装置维修或更换，不得收取费用。</w:t>
      </w:r>
    </w:p>
    <w:p>
      <w:pPr>
        <w:pageBreakBefore w:val="0"/>
        <w:widowControl w:val="0"/>
        <w:kinsoku/>
        <w:wordWrap/>
        <w:overflowPunct/>
        <w:topLinePunct w:val="0"/>
        <w:autoSpaceDE/>
        <w:autoSpaceDN/>
        <w:bidi w:val="0"/>
        <w:spacing w:line="560" w:lineRule="exact"/>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（7）供应商根据《山东省非道路移动机械在线监控及联网技术要求》，提供免费定位监控装置升级服务，升级时间应符合规范要求，确保监控数据符合技术规范要求。</w:t>
      </w:r>
    </w:p>
    <w:p>
      <w:pPr>
        <w:bidi w:val="0"/>
        <w:spacing w:line="360" w:lineRule="auto"/>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宋体" w:hAnsi="宋体" w:cs="宋体"/>
          <w:sz w:val="24"/>
          <w:szCs w:val="24"/>
          <w:lang w:val="en-US" w:eastAsia="zh-CN"/>
        </w:rPr>
        <w:t>无条件</w:t>
      </w:r>
      <w:r>
        <w:rPr>
          <w:rFonts w:hint="eastAsia" w:ascii="宋体" w:hAnsi="宋体" w:eastAsia="宋体" w:cs="宋体"/>
          <w:sz w:val="24"/>
          <w:szCs w:val="24"/>
          <w:lang w:val="en-US" w:eastAsia="zh-CN"/>
        </w:rPr>
        <w:t>配合采购方对生态环境综合监管平台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和执法APP等信息化平台开发</w:t>
      </w:r>
      <w:r>
        <w:rPr>
          <w:rFonts w:hint="eastAsia" w:ascii="宋体" w:hAnsi="宋体" w:eastAsia="宋体" w:cs="宋体"/>
          <w:sz w:val="24"/>
          <w:szCs w:val="24"/>
          <w:lang w:val="en-US" w:eastAsia="zh-CN"/>
        </w:rPr>
        <w:t>提供数据接入服务和技术支持。</w:t>
      </w:r>
    </w:p>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七、预算明细表</w:t>
      </w:r>
      <w:r>
        <w:rPr>
          <w:rFonts w:hint="eastAsia" w:ascii="宋体" w:hAnsi="宋体" w:cs="宋体"/>
          <w:sz w:val="24"/>
          <w:szCs w:val="24"/>
          <w:lang w:val="en-US" w:eastAsia="zh-CN"/>
        </w:rPr>
        <w:t>（包一、包二各6000台，具体划分详见第四）</w:t>
      </w:r>
    </w:p>
    <w:tbl>
      <w:tblPr>
        <w:tblStyle w:val="23"/>
        <w:tblW w:w="8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993"/>
        <w:gridCol w:w="1290"/>
        <w:gridCol w:w="1380"/>
        <w:gridCol w:w="1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993"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960" w:firstLineChars="40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支出项目名称</w:t>
            </w:r>
          </w:p>
        </w:tc>
        <w:tc>
          <w:tcPr>
            <w:tcW w:w="129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数量（台）</w:t>
            </w:r>
          </w:p>
        </w:tc>
        <w:tc>
          <w:tcPr>
            <w:tcW w:w="138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单价（元）</w:t>
            </w:r>
          </w:p>
        </w:tc>
        <w:tc>
          <w:tcPr>
            <w:tcW w:w="1515"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top"/>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993"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非道路移动机械实时定位监控数据来源服务费3年</w:t>
            </w:r>
          </w:p>
        </w:tc>
        <w:tc>
          <w:tcPr>
            <w:tcW w:w="129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12000</w:t>
            </w:r>
          </w:p>
        </w:tc>
        <w:tc>
          <w:tcPr>
            <w:tcW w:w="138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515"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jc w:val="both"/>
              <w:textAlignment w:val="auto"/>
              <w:rPr>
                <w:rFonts w:hint="eastAsia" w:ascii="宋体" w:hAnsi="宋体" w:eastAsia="宋体" w:cs="宋体"/>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top"/>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993"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定位监控设备安装</w:t>
            </w:r>
          </w:p>
        </w:tc>
        <w:tc>
          <w:tcPr>
            <w:tcW w:w="129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12000</w:t>
            </w:r>
          </w:p>
        </w:tc>
        <w:tc>
          <w:tcPr>
            <w:tcW w:w="138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515"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jc w:val="both"/>
              <w:textAlignment w:val="auto"/>
              <w:rPr>
                <w:rFonts w:hint="eastAsia" w:ascii="宋体" w:hAnsi="宋体" w:eastAsia="宋体" w:cs="宋体"/>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top"/>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2993"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定位监控设备5年网络流量费</w:t>
            </w:r>
          </w:p>
        </w:tc>
        <w:tc>
          <w:tcPr>
            <w:tcW w:w="129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12000</w:t>
            </w:r>
          </w:p>
        </w:tc>
        <w:tc>
          <w:tcPr>
            <w:tcW w:w="1380" w:type="dxa"/>
          </w:tcPr>
          <w:p>
            <w:pPr>
              <w:pStyle w:val="2"/>
              <w:keepNext w:val="0"/>
              <w:keepLines w:val="0"/>
              <w:pageBreakBefore w:val="0"/>
              <w:widowControl w:val="0"/>
              <w:tabs>
                <w:tab w:val="center" w:pos="642"/>
                <w:tab w:val="right" w:pos="1164"/>
              </w:tabs>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sz w:val="24"/>
                <w:szCs w:val="24"/>
                <w:highlight w:val="none"/>
                <w:vertAlign w:val="baseline"/>
                <w:lang w:val="en-US" w:eastAsia="zh-CN"/>
              </w:rPr>
            </w:pPr>
          </w:p>
        </w:tc>
        <w:tc>
          <w:tcPr>
            <w:tcW w:w="1515"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jc w:val="both"/>
              <w:textAlignment w:val="auto"/>
              <w:rPr>
                <w:rFonts w:hint="eastAsia" w:ascii="宋体" w:hAnsi="宋体" w:eastAsia="宋体" w:cs="宋体"/>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top"/>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2993"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对定位监控设备进行巡检以及损坏设备的维修与更换</w:t>
            </w:r>
          </w:p>
        </w:tc>
        <w:tc>
          <w:tcPr>
            <w:tcW w:w="129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12000</w:t>
            </w:r>
          </w:p>
        </w:tc>
        <w:tc>
          <w:tcPr>
            <w:tcW w:w="138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p>
        </w:tc>
        <w:tc>
          <w:tcPr>
            <w:tcW w:w="1515"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jc w:val="both"/>
              <w:textAlignment w:val="auto"/>
              <w:rPr>
                <w:rFonts w:hint="eastAsia" w:ascii="宋体" w:hAnsi="宋体" w:eastAsia="宋体" w:cs="宋体"/>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top"/>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合计</w:t>
            </w:r>
          </w:p>
        </w:tc>
        <w:tc>
          <w:tcPr>
            <w:tcW w:w="2993"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highlight w:val="none"/>
                <w:vertAlign w:val="baseline"/>
                <w:lang w:val="en-US" w:eastAsia="zh-CN"/>
              </w:rPr>
            </w:pPr>
          </w:p>
        </w:tc>
        <w:tc>
          <w:tcPr>
            <w:tcW w:w="129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highlight w:val="none"/>
                <w:vertAlign w:val="baseline"/>
                <w:lang w:val="en-US" w:eastAsia="zh-CN"/>
              </w:rPr>
            </w:pPr>
          </w:p>
        </w:tc>
        <w:tc>
          <w:tcPr>
            <w:tcW w:w="1380"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highlight w:val="none"/>
                <w:vertAlign w:val="baseline"/>
                <w:lang w:val="en-US" w:eastAsia="zh-CN"/>
              </w:rPr>
            </w:pPr>
          </w:p>
        </w:tc>
        <w:tc>
          <w:tcPr>
            <w:tcW w:w="1515" w:type="dxa"/>
          </w:tcPr>
          <w:p>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240" w:firstLineChars="100"/>
              <w:textAlignment w:val="auto"/>
              <w:rPr>
                <w:rFonts w:hint="eastAsia" w:ascii="宋体" w:hAnsi="宋体" w:eastAsia="宋体" w:cs="宋体"/>
                <w:sz w:val="24"/>
                <w:szCs w:val="24"/>
                <w:highlight w:val="none"/>
                <w:vertAlign w:val="baseline"/>
                <w:lang w:val="en-US" w:eastAsia="zh-CN"/>
              </w:rPr>
            </w:pPr>
          </w:p>
        </w:tc>
      </w:tr>
    </w:tbl>
    <w:p>
      <w:pPr>
        <w:pageBreakBefore w:val="0"/>
        <w:widowControl w:val="0"/>
        <w:kinsoku/>
        <w:wordWrap/>
        <w:overflowPunct/>
        <w:topLinePunct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p>
    <w:p>
      <w:pPr>
        <w:pageBreakBefore w:val="0"/>
        <w:widowControl w:val="0"/>
        <w:kinsoku/>
        <w:wordWrap/>
        <w:overflowPunct/>
        <w:topLinePunct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八、付款方式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合同签订后支付合同额的30%，验收合格后支付合同额的40%，合同金额的30%作为服务运维费，分3年按运维考核结果分期支付。支付第三年运维服务费前，供应商需再支付2年流量费，否则不予支付第三年度运维服务费。</w:t>
      </w:r>
    </w:p>
    <w:p>
      <w:pPr>
        <w:pStyle w:val="2"/>
        <w:spacing w:line="360" w:lineRule="auto"/>
        <w:ind w:left="0" w:leftChars="0"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进入运维期后，定位装置年度在线率大于70%（含）支付合同金额的10%，定位装置年度在线率大于60%（含）小于70%支付合同金额的8%，定位装置年度在线率大于50%（含）小于60%支付合同金额的6%,定位装置年度在线率小于50%，视为考核不合格，不予支付运维费。</w:t>
      </w:r>
    </w:p>
    <w:p>
      <w:pPr>
        <w:pageBreakBefore w:val="0"/>
        <w:widowControl w:val="0"/>
        <w:kinsoku/>
        <w:wordWrap/>
        <w:overflowPunct/>
        <w:topLinePunct w:val="0"/>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2"/>
          <w:sz w:val="24"/>
          <w:szCs w:val="24"/>
          <w:lang w:val="en-US" w:eastAsia="zh-CN" w:bidi="ar-SA"/>
        </w:rPr>
      </w:pPr>
      <w:bookmarkStart w:id="65" w:name="_Toc4591"/>
      <w:bookmarkStart w:id="66" w:name="_Toc15587"/>
      <w:r>
        <w:rPr>
          <w:rFonts w:hint="eastAsia" w:asciiTheme="minorEastAsia" w:hAnsiTheme="minorEastAsia" w:eastAsiaTheme="minorEastAsia" w:cstheme="minorEastAsia"/>
          <w:color w:val="auto"/>
          <w:kern w:val="2"/>
          <w:sz w:val="24"/>
          <w:szCs w:val="24"/>
          <w:lang w:val="en-US" w:eastAsia="zh-CN" w:bidi="ar-SA"/>
        </w:rPr>
        <w:t>九、项目绩效</w:t>
      </w:r>
      <w:bookmarkEnd w:id="65"/>
      <w:bookmarkEnd w:id="66"/>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通过聊城市生态环境局非道路移动机械实时定位装置安装项目的实施，能够实时</w:t>
      </w:r>
      <w:r>
        <w:rPr>
          <w:rStyle w:val="58"/>
          <w:rFonts w:hint="eastAsia" w:asciiTheme="minorEastAsia" w:hAnsiTheme="minorEastAsia" w:eastAsiaTheme="minorEastAsia" w:cstheme="minorEastAsia"/>
          <w:color w:val="auto"/>
          <w:sz w:val="24"/>
          <w:szCs w:val="24"/>
        </w:rPr>
        <w:t>掌握非道路移动机械位置信息，加严对高排禁用区的管控，特别是重污染天气应急响应期间机械使用情况，能够让监管部门准确计算和掌握机械污染排放量和排放状态</w:t>
      </w:r>
      <w:r>
        <w:rPr>
          <w:rFonts w:hint="eastAsia" w:asciiTheme="minorEastAsia" w:hAnsiTheme="minorEastAsia" w:eastAsiaTheme="minorEastAsia" w:cstheme="minorEastAsia"/>
          <w:color w:val="auto"/>
          <w:kern w:val="2"/>
          <w:sz w:val="24"/>
          <w:szCs w:val="24"/>
          <w:lang w:val="en-US" w:eastAsia="zh-CN" w:bidi="ar-SA"/>
        </w:rPr>
        <w:t>，为有效监管提供基础条件，有效解决非道路移动机械的环境污染问题，进一步促进我市环境空气质量改善。</w:t>
      </w:r>
    </w:p>
    <w:p>
      <w:pPr>
        <w:pageBreakBefore w:val="0"/>
        <w:widowControl w:val="0"/>
        <w:kinsoku/>
        <w:wordWrap/>
        <w:overflowPunct/>
        <w:topLinePunct w:val="0"/>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十、验收方式方法</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Theme="minorEastAsia" w:hAnsiTheme="minorEastAsia" w:eastAsiaTheme="minorEastAsia" w:cstheme="minorEastAsia"/>
          <w:color w:val="auto"/>
          <w:kern w:val="2"/>
          <w:sz w:val="24"/>
          <w:szCs w:val="24"/>
          <w:lang w:val="en-US" w:eastAsia="zh-CN" w:bidi="ar-SA"/>
        </w:rPr>
        <w:t>按照“聊城市生态环境局政府采购管理暂行规定的通知”（试行）中的验收要求开展验收。</w:t>
      </w:r>
    </w:p>
    <w:p>
      <w:pPr>
        <w:bidi w:val="0"/>
        <w:ind w:firstLine="480" w:firstLineChars="200"/>
        <w:jc w:val="left"/>
        <w:rPr>
          <w:rFonts w:ascii="宋体" w:hAnsi="宋体" w:cs="宋体"/>
          <w:sz w:val="44"/>
          <w:szCs w:val="44"/>
        </w:rPr>
      </w:pPr>
      <w:r>
        <w:rPr>
          <w:rFonts w:hint="eastAsia" w:ascii="宋体" w:hAnsi="宋体" w:cs="宋体"/>
          <w:color w:val="0000FF"/>
          <w:sz w:val="24"/>
          <w:szCs w:val="24"/>
        </w:rPr>
        <w:br w:type="page"/>
      </w:r>
      <w:bookmarkEnd w:id="53"/>
      <w:bookmarkStart w:id="67" w:name="_Toc12894"/>
      <w:r>
        <w:rPr>
          <w:rFonts w:hint="eastAsia" w:ascii="宋体" w:hAnsi="宋体" w:cs="宋体"/>
          <w:color w:val="0000FF"/>
          <w:sz w:val="24"/>
          <w:szCs w:val="24"/>
          <w:lang w:val="en-US" w:eastAsia="zh-CN"/>
        </w:rPr>
        <w:t xml:space="preserve">                 </w:t>
      </w:r>
      <w:r>
        <w:rPr>
          <w:rFonts w:hint="eastAsia" w:ascii="宋体" w:hAnsi="宋体" w:cs="宋体"/>
          <w:sz w:val="44"/>
          <w:szCs w:val="44"/>
        </w:rPr>
        <w:t>第四章开标、评标、定标</w:t>
      </w:r>
      <w:bookmarkEnd w:id="67"/>
    </w:p>
    <w:p>
      <w:pPr>
        <w:spacing w:line="360" w:lineRule="auto"/>
        <w:ind w:firstLine="482" w:firstLineChars="200"/>
        <w:rPr>
          <w:rFonts w:ascii="宋体" w:hAnsi="宋体" w:cs="宋体"/>
          <w:b/>
          <w:sz w:val="24"/>
          <w:szCs w:val="24"/>
        </w:rPr>
      </w:pPr>
      <w:r>
        <w:rPr>
          <w:rFonts w:hint="eastAsia" w:ascii="宋体" w:hAnsi="宋体" w:cs="宋体"/>
          <w:b/>
          <w:sz w:val="24"/>
          <w:szCs w:val="24"/>
        </w:rPr>
        <w:t>一、开标</w:t>
      </w:r>
    </w:p>
    <w:p>
      <w:pPr>
        <w:tabs>
          <w:tab w:val="left" w:pos="0"/>
          <w:tab w:val="left" w:pos="180"/>
          <w:tab w:val="left" w:pos="360"/>
        </w:tabs>
        <w:spacing w:line="360" w:lineRule="auto"/>
        <w:ind w:firstLine="480" w:firstLineChars="200"/>
        <w:rPr>
          <w:rFonts w:ascii="宋体" w:hAnsi="宋体" w:cs="宋体"/>
          <w:b/>
          <w:sz w:val="24"/>
          <w:szCs w:val="24"/>
        </w:rPr>
      </w:pPr>
      <w:r>
        <w:rPr>
          <w:rFonts w:hint="eastAsia" w:ascii="宋体" w:hAnsi="宋体" w:cs="宋体"/>
          <w:sz w:val="24"/>
          <w:szCs w:val="24"/>
        </w:rPr>
        <w:t>1、</w:t>
      </w:r>
      <w:r>
        <w:rPr>
          <w:rFonts w:hint="eastAsia" w:ascii="宋体" w:hAnsi="宋体" w:cs="宋体"/>
          <w:b/>
          <w:sz w:val="24"/>
          <w:szCs w:val="24"/>
        </w:rPr>
        <w:t>开标形式</w:t>
      </w:r>
    </w:p>
    <w:p>
      <w:pPr>
        <w:tabs>
          <w:tab w:val="left" w:pos="0"/>
          <w:tab w:val="left" w:pos="180"/>
          <w:tab w:val="left" w:pos="360"/>
        </w:tabs>
        <w:spacing w:line="360" w:lineRule="auto"/>
        <w:ind w:firstLine="482" w:firstLineChars="200"/>
        <w:rPr>
          <w:rFonts w:ascii="宋体" w:hAnsi="宋体" w:cs="宋体"/>
          <w:b/>
          <w:sz w:val="24"/>
          <w:szCs w:val="24"/>
        </w:rPr>
      </w:pPr>
      <w:r>
        <w:rPr>
          <w:rFonts w:hint="eastAsia" w:ascii="宋体" w:hAnsi="宋体" w:cs="宋体"/>
          <w:b/>
          <w:sz w:val="24"/>
          <w:szCs w:val="24"/>
        </w:rPr>
        <w:t>1.1、电子唱标。电子报价文件递交截止时间同开标时间一致。</w:t>
      </w:r>
    </w:p>
    <w:p>
      <w:pPr>
        <w:tabs>
          <w:tab w:val="left" w:pos="0"/>
          <w:tab w:val="left" w:pos="180"/>
          <w:tab w:val="left" w:pos="360"/>
        </w:tabs>
        <w:spacing w:line="360" w:lineRule="auto"/>
        <w:ind w:firstLine="482" w:firstLineChars="200"/>
        <w:rPr>
          <w:rFonts w:hint="eastAsia" w:ascii="宋体" w:hAnsi="宋体" w:eastAsia="宋体" w:cs="宋体"/>
          <w:b/>
          <w:sz w:val="24"/>
          <w:szCs w:val="24"/>
          <w:lang w:eastAsia="zh-CN"/>
        </w:rPr>
      </w:pPr>
      <w:r>
        <w:rPr>
          <w:rFonts w:hint="eastAsia" w:ascii="宋体" w:hAnsi="宋体" w:cs="宋体"/>
          <w:b/>
          <w:sz w:val="24"/>
          <w:szCs w:val="24"/>
        </w:rPr>
        <w:t>在报价截止时间前半小时，各投标人即可解密，使各自的电子报价文件处于待解密状态。开标时间到达且全部投标人电子报价文件处于可解密状态后，插入代理公司CA锁正式解密报价文件，并通过电子系统依次公开唱价。</w:t>
      </w:r>
    </w:p>
    <w:p>
      <w:pPr>
        <w:tabs>
          <w:tab w:val="left" w:pos="0"/>
          <w:tab w:val="left" w:pos="180"/>
          <w:tab w:val="left" w:pos="360"/>
        </w:tabs>
        <w:spacing w:line="360" w:lineRule="auto"/>
        <w:ind w:firstLine="482" w:firstLineChars="200"/>
        <w:rPr>
          <w:rFonts w:ascii="宋体" w:hAnsi="宋体" w:cs="宋体"/>
          <w:b/>
          <w:sz w:val="24"/>
          <w:szCs w:val="24"/>
        </w:rPr>
      </w:pPr>
      <w:r>
        <w:rPr>
          <w:rFonts w:hint="eastAsia" w:ascii="宋体" w:hAnsi="宋体" w:cs="宋体"/>
          <w:b/>
          <w:sz w:val="24"/>
          <w:szCs w:val="24"/>
        </w:rPr>
        <w:t>若报价文件已处于待解密状态，开标前放弃投标的，请现场联系代理公司工作人员撤回报价文件。</w:t>
      </w:r>
    </w:p>
    <w:p>
      <w:pPr>
        <w:tabs>
          <w:tab w:val="left" w:pos="0"/>
          <w:tab w:val="left" w:pos="180"/>
          <w:tab w:val="left" w:pos="360"/>
        </w:tabs>
        <w:spacing w:line="360" w:lineRule="auto"/>
        <w:ind w:firstLine="482" w:firstLineChars="200"/>
        <w:rPr>
          <w:rFonts w:ascii="宋体" w:hAnsi="宋体" w:cs="宋体"/>
          <w:b/>
          <w:sz w:val="24"/>
          <w:szCs w:val="24"/>
        </w:rPr>
      </w:pPr>
      <w:r>
        <w:rPr>
          <w:rFonts w:hint="eastAsia" w:ascii="宋体" w:hAnsi="宋体" w:cs="宋体"/>
          <w:b/>
          <w:sz w:val="24"/>
          <w:szCs w:val="24"/>
        </w:rPr>
        <w:t>投标截止时间后，电子招投标系统将不再接收电子报价文件，投标人在投标截止时间后到达、拒绝解密、开标时间后导致无法解密、或因自身原因在规定时间内解密失败的，其报价文件将被拒绝且作无效报价处理。</w:t>
      </w:r>
    </w:p>
    <w:p>
      <w:pPr>
        <w:tabs>
          <w:tab w:val="left" w:pos="0"/>
          <w:tab w:val="left" w:pos="180"/>
          <w:tab w:val="left" w:pos="360"/>
        </w:tabs>
        <w:spacing w:line="360" w:lineRule="auto"/>
        <w:ind w:firstLine="482" w:firstLineChars="200"/>
        <w:rPr>
          <w:rFonts w:ascii="宋体" w:hAnsi="宋体" w:cs="宋体"/>
          <w:b/>
          <w:sz w:val="24"/>
          <w:szCs w:val="24"/>
        </w:rPr>
      </w:pPr>
      <w:r>
        <w:rPr>
          <w:rFonts w:hint="eastAsia" w:ascii="宋体" w:hAnsi="宋体" w:cs="宋体"/>
          <w:b/>
          <w:sz w:val="24"/>
          <w:szCs w:val="24"/>
        </w:rPr>
        <w:t>1.2、评审之前，对投标人进行资格审查，资格审查未通过的不再进行下一步评审。</w:t>
      </w:r>
    </w:p>
    <w:p>
      <w:pPr>
        <w:spacing w:line="360" w:lineRule="auto"/>
        <w:ind w:firstLine="480" w:firstLineChars="200"/>
        <w:rPr>
          <w:rFonts w:ascii="宋体" w:hAnsi="宋体" w:cs="宋体"/>
          <w:sz w:val="24"/>
          <w:szCs w:val="24"/>
        </w:rPr>
      </w:pPr>
      <w:r>
        <w:rPr>
          <w:rFonts w:hint="eastAsia" w:ascii="宋体" w:hAnsi="宋体" w:cs="宋体"/>
          <w:sz w:val="24"/>
          <w:szCs w:val="24"/>
        </w:rPr>
        <w:t>2、投标人的法定代表人或其授权代理人按照招标文件规定的时间和地点参加开标仪式并签到。</w:t>
      </w:r>
    </w:p>
    <w:p>
      <w:pPr>
        <w:spacing w:line="360" w:lineRule="auto"/>
        <w:ind w:firstLine="480" w:firstLineChars="200"/>
        <w:rPr>
          <w:rFonts w:ascii="宋体" w:hAnsi="宋体" w:cs="宋体"/>
          <w:sz w:val="24"/>
          <w:szCs w:val="24"/>
        </w:rPr>
      </w:pPr>
      <w:r>
        <w:rPr>
          <w:rFonts w:hint="eastAsia" w:ascii="宋体" w:hAnsi="宋体" w:cs="宋体"/>
          <w:sz w:val="24"/>
          <w:szCs w:val="24"/>
        </w:rPr>
        <w:t>3、开标由招标代理机构主持，监督机构、招标人代表及有关工作人员参加。工作人员按照获取招标文件的登记时间先后顺序作为唱标顺序。</w:t>
      </w:r>
    </w:p>
    <w:p>
      <w:pPr>
        <w:spacing w:line="360" w:lineRule="auto"/>
        <w:ind w:firstLine="482" w:firstLineChars="200"/>
        <w:rPr>
          <w:rFonts w:ascii="宋体" w:hAnsi="宋体" w:cs="宋体"/>
          <w:b/>
          <w:sz w:val="24"/>
          <w:szCs w:val="24"/>
        </w:rPr>
      </w:pPr>
      <w:r>
        <w:rPr>
          <w:rFonts w:hint="eastAsia" w:ascii="宋体" w:hAnsi="宋体" w:cs="宋体"/>
          <w:b/>
          <w:sz w:val="24"/>
          <w:szCs w:val="24"/>
        </w:rPr>
        <w:t>二、评标委员会</w:t>
      </w:r>
    </w:p>
    <w:p>
      <w:pPr>
        <w:spacing w:line="360" w:lineRule="auto"/>
        <w:ind w:firstLine="480" w:firstLineChars="200"/>
        <w:rPr>
          <w:rFonts w:ascii="宋体" w:hAnsi="宋体" w:cs="宋体"/>
          <w:b/>
          <w:sz w:val="24"/>
          <w:szCs w:val="24"/>
        </w:rPr>
      </w:pPr>
      <w:r>
        <w:rPr>
          <w:rFonts w:hint="eastAsia" w:ascii="宋体" w:hAnsi="宋体" w:cs="宋体"/>
          <w:sz w:val="24"/>
          <w:szCs w:val="24"/>
        </w:rPr>
        <w:t>根据有关法律法规和本招标文件的规定，结合招标项目的特点组建评标委员会，对投标文件进行评估和比较。评标委员会由五人或以上单数组成，其中经济、技术等方面的专家不少于三分之二。</w:t>
      </w:r>
    </w:p>
    <w:p>
      <w:pPr>
        <w:pStyle w:val="15"/>
        <w:ind w:left="0" w:leftChars="0" w:firstLine="480" w:firstLineChars="200"/>
        <w:rPr>
          <w:rFonts w:hint="default" w:ascii="宋体" w:hAnsi="宋体" w:cs="宋体"/>
          <w:sz w:val="24"/>
          <w:szCs w:val="24"/>
          <w:lang w:eastAsia="zh-CN"/>
        </w:rPr>
      </w:pPr>
      <w:r>
        <w:rPr>
          <w:rFonts w:ascii="宋体" w:hAnsi="宋体" w:cs="宋体"/>
          <w:sz w:val="24"/>
          <w:szCs w:val="24"/>
          <w:lang w:eastAsia="zh-CN"/>
        </w:rPr>
        <w:t>参与过本项目的论证专家不得作为评标专家参加评标，招标人不得以专家身份参与评标。</w:t>
      </w:r>
    </w:p>
    <w:p>
      <w:pPr>
        <w:pStyle w:val="15"/>
        <w:ind w:left="0" w:leftChars="0" w:firstLine="482" w:firstLineChars="200"/>
        <w:rPr>
          <w:rFonts w:hint="default" w:ascii="宋体" w:hAnsi="宋体" w:cs="宋体"/>
          <w:sz w:val="24"/>
          <w:szCs w:val="24"/>
          <w:lang w:eastAsia="zh-CN"/>
        </w:rPr>
      </w:pPr>
      <w:r>
        <w:rPr>
          <w:rFonts w:ascii="宋体" w:hAnsi="宋体" w:cs="宋体"/>
          <w:b/>
          <w:sz w:val="24"/>
          <w:szCs w:val="24"/>
          <w:lang w:eastAsia="zh-CN"/>
        </w:rPr>
        <w:t>三、评标方法</w:t>
      </w:r>
    </w:p>
    <w:p>
      <w:pPr>
        <w:spacing w:line="360" w:lineRule="auto"/>
        <w:ind w:firstLine="480" w:firstLineChars="200"/>
        <w:rPr>
          <w:rFonts w:ascii="宋体" w:hAnsi="宋体" w:cs="宋体"/>
          <w:sz w:val="24"/>
          <w:szCs w:val="24"/>
        </w:rPr>
      </w:pPr>
      <w:r>
        <w:rPr>
          <w:rFonts w:hint="eastAsia" w:ascii="宋体" w:hAnsi="宋体" w:cs="宋体"/>
          <w:sz w:val="24"/>
          <w:szCs w:val="24"/>
        </w:rPr>
        <w:t>本次评标，评标委员会成员综合评定各投标人提交的投标文件，由评标委员会成员按照招标文件规定的各项因素综合评定各投标人提交的投标文件并分别进行打分，确定中标候选人。</w:t>
      </w:r>
    </w:p>
    <w:p>
      <w:pPr>
        <w:spacing w:line="360" w:lineRule="auto"/>
        <w:ind w:firstLine="482" w:firstLineChars="200"/>
        <w:rPr>
          <w:rFonts w:ascii="宋体" w:hAnsi="宋体" w:cs="宋体"/>
          <w:b/>
          <w:sz w:val="24"/>
          <w:szCs w:val="24"/>
        </w:rPr>
      </w:pPr>
      <w:r>
        <w:rPr>
          <w:rFonts w:hint="eastAsia" w:ascii="宋体" w:hAnsi="宋体" w:cs="宋体"/>
          <w:b/>
          <w:sz w:val="24"/>
          <w:szCs w:val="24"/>
        </w:rPr>
        <w:t>1、评标原则</w:t>
      </w:r>
    </w:p>
    <w:p>
      <w:pPr>
        <w:spacing w:line="360" w:lineRule="auto"/>
        <w:ind w:firstLine="480" w:firstLineChars="200"/>
        <w:rPr>
          <w:rFonts w:ascii="宋体" w:hAnsi="宋体" w:cs="宋体"/>
          <w:b/>
          <w:sz w:val="24"/>
          <w:szCs w:val="24"/>
        </w:rPr>
      </w:pPr>
      <w:r>
        <w:rPr>
          <w:rFonts w:hint="eastAsia" w:ascii="宋体" w:hAnsi="宋体" w:cs="宋体"/>
          <w:sz w:val="24"/>
          <w:szCs w:val="24"/>
        </w:rPr>
        <w:t>依据《中华人民共和国政府采购法》，结合项目特点，评标严格按照招标文件的要求和条件进行。“公平、公正、科学、择优”为本次评标的基本原则，评标委员会将按照这一原则的要求，公正、平等地对待各投标人。同时，在评标时恪守以下原则：</w:t>
      </w:r>
    </w:p>
    <w:p>
      <w:pPr>
        <w:spacing w:line="360" w:lineRule="auto"/>
        <w:ind w:firstLine="480" w:firstLineChars="200"/>
        <w:rPr>
          <w:rFonts w:ascii="宋体" w:hAnsi="宋体" w:cs="宋体"/>
          <w:sz w:val="24"/>
          <w:szCs w:val="24"/>
        </w:rPr>
      </w:pPr>
      <w:r>
        <w:rPr>
          <w:rFonts w:hint="eastAsia" w:ascii="宋体" w:hAnsi="宋体" w:cs="宋体"/>
          <w:sz w:val="24"/>
          <w:szCs w:val="24"/>
        </w:rPr>
        <w:t>（1）客观性原则：评标委员会将按照招标文件的要求，对投标人的投标文件进行认真评审；对投标文件的评审仅依靠投标文件本身，而不依靠投标文件以外的任何因素。</w:t>
      </w:r>
    </w:p>
    <w:p>
      <w:pPr>
        <w:spacing w:line="360" w:lineRule="auto"/>
        <w:ind w:firstLine="480" w:firstLineChars="200"/>
        <w:rPr>
          <w:rFonts w:ascii="宋体" w:hAnsi="宋体" w:cs="宋体"/>
          <w:sz w:val="24"/>
          <w:szCs w:val="24"/>
        </w:rPr>
      </w:pPr>
      <w:r>
        <w:rPr>
          <w:rFonts w:hint="eastAsia" w:ascii="宋体" w:hAnsi="宋体" w:cs="宋体"/>
          <w:sz w:val="24"/>
          <w:szCs w:val="24"/>
        </w:rPr>
        <w:t>（2）统一性原则：评标委员会将按照统一的评标原则和评标方法，用同一标准进行评标。</w:t>
      </w:r>
    </w:p>
    <w:p>
      <w:pPr>
        <w:spacing w:line="360" w:lineRule="auto"/>
        <w:ind w:firstLine="480" w:firstLineChars="200"/>
        <w:rPr>
          <w:rFonts w:ascii="宋体" w:hAnsi="宋体" w:cs="宋体"/>
          <w:sz w:val="24"/>
          <w:szCs w:val="24"/>
        </w:rPr>
      </w:pPr>
      <w:r>
        <w:rPr>
          <w:rFonts w:hint="eastAsia" w:ascii="宋体" w:hAnsi="宋体" w:cs="宋体"/>
          <w:sz w:val="24"/>
          <w:szCs w:val="24"/>
        </w:rPr>
        <w:t>（3）独立性原则：评标工作在评标委员会内部独立进行，不受外界任何因素的干扰和影响。</w:t>
      </w:r>
    </w:p>
    <w:p>
      <w:pPr>
        <w:spacing w:line="360" w:lineRule="auto"/>
        <w:ind w:firstLine="480" w:firstLineChars="200"/>
        <w:rPr>
          <w:rFonts w:ascii="宋体" w:hAnsi="宋体" w:cs="宋体"/>
          <w:sz w:val="24"/>
          <w:szCs w:val="24"/>
        </w:rPr>
      </w:pPr>
      <w:r>
        <w:rPr>
          <w:rFonts w:hint="eastAsia" w:ascii="宋体" w:hAnsi="宋体" w:cs="宋体"/>
          <w:sz w:val="24"/>
          <w:szCs w:val="24"/>
        </w:rPr>
        <w:t>（4）保密性原则：评委及熟知情况的有关工作人员将保守投标人的商业秘密。</w:t>
      </w:r>
    </w:p>
    <w:p>
      <w:pPr>
        <w:spacing w:line="360" w:lineRule="auto"/>
        <w:ind w:firstLine="480" w:firstLineChars="200"/>
        <w:rPr>
          <w:rFonts w:ascii="宋体" w:hAnsi="宋体" w:cs="宋体"/>
          <w:sz w:val="24"/>
          <w:szCs w:val="24"/>
        </w:rPr>
      </w:pPr>
      <w:r>
        <w:rPr>
          <w:rFonts w:hint="eastAsia" w:ascii="宋体" w:hAnsi="宋体" w:cs="宋体"/>
          <w:sz w:val="24"/>
          <w:szCs w:val="24"/>
        </w:rPr>
        <w:t>（5）综合性原则：评标委员会将综合比较、审查投标人的各项指标，而不以单项指标的优劣评定出中标候选人。</w:t>
      </w:r>
    </w:p>
    <w:p>
      <w:pPr>
        <w:spacing w:line="360" w:lineRule="auto"/>
        <w:ind w:firstLine="480" w:firstLineChars="200"/>
        <w:textAlignment w:val="center"/>
        <w:rPr>
          <w:rFonts w:ascii="宋体" w:hAnsi="宋体" w:cs="宋体"/>
          <w:sz w:val="24"/>
          <w:szCs w:val="24"/>
        </w:rPr>
      </w:pPr>
      <w:r>
        <w:rPr>
          <w:rFonts w:hint="eastAsia" w:ascii="宋体" w:hAnsi="宋体" w:cs="宋体"/>
          <w:sz w:val="24"/>
          <w:szCs w:val="24"/>
        </w:rPr>
        <w:t>（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pPr>
        <w:spacing w:line="360" w:lineRule="auto"/>
        <w:ind w:firstLine="482" w:firstLineChars="200"/>
        <w:rPr>
          <w:rFonts w:ascii="宋体" w:hAnsi="宋体" w:cs="宋体"/>
          <w:b/>
          <w:sz w:val="24"/>
          <w:szCs w:val="24"/>
        </w:rPr>
      </w:pPr>
      <w:r>
        <w:rPr>
          <w:rFonts w:hint="eastAsia" w:ascii="宋体" w:hAnsi="宋体" w:cs="宋体"/>
          <w:b/>
          <w:sz w:val="24"/>
          <w:szCs w:val="24"/>
        </w:rPr>
        <w:t>2、评标过程保密</w:t>
      </w:r>
    </w:p>
    <w:p>
      <w:pPr>
        <w:spacing w:line="360" w:lineRule="auto"/>
        <w:ind w:firstLine="480" w:firstLineChars="200"/>
        <w:rPr>
          <w:rFonts w:ascii="宋体" w:hAnsi="宋体" w:cs="宋体"/>
          <w:sz w:val="24"/>
          <w:szCs w:val="24"/>
        </w:rPr>
      </w:pPr>
      <w:r>
        <w:rPr>
          <w:rFonts w:hint="eastAsia" w:ascii="宋体" w:hAnsi="宋体" w:cs="宋体"/>
          <w:sz w:val="24"/>
          <w:szCs w:val="24"/>
        </w:rPr>
        <w:t>2.1 开标之后，直到授予投标人合同止，凡是属于审查、澄清、评价和比较投标的有关资料以及授标意向等，均不得向投标人或其他无关的人员透露。</w:t>
      </w:r>
    </w:p>
    <w:p>
      <w:pPr>
        <w:spacing w:line="360" w:lineRule="auto"/>
        <w:ind w:firstLine="480" w:firstLineChars="200"/>
        <w:rPr>
          <w:rFonts w:ascii="宋体" w:hAnsi="宋体" w:cs="宋体"/>
          <w:sz w:val="24"/>
          <w:szCs w:val="24"/>
        </w:rPr>
      </w:pPr>
      <w:r>
        <w:rPr>
          <w:rFonts w:hint="eastAsia" w:ascii="宋体" w:hAnsi="宋体" w:cs="宋体"/>
          <w:sz w:val="24"/>
          <w:szCs w:val="24"/>
        </w:rPr>
        <w:t>2.2 在评标期间，投标人企图影响招标方的任何活动将导致投标被拒绝，并承担相应的法律责任。</w:t>
      </w:r>
    </w:p>
    <w:p>
      <w:pPr>
        <w:spacing w:line="360" w:lineRule="auto"/>
        <w:ind w:firstLine="480" w:firstLineChars="200"/>
        <w:rPr>
          <w:rFonts w:ascii="宋体" w:hAnsi="宋体" w:cs="宋体"/>
          <w:sz w:val="24"/>
          <w:szCs w:val="24"/>
        </w:rPr>
      </w:pPr>
      <w:r>
        <w:rPr>
          <w:rFonts w:hint="eastAsia" w:ascii="宋体" w:hAnsi="宋体" w:cs="宋体"/>
          <w:sz w:val="24"/>
          <w:szCs w:val="24"/>
        </w:rPr>
        <w:t>2.3 中标人确定后，招标人不对未中标人就评标过程以及未能中标原因作出任何解释。未中标人不得向评标委员会组成人员或其他有关人员索问评标过程的情况和材料。</w:t>
      </w:r>
    </w:p>
    <w:p>
      <w:pPr>
        <w:spacing w:line="360" w:lineRule="auto"/>
        <w:ind w:firstLine="482" w:firstLineChars="200"/>
        <w:rPr>
          <w:rFonts w:ascii="宋体" w:hAnsi="宋体" w:cs="宋体"/>
          <w:b/>
          <w:sz w:val="24"/>
          <w:szCs w:val="24"/>
        </w:rPr>
      </w:pPr>
      <w:r>
        <w:rPr>
          <w:rFonts w:hint="eastAsia" w:ascii="宋体" w:hAnsi="宋体" w:cs="宋体"/>
          <w:b/>
          <w:sz w:val="24"/>
          <w:szCs w:val="24"/>
        </w:rPr>
        <w:t>3、初步评审</w:t>
      </w:r>
    </w:p>
    <w:p>
      <w:pPr>
        <w:spacing w:line="360" w:lineRule="auto"/>
        <w:ind w:firstLine="482" w:firstLineChars="200"/>
        <w:rPr>
          <w:rFonts w:ascii="宋体" w:hAnsi="宋体" w:cs="宋体"/>
          <w:b/>
          <w:sz w:val="24"/>
          <w:szCs w:val="24"/>
        </w:rPr>
      </w:pPr>
      <w:r>
        <w:rPr>
          <w:rFonts w:hint="eastAsia" w:ascii="宋体" w:hAnsi="宋体" w:cs="宋体"/>
          <w:b/>
          <w:sz w:val="24"/>
          <w:szCs w:val="24"/>
        </w:rPr>
        <w:t>3.1 资格审查</w:t>
      </w:r>
    </w:p>
    <w:p>
      <w:pPr>
        <w:spacing w:line="360" w:lineRule="auto"/>
        <w:ind w:firstLine="480" w:firstLineChars="200"/>
        <w:rPr>
          <w:rFonts w:ascii="宋体" w:hAnsi="宋体" w:cs="宋体"/>
          <w:sz w:val="24"/>
          <w:szCs w:val="24"/>
        </w:rPr>
      </w:pPr>
      <w:r>
        <w:rPr>
          <w:rFonts w:hint="eastAsia" w:ascii="宋体" w:hAnsi="宋体" w:cs="宋体"/>
          <w:sz w:val="24"/>
          <w:szCs w:val="24"/>
        </w:rPr>
        <w:t>开标结束后，招标人或者采购代理机构应当依法对投标人的资格进行审查。合格投标人不足3家的，不得继续评标。</w:t>
      </w:r>
    </w:p>
    <w:p>
      <w:pPr>
        <w:pStyle w:val="14"/>
        <w:spacing w:line="360" w:lineRule="auto"/>
        <w:ind w:firstLine="482" w:firstLineChars="200"/>
        <w:textAlignment w:val="center"/>
        <w:rPr>
          <w:rFonts w:hAnsi="宋体"/>
          <w:sz w:val="24"/>
          <w:szCs w:val="24"/>
        </w:rPr>
      </w:pPr>
      <w:r>
        <w:rPr>
          <w:rFonts w:hint="eastAsia" w:hAnsi="宋体"/>
          <w:b/>
          <w:sz w:val="24"/>
          <w:szCs w:val="24"/>
        </w:rPr>
        <w:t>3.2评标委员会应当对符合资格的投标人的投标文件进行符合性审查，以确定其是否满足招标文件的实质性要求。</w:t>
      </w:r>
      <w:r>
        <w:rPr>
          <w:rFonts w:hint="eastAsia" w:hAnsi="宋体"/>
          <w:sz w:val="24"/>
          <w:szCs w:val="24"/>
        </w:rPr>
        <w:t>评标委员会将确定每一投标人是否对招标文件的要求做出了实质性的响应，而没有重大偏差。实质性响应的投标是指投标符合招标文件的所有条款、条件和规定且没有重大偏差或保留。重大偏差或保留是指影响到招标文件规定的招标范围和内容或限制了招标人的权利和投标人的义务规定，而纠正这些偏差将影响到其他提交实质性响应投标的投标人的公平竞争地位。</w:t>
      </w:r>
    </w:p>
    <w:p>
      <w:pPr>
        <w:pStyle w:val="14"/>
        <w:spacing w:line="360" w:lineRule="auto"/>
        <w:ind w:firstLine="482" w:firstLineChars="200"/>
        <w:textAlignment w:val="center"/>
        <w:rPr>
          <w:rFonts w:hAnsi="宋体"/>
          <w:b/>
          <w:sz w:val="24"/>
          <w:szCs w:val="24"/>
          <w:u w:val="single"/>
        </w:rPr>
      </w:pPr>
      <w:r>
        <w:rPr>
          <w:rFonts w:hint="eastAsia" w:hAnsi="宋体"/>
          <w:b/>
          <w:sz w:val="24"/>
          <w:szCs w:val="24"/>
          <w:u w:val="single"/>
        </w:rPr>
        <w:t>3.2.1重大偏差包括以下内容:</w:t>
      </w:r>
    </w:p>
    <w:p>
      <w:pPr>
        <w:spacing w:line="360" w:lineRule="auto"/>
        <w:ind w:firstLine="482" w:firstLineChars="200"/>
        <w:rPr>
          <w:rFonts w:ascii="宋体" w:hAnsi="宋体" w:cs="宋体"/>
          <w:b/>
          <w:sz w:val="24"/>
          <w:szCs w:val="24"/>
        </w:rPr>
      </w:pPr>
      <w:r>
        <w:rPr>
          <w:rFonts w:hint="eastAsia" w:ascii="宋体" w:hAnsi="宋体" w:cs="宋体"/>
          <w:b/>
          <w:sz w:val="24"/>
          <w:szCs w:val="24"/>
        </w:rPr>
        <w:t>（1）投标人提供的有关资格、资质证明文件不真实、提供虚假材料；</w:t>
      </w:r>
    </w:p>
    <w:p>
      <w:pPr>
        <w:spacing w:line="360" w:lineRule="auto"/>
        <w:ind w:firstLine="482" w:firstLineChars="200"/>
        <w:rPr>
          <w:rFonts w:ascii="宋体" w:hAnsi="宋体" w:cs="宋体"/>
          <w:b/>
          <w:sz w:val="24"/>
          <w:szCs w:val="24"/>
        </w:rPr>
      </w:pPr>
      <w:r>
        <w:rPr>
          <w:rFonts w:hint="eastAsia" w:ascii="宋体" w:hAnsi="宋体" w:cs="宋体"/>
          <w:b/>
          <w:sz w:val="24"/>
          <w:szCs w:val="24"/>
        </w:rPr>
        <w:t>（2）提供的有关资格、资质证明文件不齐全；</w:t>
      </w:r>
    </w:p>
    <w:p>
      <w:pPr>
        <w:spacing w:line="360" w:lineRule="auto"/>
        <w:ind w:firstLine="482" w:firstLineChars="200"/>
        <w:rPr>
          <w:rFonts w:ascii="宋体" w:hAnsi="宋体" w:cs="宋体"/>
          <w:b/>
          <w:sz w:val="24"/>
          <w:szCs w:val="24"/>
        </w:rPr>
      </w:pPr>
      <w:r>
        <w:rPr>
          <w:rFonts w:hint="eastAsia" w:ascii="宋体" w:hAnsi="宋体" w:cs="宋体"/>
          <w:b/>
          <w:sz w:val="24"/>
          <w:szCs w:val="24"/>
        </w:rPr>
        <w:t>（3）提供的有关资格、资质证明文件不符合要求；</w:t>
      </w:r>
    </w:p>
    <w:p>
      <w:pPr>
        <w:spacing w:line="360" w:lineRule="auto"/>
        <w:ind w:firstLine="482" w:firstLineChars="200"/>
        <w:rPr>
          <w:rFonts w:ascii="宋体" w:hAnsi="宋体" w:cs="宋体"/>
          <w:b/>
          <w:sz w:val="24"/>
          <w:szCs w:val="24"/>
        </w:rPr>
      </w:pPr>
      <w:r>
        <w:rPr>
          <w:rFonts w:hint="eastAsia" w:ascii="宋体" w:hAnsi="宋体" w:cs="宋体"/>
          <w:b/>
          <w:sz w:val="24"/>
          <w:szCs w:val="24"/>
        </w:rPr>
        <w:t>（4）对招标文件重要参数项有负偏离的；</w:t>
      </w:r>
    </w:p>
    <w:p>
      <w:pPr>
        <w:spacing w:line="360" w:lineRule="auto"/>
        <w:ind w:firstLine="482" w:firstLineChars="200"/>
        <w:rPr>
          <w:rFonts w:ascii="宋体" w:hAnsi="宋体" w:cs="宋体"/>
          <w:b/>
          <w:sz w:val="24"/>
          <w:szCs w:val="24"/>
        </w:rPr>
      </w:pPr>
      <w:r>
        <w:rPr>
          <w:rFonts w:hint="eastAsia" w:ascii="宋体" w:hAnsi="宋体" w:cs="宋体"/>
          <w:b/>
          <w:sz w:val="24"/>
          <w:szCs w:val="24"/>
        </w:rPr>
        <w:t>（5）未按招标文件要求制作、签署、盖章、密封、标记的；</w:t>
      </w:r>
    </w:p>
    <w:p>
      <w:pPr>
        <w:spacing w:line="360" w:lineRule="auto"/>
        <w:ind w:firstLine="482" w:firstLineChars="200"/>
        <w:rPr>
          <w:rFonts w:ascii="宋体" w:hAnsi="宋体" w:cs="宋体"/>
          <w:b/>
          <w:sz w:val="24"/>
          <w:szCs w:val="24"/>
        </w:rPr>
      </w:pPr>
      <w:r>
        <w:rPr>
          <w:rFonts w:hint="eastAsia" w:ascii="宋体" w:hAnsi="宋体" w:cs="宋体"/>
          <w:b/>
          <w:sz w:val="24"/>
          <w:szCs w:val="24"/>
        </w:rPr>
        <w:t>（6）投标文件编写不符合招标文件要求，或没有按招标文件要求填写格式文件的；</w:t>
      </w:r>
    </w:p>
    <w:p>
      <w:pPr>
        <w:spacing w:line="360" w:lineRule="auto"/>
        <w:ind w:firstLine="482" w:firstLineChars="200"/>
        <w:rPr>
          <w:rFonts w:ascii="宋体" w:hAnsi="宋体" w:cs="宋体"/>
          <w:b/>
          <w:sz w:val="24"/>
          <w:szCs w:val="24"/>
        </w:rPr>
      </w:pPr>
      <w:r>
        <w:rPr>
          <w:rFonts w:hint="eastAsia" w:ascii="宋体" w:hAnsi="宋体" w:cs="宋体"/>
          <w:b/>
          <w:sz w:val="24"/>
          <w:szCs w:val="24"/>
        </w:rPr>
        <w:t>（7）投标人对招标文件的要求未做出实质性响应或超出采购预算价的；</w:t>
      </w:r>
    </w:p>
    <w:p>
      <w:pPr>
        <w:spacing w:line="360" w:lineRule="auto"/>
        <w:ind w:firstLine="482" w:firstLineChars="200"/>
        <w:rPr>
          <w:rFonts w:ascii="宋体" w:hAnsi="宋体" w:cs="宋体"/>
          <w:b/>
          <w:sz w:val="24"/>
          <w:szCs w:val="24"/>
        </w:rPr>
      </w:pPr>
      <w:r>
        <w:rPr>
          <w:rFonts w:hint="eastAsia" w:ascii="宋体" w:hAnsi="宋体" w:cs="宋体"/>
          <w:b/>
          <w:sz w:val="24"/>
          <w:szCs w:val="24"/>
        </w:rPr>
        <w:t>（8）投标人所投服务标准不符合招标文件要求；</w:t>
      </w:r>
    </w:p>
    <w:p>
      <w:pPr>
        <w:spacing w:line="360" w:lineRule="auto"/>
        <w:ind w:firstLine="482" w:firstLineChars="200"/>
        <w:rPr>
          <w:rFonts w:ascii="宋体" w:hAnsi="宋体" w:cs="宋体"/>
          <w:b/>
          <w:sz w:val="24"/>
          <w:szCs w:val="24"/>
        </w:rPr>
      </w:pPr>
      <w:r>
        <w:rPr>
          <w:rFonts w:hint="eastAsia" w:ascii="宋体" w:hAnsi="宋体" w:cs="宋体"/>
          <w:b/>
          <w:sz w:val="24"/>
          <w:szCs w:val="24"/>
        </w:rPr>
        <w:t>（9）投标人复制采购文件的技术规格内容作为其报价文件的一部分技术内容的视为无效报价；</w:t>
      </w:r>
    </w:p>
    <w:p>
      <w:pPr>
        <w:spacing w:line="360" w:lineRule="auto"/>
        <w:ind w:firstLine="482" w:firstLineChars="200"/>
        <w:rPr>
          <w:rFonts w:ascii="宋体" w:hAnsi="宋体" w:cs="宋体"/>
          <w:b/>
          <w:sz w:val="24"/>
          <w:szCs w:val="24"/>
        </w:rPr>
      </w:pPr>
      <w:r>
        <w:rPr>
          <w:rFonts w:hint="eastAsia" w:ascii="宋体" w:hAnsi="宋体" w:cs="宋体"/>
          <w:b/>
          <w:sz w:val="24"/>
          <w:szCs w:val="24"/>
        </w:rPr>
        <w:t>（10）投标人对招标文件付款方式、交货期、质保期不响应的；</w:t>
      </w:r>
    </w:p>
    <w:p>
      <w:pPr>
        <w:spacing w:line="360" w:lineRule="auto"/>
        <w:ind w:firstLine="482" w:firstLineChars="200"/>
        <w:rPr>
          <w:rFonts w:ascii="宋体" w:hAnsi="宋体" w:cs="宋体"/>
          <w:b/>
          <w:sz w:val="24"/>
          <w:szCs w:val="24"/>
        </w:rPr>
      </w:pPr>
      <w:r>
        <w:rPr>
          <w:rFonts w:hint="eastAsia" w:ascii="宋体" w:hAnsi="宋体" w:cs="宋体"/>
          <w:b/>
          <w:sz w:val="24"/>
          <w:szCs w:val="24"/>
        </w:rPr>
        <w:t>（11）投标文件附有招标人不能接受的条件；</w:t>
      </w:r>
    </w:p>
    <w:p>
      <w:pPr>
        <w:spacing w:line="360" w:lineRule="auto"/>
        <w:ind w:firstLine="482" w:firstLineChars="200"/>
        <w:rPr>
          <w:rFonts w:ascii="宋体" w:hAnsi="宋体" w:cs="宋体"/>
          <w:b/>
          <w:sz w:val="24"/>
          <w:szCs w:val="24"/>
        </w:rPr>
      </w:pPr>
      <w:r>
        <w:rPr>
          <w:rFonts w:hint="eastAsia" w:ascii="宋体" w:hAnsi="宋体" w:cs="宋体"/>
          <w:b/>
          <w:sz w:val="24"/>
          <w:szCs w:val="24"/>
        </w:rPr>
        <w:t>（12）法律、法规规定的其他情况；</w:t>
      </w:r>
    </w:p>
    <w:p>
      <w:pPr>
        <w:spacing w:line="360" w:lineRule="auto"/>
        <w:ind w:firstLine="482" w:firstLineChars="200"/>
        <w:rPr>
          <w:rFonts w:ascii="宋体" w:hAnsi="宋体" w:cs="宋体"/>
          <w:b/>
          <w:sz w:val="24"/>
          <w:szCs w:val="24"/>
        </w:rPr>
      </w:pPr>
      <w:r>
        <w:rPr>
          <w:rFonts w:hint="eastAsia" w:ascii="宋体" w:hAnsi="宋体" w:cs="宋体"/>
          <w:b/>
          <w:sz w:val="24"/>
          <w:szCs w:val="24"/>
        </w:rPr>
        <w:t>（13投标文件制作机器码、投标文件创建标识码一致，将视同串通投标作无效标处理，并将有关问题上报至行政监管部门处理；</w:t>
      </w:r>
    </w:p>
    <w:p>
      <w:pPr>
        <w:spacing w:line="360" w:lineRule="auto"/>
        <w:ind w:firstLine="482" w:firstLineChars="200"/>
        <w:rPr>
          <w:rFonts w:ascii="宋体" w:hAnsi="宋体" w:cs="宋体"/>
          <w:b/>
          <w:sz w:val="24"/>
          <w:szCs w:val="24"/>
        </w:rPr>
      </w:pPr>
      <w:r>
        <w:rPr>
          <w:rFonts w:hint="eastAsia" w:ascii="宋体" w:hAnsi="宋体" w:cs="宋体"/>
          <w:b/>
          <w:sz w:val="24"/>
          <w:szCs w:val="24"/>
        </w:rPr>
        <w:t>（14）所有投标人禁止低于成本价、恶意竞争，如发现明显低于成本价的经评标小组认定作无效标处理；</w:t>
      </w:r>
    </w:p>
    <w:p>
      <w:pPr>
        <w:spacing w:line="360" w:lineRule="auto"/>
        <w:ind w:firstLine="482" w:firstLineChars="200"/>
        <w:rPr>
          <w:rFonts w:ascii="宋体" w:hAnsi="宋体" w:cs="宋体"/>
          <w:b/>
          <w:sz w:val="24"/>
          <w:szCs w:val="24"/>
        </w:rPr>
      </w:pPr>
      <w:r>
        <w:rPr>
          <w:rFonts w:hint="eastAsia" w:ascii="宋体" w:hAnsi="宋体" w:cs="宋体"/>
          <w:b/>
          <w:sz w:val="24"/>
          <w:szCs w:val="24"/>
        </w:rPr>
        <w:t>（15）不符合招标文件中规定的其他实质性要求。</w:t>
      </w:r>
    </w:p>
    <w:p>
      <w:pPr>
        <w:pStyle w:val="14"/>
        <w:spacing w:line="360" w:lineRule="auto"/>
        <w:ind w:firstLine="480" w:firstLineChars="200"/>
        <w:textAlignment w:val="center"/>
        <w:rPr>
          <w:rFonts w:hAnsi="宋体"/>
          <w:sz w:val="24"/>
          <w:szCs w:val="24"/>
        </w:rPr>
      </w:pPr>
      <w:r>
        <w:rPr>
          <w:rFonts w:hint="eastAsia" w:hAnsi="宋体"/>
          <w:sz w:val="24"/>
          <w:szCs w:val="24"/>
        </w:rPr>
        <w:t>3.2.2评标委员会将允许投标人修改其投标文件的细微偏差。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pPr>
        <w:spacing w:line="360" w:lineRule="auto"/>
        <w:ind w:firstLine="480" w:firstLineChars="200"/>
        <w:rPr>
          <w:rFonts w:ascii="宋体" w:hAnsi="宋体" w:cs="宋体"/>
          <w:sz w:val="24"/>
          <w:szCs w:val="24"/>
        </w:rPr>
      </w:pPr>
      <w:r>
        <w:rPr>
          <w:rFonts w:hint="eastAsia" w:ascii="宋体" w:hAnsi="宋体" w:cs="宋体"/>
          <w:sz w:val="24"/>
          <w:szCs w:val="24"/>
        </w:rPr>
        <w:t>3.2.3对于投标文件中含义不明确、同类问题表述不一致或者有明显文字和计算错误的内容，评标委员会应当以书面形式要求投标人作出必要的澄清、说明或者补正。</w:t>
      </w:r>
    </w:p>
    <w:p>
      <w:pPr>
        <w:spacing w:line="360" w:lineRule="auto"/>
        <w:ind w:firstLine="480" w:firstLineChars="200"/>
        <w:rPr>
          <w:rFonts w:ascii="宋体" w:hAnsi="宋体" w:cs="宋体"/>
          <w:sz w:val="24"/>
          <w:szCs w:val="24"/>
        </w:rPr>
      </w:pPr>
      <w:r>
        <w:rPr>
          <w:rFonts w:hint="eastAsia" w:ascii="宋体" w:hAnsi="宋体" w:cs="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82" w:firstLineChars="200"/>
        <w:rPr>
          <w:rFonts w:ascii="宋体" w:hAnsi="宋体" w:cs="宋体"/>
          <w:b/>
          <w:sz w:val="24"/>
          <w:szCs w:val="24"/>
        </w:rPr>
      </w:pPr>
      <w:r>
        <w:rPr>
          <w:rFonts w:hint="eastAsia" w:ascii="宋体" w:hAnsi="宋体" w:cs="宋体"/>
          <w:b/>
          <w:sz w:val="24"/>
          <w:szCs w:val="24"/>
        </w:rPr>
        <w:t>3.3 投标报价评审</w:t>
      </w:r>
    </w:p>
    <w:p>
      <w:pPr>
        <w:spacing w:line="360" w:lineRule="auto"/>
        <w:ind w:firstLine="480" w:firstLineChars="200"/>
        <w:rPr>
          <w:rFonts w:ascii="宋体" w:hAnsi="宋体" w:cs="宋体"/>
          <w:sz w:val="24"/>
          <w:szCs w:val="24"/>
        </w:rPr>
      </w:pPr>
      <w:r>
        <w:rPr>
          <w:rFonts w:hint="eastAsia" w:ascii="宋体" w:hAnsi="宋体" w:cs="宋体"/>
          <w:sz w:val="24"/>
          <w:szCs w:val="24"/>
        </w:rPr>
        <w:t>投标人投标报价有算术错误的，评标委员会按以下原则对投标报价进行修正：</w:t>
      </w:r>
    </w:p>
    <w:p>
      <w:pPr>
        <w:spacing w:line="360" w:lineRule="auto"/>
        <w:ind w:firstLine="480" w:firstLineChars="200"/>
        <w:rPr>
          <w:rFonts w:ascii="宋体" w:hAnsi="宋体" w:cs="宋体"/>
          <w:sz w:val="24"/>
          <w:szCs w:val="24"/>
        </w:rPr>
      </w:pPr>
      <w:r>
        <w:rPr>
          <w:rFonts w:hint="eastAsia" w:ascii="宋体" w:hAnsi="宋体" w:cs="宋体"/>
          <w:sz w:val="24"/>
          <w:szCs w:val="24"/>
        </w:rPr>
        <w:t>(一)投标文件中开标一览表(报价表)内容与投标文件中相应内容不一致的，以开标一览表(报价表)为准；</w:t>
      </w:r>
    </w:p>
    <w:p>
      <w:pPr>
        <w:spacing w:line="360" w:lineRule="auto"/>
        <w:ind w:firstLine="480" w:firstLineChars="200"/>
        <w:rPr>
          <w:rFonts w:ascii="宋体" w:hAnsi="宋体" w:cs="宋体"/>
          <w:sz w:val="24"/>
          <w:szCs w:val="24"/>
        </w:rPr>
      </w:pPr>
      <w:r>
        <w:rPr>
          <w:rFonts w:hint="eastAsia" w:ascii="宋体" w:hAnsi="宋体" w:cs="宋体"/>
          <w:sz w:val="24"/>
          <w:szCs w:val="24"/>
        </w:rPr>
        <w:t>(二)大写金额和小写金额不一致的，以大写金额为准；</w:t>
      </w:r>
    </w:p>
    <w:p>
      <w:pPr>
        <w:spacing w:line="360" w:lineRule="auto"/>
        <w:ind w:firstLine="480" w:firstLineChars="200"/>
        <w:rPr>
          <w:rFonts w:ascii="宋体" w:hAnsi="宋体" w:cs="宋体"/>
          <w:sz w:val="24"/>
          <w:szCs w:val="24"/>
        </w:rPr>
      </w:pPr>
      <w:r>
        <w:rPr>
          <w:rFonts w:hint="eastAsia" w:ascii="宋体" w:hAnsi="宋体" w:cs="宋体"/>
          <w:sz w:val="24"/>
          <w:szCs w:val="24"/>
        </w:rPr>
        <w:t>(三)单价金额小数点或者百分比有明显错位的，以开标一览表的总价为准，并修改单价；</w:t>
      </w:r>
    </w:p>
    <w:p>
      <w:pPr>
        <w:spacing w:line="360" w:lineRule="auto"/>
        <w:ind w:firstLine="480" w:firstLineChars="200"/>
        <w:rPr>
          <w:rFonts w:ascii="宋体" w:hAnsi="宋体" w:cs="宋体"/>
          <w:sz w:val="24"/>
          <w:szCs w:val="24"/>
        </w:rPr>
      </w:pPr>
      <w:r>
        <w:rPr>
          <w:rFonts w:hint="eastAsia" w:ascii="宋体" w:hAnsi="宋体" w:cs="宋体"/>
          <w:sz w:val="24"/>
          <w:szCs w:val="24"/>
        </w:rPr>
        <w:t>(四)总价金额与按单价汇总金额不一致的，以单价金额计算结果为准。</w:t>
      </w:r>
    </w:p>
    <w:p>
      <w:pPr>
        <w:spacing w:line="360" w:lineRule="auto"/>
        <w:ind w:firstLine="480" w:firstLineChars="200"/>
        <w:rPr>
          <w:rFonts w:ascii="宋体" w:hAnsi="宋体" w:cs="宋体"/>
          <w:sz w:val="24"/>
          <w:szCs w:val="24"/>
        </w:rPr>
      </w:pPr>
      <w:r>
        <w:rPr>
          <w:rFonts w:hint="eastAsia" w:ascii="宋体" w:hAnsi="宋体" w:cs="宋体"/>
          <w:sz w:val="24"/>
          <w:szCs w:val="24"/>
        </w:rPr>
        <w:t>同时出现两种以上不一致的，按照前款规定的顺序修正。修正后的报价经投标人确认后产生约束力，投标人不确认的，其投标无效。</w:t>
      </w:r>
    </w:p>
    <w:p>
      <w:pPr>
        <w:spacing w:line="360" w:lineRule="auto"/>
        <w:ind w:firstLine="482" w:firstLineChars="200"/>
        <w:rPr>
          <w:rFonts w:ascii="宋体" w:hAnsi="宋体" w:cs="宋体"/>
          <w:b/>
          <w:sz w:val="24"/>
          <w:szCs w:val="24"/>
        </w:rPr>
      </w:pPr>
      <w:r>
        <w:rPr>
          <w:rFonts w:hint="eastAsia" w:ascii="宋体" w:hAnsi="宋体" w:cs="宋体"/>
          <w:b/>
          <w:sz w:val="24"/>
          <w:szCs w:val="24"/>
        </w:rPr>
        <w:t>4、详细评审：</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评标委员会根据以下评分标准进行评标，并计算出每个有效投标人的最终得分。</w:t>
      </w:r>
    </w:p>
    <w:p>
      <w:pPr>
        <w:spacing w:line="360" w:lineRule="auto"/>
        <w:ind w:firstLine="480" w:firstLineChars="200"/>
        <w:rPr>
          <w:rFonts w:hint="default" w:ascii="宋体" w:hAnsi="宋体" w:cs="宋体"/>
          <w:b/>
          <w:bCs/>
          <w:sz w:val="24"/>
          <w:szCs w:val="24"/>
          <w:lang w:val="en-US" w:eastAsia="zh-CN"/>
        </w:rPr>
      </w:pPr>
      <w:r>
        <w:rPr>
          <w:rFonts w:hint="eastAsia" w:ascii="宋体" w:hAnsi="宋体" w:cs="宋体"/>
          <w:sz w:val="24"/>
          <w:szCs w:val="24"/>
          <w:lang w:val="en-US" w:eastAsia="zh-CN"/>
        </w:rPr>
        <w:t>4.1</w:t>
      </w:r>
      <w:r>
        <w:rPr>
          <w:rFonts w:hint="eastAsia" w:ascii="宋体" w:hAnsi="宋体" w:cs="宋体"/>
          <w:b/>
          <w:bCs/>
          <w:sz w:val="24"/>
          <w:szCs w:val="24"/>
          <w:lang w:val="en-US" w:eastAsia="zh-CN"/>
        </w:rPr>
        <w:t xml:space="preserve">评分标准 （包一、包二） </w:t>
      </w:r>
    </w:p>
    <w:tbl>
      <w:tblPr>
        <w:tblStyle w:val="23"/>
        <w:tblW w:w="9735"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913"/>
        <w:gridCol w:w="750"/>
        <w:gridCol w:w="6992"/>
        <w:tblGridChange w:id="0">
          <w:tblGrid>
            <w:gridCol w:w="1080"/>
            <w:gridCol w:w="913"/>
            <w:gridCol w:w="750"/>
            <w:gridCol w:w="6992"/>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top"/>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内容</w:t>
            </w:r>
          </w:p>
        </w:tc>
        <w:tc>
          <w:tcPr>
            <w:tcW w:w="1663" w:type="dxa"/>
            <w:gridSpan w:val="2"/>
            <w:noWrap w:val="0"/>
            <w:vAlign w:val="top"/>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w:t>
            </w:r>
          </w:p>
        </w:tc>
        <w:tc>
          <w:tcPr>
            <w:tcW w:w="6992" w:type="dxa"/>
            <w:noWrap w:val="0"/>
            <w:vAlign w:val="top"/>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top"/>
          </w:tcPr>
          <w:p>
            <w:pPr>
              <w:pStyle w:val="2"/>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报价部分</w:t>
            </w:r>
          </w:p>
          <w:p>
            <w:pPr>
              <w:pStyle w:val="2"/>
              <w:ind w:left="0" w:leftChars="0" w:firstLine="240" w:firstLineChars="10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 分</w:t>
            </w:r>
          </w:p>
        </w:tc>
        <w:tc>
          <w:tcPr>
            <w:tcW w:w="1663" w:type="dxa"/>
            <w:gridSpan w:val="2"/>
            <w:noWrap w:val="0"/>
            <w:vAlign w:val="top"/>
          </w:tcPr>
          <w:p>
            <w:pPr>
              <w:pStyle w:val="2"/>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报价得分</w:t>
            </w:r>
          </w:p>
          <w:p>
            <w:pPr>
              <w:pStyle w:val="5"/>
              <w:tabs>
                <w:tab w:val="left" w:pos="567"/>
              </w:tabs>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（10分）</w:t>
            </w:r>
          </w:p>
        </w:tc>
        <w:tc>
          <w:tcPr>
            <w:tcW w:w="6992" w:type="dxa"/>
            <w:noWrap w:val="0"/>
            <w:vAlign w:val="top"/>
          </w:tcPr>
          <w:p>
            <w:pPr>
              <w:pStyle w:val="2"/>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投标人的价格分统一采用低价优先法计算，即满足招标文件要求且投标价格最低的投标报价为评标基准价，其价格分为满分。其他投标人的价格分统一按照下列公式计算：投标报价得分=(评标基准价／投标报价)×10%×100 （保留小数点后两位有效数字）投标报价超过本包采购预算的作无效投标处理。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1080" w:type="dxa"/>
            <w:vMerge w:val="restart"/>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商务部分 2</w:t>
            </w:r>
            <w:r>
              <w:rPr>
                <w:rFonts w:hint="default" w:ascii="宋体" w:hAnsi="宋体" w:eastAsia="宋体" w:cs="宋体"/>
                <w:sz w:val="24"/>
                <w:szCs w:val="24"/>
                <w:vertAlign w:val="baseline"/>
                <w:lang w:val="en" w:eastAsia="zh-CN"/>
              </w:rPr>
              <w:t>1</w:t>
            </w:r>
            <w:r>
              <w:rPr>
                <w:rFonts w:hint="eastAsia" w:ascii="宋体" w:hAnsi="宋体" w:eastAsia="宋体" w:cs="宋体"/>
                <w:sz w:val="24"/>
                <w:szCs w:val="24"/>
                <w:vertAlign w:val="baseline"/>
                <w:lang w:val="en-US" w:eastAsia="zh-CN"/>
              </w:rPr>
              <w:t>分</w:t>
            </w:r>
          </w:p>
        </w:tc>
        <w:tc>
          <w:tcPr>
            <w:tcW w:w="913"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项目团队</w:t>
            </w:r>
          </w:p>
        </w:tc>
        <w:tc>
          <w:tcPr>
            <w:tcW w:w="750"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5分</w:t>
            </w:r>
          </w:p>
        </w:tc>
        <w:tc>
          <w:tcPr>
            <w:tcW w:w="6992"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ascii="宋体" w:hAnsi="宋体" w:eastAsia="宋体" w:cs="宋体"/>
                <w:kern w:val="2"/>
                <w:sz w:val="24"/>
                <w:szCs w:val="24"/>
                <w:vertAlign w:val="baseline"/>
                <w:lang w:val="en-US" w:eastAsia="zh-CN" w:bidi="ar-SA"/>
              </w:rPr>
              <w:t>1、</w:t>
            </w:r>
            <w:r>
              <w:rPr>
                <w:rFonts w:hint="eastAsia"/>
                <w:sz w:val="24"/>
                <w:szCs w:val="24"/>
                <w:lang w:val="en-US" w:eastAsia="zh-CN"/>
              </w:rPr>
              <w:t>针对本项目提供的项目经理具有的信息服务类或机械类副高级（含）以上职称的，得2分；否则不得分。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2、</w:t>
            </w:r>
            <w:r>
              <w:rPr>
                <w:rFonts w:hint="eastAsia"/>
                <w:sz w:val="24"/>
                <w:szCs w:val="24"/>
                <w:lang w:val="en-US" w:eastAsia="zh-CN"/>
              </w:rPr>
              <w:t>项目组成员（项目经理除外）中具有计算机与信息技术类或工程机械类中级（含）以上职称证书，每人次得1分，本项最多得</w:t>
            </w:r>
            <w:r>
              <w:rPr>
                <w:rFonts w:hint="eastAsia" w:ascii="宋体" w:hAnsi="宋体" w:eastAsia="宋体" w:cs="宋体"/>
                <w:kern w:val="2"/>
                <w:sz w:val="24"/>
                <w:szCs w:val="24"/>
                <w:vertAlign w:val="baseline"/>
                <w:lang w:val="en-US" w:eastAsia="zh-CN" w:bidi="ar-SA"/>
              </w:rPr>
              <w:t>3</w:t>
            </w:r>
            <w:r>
              <w:rPr>
                <w:rFonts w:hint="eastAsia"/>
                <w:sz w:val="24"/>
                <w:szCs w:val="24"/>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center"/>
          </w:tcPr>
          <w:p>
            <w:pPr>
              <w:pStyle w:val="2"/>
              <w:jc w:val="center"/>
              <w:rPr>
                <w:rFonts w:hint="eastAsia" w:ascii="宋体" w:hAnsi="宋体" w:eastAsia="宋体" w:cs="宋体"/>
                <w:sz w:val="24"/>
                <w:szCs w:val="24"/>
                <w:vertAlign w:val="baseline"/>
                <w:lang w:val="en-US" w:eastAsia="zh-CN"/>
              </w:rPr>
            </w:pPr>
          </w:p>
        </w:tc>
        <w:tc>
          <w:tcPr>
            <w:tcW w:w="913"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业绩</w:t>
            </w:r>
          </w:p>
        </w:tc>
        <w:tc>
          <w:tcPr>
            <w:tcW w:w="750"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6分</w:t>
            </w:r>
          </w:p>
        </w:tc>
        <w:tc>
          <w:tcPr>
            <w:tcW w:w="6992" w:type="dxa"/>
            <w:noWrap w:val="0"/>
            <w:vAlign w:val="top"/>
          </w:tcPr>
          <w:p>
            <w:pPr>
              <w:pStyle w:val="2"/>
              <w:spacing w:line="360" w:lineRule="auto"/>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供应商提供2020年1月1日至今（以合同签订日期为准）非道路移动机械定位装置监控服务项目业绩的，每提供一个得2分，最多得6分。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6" w:hRule="atLeast"/>
        </w:trPr>
        <w:tc>
          <w:tcPr>
            <w:tcW w:w="1080" w:type="dxa"/>
            <w:vMerge w:val="continue"/>
            <w:noWrap w:val="0"/>
            <w:vAlign w:val="center"/>
          </w:tcPr>
          <w:p>
            <w:pPr>
              <w:pStyle w:val="2"/>
              <w:jc w:val="center"/>
              <w:rPr>
                <w:rFonts w:hint="eastAsia" w:ascii="宋体" w:hAnsi="宋体" w:eastAsia="宋体" w:cs="宋体"/>
                <w:sz w:val="24"/>
                <w:szCs w:val="24"/>
                <w:vertAlign w:val="baseline"/>
                <w:lang w:val="en-US" w:eastAsia="zh-CN"/>
              </w:rPr>
            </w:pPr>
          </w:p>
        </w:tc>
        <w:tc>
          <w:tcPr>
            <w:tcW w:w="913"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定位设备符合性</w:t>
            </w:r>
          </w:p>
        </w:tc>
        <w:tc>
          <w:tcPr>
            <w:tcW w:w="750" w:type="dxa"/>
            <w:noWrap w:val="0"/>
            <w:vAlign w:val="center"/>
          </w:tcPr>
          <w:p>
            <w:pPr>
              <w:pStyle w:val="2"/>
              <w:ind w:left="0" w:leftChars="0" w:firstLine="0" w:firstLineChars="0"/>
              <w:jc w:val="center"/>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kern w:val="2"/>
                <w:sz w:val="24"/>
                <w:szCs w:val="24"/>
                <w:lang w:val="en-US" w:eastAsia="zh-CN" w:bidi="ar-SA"/>
              </w:rPr>
              <w:t>10分</w:t>
            </w:r>
          </w:p>
        </w:tc>
        <w:tc>
          <w:tcPr>
            <w:tcW w:w="6992"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kern w:val="2"/>
                <w:sz w:val="24"/>
                <w:szCs w:val="24"/>
                <w:lang w:val="en-US" w:eastAsia="zh-CN" w:bidi="ar-SA"/>
              </w:rPr>
              <w:t>1、提供具有相关资质的检验检定机构出具的定位设备振动和冲击的检测报告得2分，不提供不得分；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kern w:val="2"/>
                <w:sz w:val="24"/>
                <w:szCs w:val="24"/>
                <w:lang w:val="en-US" w:eastAsia="zh-CN" w:bidi="ar-SA"/>
              </w:rPr>
              <w:t>2、提供具有相关资质的检验检定机构出具的定位设备安全策略的检测报告得2分，不提供不得分。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kern w:val="2"/>
                <w:sz w:val="24"/>
                <w:szCs w:val="24"/>
                <w:lang w:val="en-US" w:eastAsia="zh-CN" w:bidi="ar-SA"/>
              </w:rPr>
              <w:t>3、提供具有相关资质的检验检定机构出具的定位设备补发机制的检测报告得2分，不提供不得分。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kern w:val="2"/>
                <w:sz w:val="24"/>
                <w:szCs w:val="24"/>
                <w:lang w:val="en-US" w:eastAsia="zh-CN" w:bidi="ar-SA"/>
              </w:rPr>
              <w:t xml:space="preserve">4、设备具有CMA资质的第三方检测机构出具的卫星定位精度检测报告，水平定位精度满足≤5米的得2分，不提供不得分；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kern w:val="2"/>
                <w:sz w:val="24"/>
                <w:szCs w:val="24"/>
                <w:lang w:val="en-US" w:eastAsia="zh-CN" w:bidi="ar-SA"/>
              </w:rPr>
            </w:pPr>
            <w:r>
              <w:rPr>
                <w:rFonts w:hint="eastAsia" w:asciiTheme="majorEastAsia" w:hAnsiTheme="majorEastAsia" w:eastAsiaTheme="majorEastAsia" w:cstheme="majorEastAsia"/>
                <w:kern w:val="2"/>
                <w:sz w:val="24"/>
                <w:szCs w:val="24"/>
                <w:lang w:val="en-US" w:eastAsia="zh-CN" w:bidi="ar-SA"/>
              </w:rPr>
              <w:t>5、供应商提供具有CMA资质的第三方检测机构出具的车载终端满足GB/T4208中规定的IP65及以上防护等级的检测报告的得2分，不提供不得分。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restart"/>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p>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技术部分 69分</w:t>
            </w:r>
          </w:p>
        </w:tc>
        <w:tc>
          <w:tcPr>
            <w:tcW w:w="913"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设备技术参数</w:t>
            </w:r>
          </w:p>
        </w:tc>
        <w:tc>
          <w:tcPr>
            <w:tcW w:w="750"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12分</w:t>
            </w:r>
          </w:p>
        </w:tc>
        <w:tc>
          <w:tcPr>
            <w:tcW w:w="6992" w:type="dxa"/>
            <w:noWrap w:val="0"/>
            <w:vAlign w:val="top"/>
          </w:tcPr>
          <w:p>
            <w:pPr>
              <w:pStyle w:val="2"/>
              <w:spacing w:line="360" w:lineRule="auto"/>
              <w:ind w:left="0" w:leftChars="0" w:firstLine="0" w:firstLineChars="0"/>
              <w:rPr>
                <w:rFonts w:hint="eastAsia" w:eastAsia="宋体"/>
                <w:lang w:val="en-US" w:eastAsia="zh-CN"/>
              </w:rPr>
            </w:pPr>
            <w:r>
              <w:rPr>
                <w:rFonts w:hint="eastAsia" w:ascii="宋体" w:hAnsi="宋体" w:eastAsia="宋体" w:cs="宋体"/>
                <w:sz w:val="24"/>
                <w:szCs w:val="24"/>
              </w:rPr>
              <w:t>投标人所投产品完全满足重点指标的，得</w:t>
            </w:r>
            <w:r>
              <w:rPr>
                <w:rFonts w:hint="eastAsia" w:ascii="宋体" w:hAnsi="宋体" w:eastAsia="宋体" w:cs="宋体"/>
                <w:spacing w:val="-30"/>
                <w:sz w:val="24"/>
                <w:szCs w:val="24"/>
              </w:rPr>
              <w:t xml:space="preserve"> </w:t>
            </w:r>
            <w:r>
              <w:rPr>
                <w:rFonts w:hint="eastAsia" w:ascii="宋体" w:hAnsi="宋体" w:eastAsia="宋体" w:cs="宋体"/>
                <w:sz w:val="24"/>
                <w:szCs w:val="24"/>
                <w:lang w:val="en-US" w:eastAsia="zh-CN"/>
              </w:rPr>
              <w:t>12</w:t>
            </w:r>
            <w:r>
              <w:rPr>
                <w:rFonts w:hint="eastAsia" w:ascii="宋体" w:hAnsi="宋体" w:eastAsia="宋体" w:cs="宋体"/>
                <w:sz w:val="24"/>
                <w:szCs w:val="24"/>
              </w:rPr>
              <w:t>分；加</w:t>
            </w:r>
            <w:r>
              <w:rPr>
                <w:rFonts w:hint="eastAsia" w:ascii="宋体" w:hAnsi="宋体" w:eastAsia="宋体" w:cs="宋体"/>
                <w:spacing w:val="-30"/>
                <w:sz w:val="24"/>
                <w:szCs w:val="24"/>
              </w:rPr>
              <w:t xml:space="preserve"> </w:t>
            </w:r>
            <w:r>
              <w:rPr>
                <w:rFonts w:hint="eastAsia" w:ascii="宋体" w:hAnsi="宋体" w:eastAsia="宋体" w:cs="宋体"/>
                <w:sz w:val="24"/>
                <w:szCs w:val="24"/>
              </w:rPr>
              <w:t>“※”</w:t>
            </w:r>
            <w:r>
              <w:rPr>
                <w:rFonts w:hint="eastAsia" w:ascii="宋体" w:hAnsi="宋体" w:eastAsia="宋体" w:cs="宋体"/>
                <w:spacing w:val="-4"/>
                <w:sz w:val="24"/>
                <w:szCs w:val="24"/>
              </w:rPr>
              <w:t>条款内容为本项目的重要指标，如有不响应</w:t>
            </w:r>
            <w:r>
              <w:rPr>
                <w:rFonts w:hint="eastAsia" w:ascii="宋体" w:hAnsi="宋体" w:eastAsia="宋体" w:cs="宋体"/>
                <w:sz w:val="24"/>
                <w:szCs w:val="24"/>
              </w:rPr>
              <w:t>或负偏离的每项扣 2 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center"/>
          </w:tcPr>
          <w:p>
            <w:pPr>
              <w:pStyle w:val="2"/>
              <w:jc w:val="center"/>
              <w:rPr>
                <w:rFonts w:hint="eastAsia" w:ascii="宋体" w:hAnsi="宋体" w:eastAsia="宋体" w:cs="宋体"/>
                <w:sz w:val="24"/>
                <w:szCs w:val="24"/>
                <w:vertAlign w:val="baseline"/>
                <w:lang w:val="en-US" w:eastAsia="zh-CN"/>
              </w:rPr>
            </w:pPr>
          </w:p>
        </w:tc>
        <w:tc>
          <w:tcPr>
            <w:tcW w:w="913"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实施技术方案</w:t>
            </w:r>
          </w:p>
        </w:tc>
        <w:tc>
          <w:tcPr>
            <w:tcW w:w="750"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33分</w:t>
            </w:r>
          </w:p>
        </w:tc>
        <w:tc>
          <w:tcPr>
            <w:tcW w:w="6992"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根据供应商对项目的理解，对供应商提供的人员配置及进度安排方案、信息审核方案、定位安装及联网实施方案等制定的实施工作方案进行综合评审：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1、人员配置及进度安排方案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根据人员配置及进度安排方案是否合理、可行、确保项目按期完成在1-5分之间进行综合评定。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2、信息审核方案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根据信息审核方案是否完整、合理、规范、确保项目实施成效在1-5分之间进行综合评定。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3、远程定位装置安装及联网实施方案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根据位置监控装置安装及联网实施方案是否完整、实施效果是否规范可行在1-5分之间进行综合评定。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4、服务人员依法依规、安全文明施工方案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根据服务人员依法依规、安全文明施工方案是否完整、合理、规范、确保项目实施成效在1-5分之间进行综合评定。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5、信息保密方案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根据信息保密方案是否完整、细致、规范、配套措施完备可行在1-5分之间进行综合评定。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6、应急处理措施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对本项目过程中供应商解决问题的能力、紧急情况处理预案进行评价。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供应商是否有解决问题的能力、项目实施过程中所有可能出现的问题考虑是否全面，紧急情况处理预案是否详细可操作在 1-5分之间进行综合评定。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施工质量保证方案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4"/>
                <w:szCs w:val="24"/>
                <w:lang w:val="en-US" w:eastAsia="zh-CN"/>
              </w:rPr>
            </w:pPr>
            <w:r>
              <w:rPr>
                <w:rFonts w:hint="eastAsia" w:asciiTheme="majorEastAsia" w:hAnsiTheme="majorEastAsia" w:eastAsiaTheme="majorEastAsia" w:cstheme="majorEastAsia"/>
                <w:sz w:val="24"/>
                <w:szCs w:val="24"/>
                <w:lang w:val="en-US" w:eastAsia="zh-CN"/>
              </w:rPr>
              <w:t>根据供应商提供的在施工过程中如何保证质量方面在1-3分之间进行综合评定。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 w:author="微信用户" w:date="2023-10-09T11:44:5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257" w:hRule="atLeast"/>
        </w:trPr>
        <w:tc>
          <w:tcPr>
            <w:tcW w:w="1080" w:type="dxa"/>
            <w:vMerge w:val="continue"/>
            <w:noWrap w:val="0"/>
            <w:vAlign w:val="center"/>
            <w:tcPrChange w:id="2" w:author="微信用户" w:date="2023-10-09T11:44:50Z">
              <w:tcPr>
                <w:tcW w:w="1080" w:type="dxa"/>
                <w:vMerge w:val="continue"/>
                <w:noWrap w:val="0"/>
                <w:vAlign w:val="center"/>
              </w:tcPr>
            </w:tcPrChange>
          </w:tcPr>
          <w:p>
            <w:pPr>
              <w:pStyle w:val="2"/>
              <w:jc w:val="center"/>
              <w:rPr>
                <w:rFonts w:hint="eastAsia" w:ascii="宋体" w:hAnsi="宋体" w:eastAsia="宋体" w:cs="宋体"/>
                <w:sz w:val="24"/>
                <w:szCs w:val="24"/>
                <w:vertAlign w:val="baseline"/>
                <w:lang w:val="en-US" w:eastAsia="zh-CN"/>
              </w:rPr>
            </w:pPr>
          </w:p>
        </w:tc>
        <w:tc>
          <w:tcPr>
            <w:tcW w:w="913" w:type="dxa"/>
            <w:noWrap w:val="0"/>
            <w:vAlign w:val="center"/>
            <w:tcPrChange w:id="3" w:author="微信用户" w:date="2023-10-09T11:44:50Z">
              <w:tcPr>
                <w:tcW w:w="913" w:type="dxa"/>
                <w:noWrap w:val="0"/>
                <w:vAlign w:val="center"/>
              </w:tcPr>
            </w:tcPrChange>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售后服务方案</w:t>
            </w:r>
          </w:p>
        </w:tc>
        <w:tc>
          <w:tcPr>
            <w:tcW w:w="750" w:type="dxa"/>
            <w:noWrap w:val="0"/>
            <w:vAlign w:val="center"/>
            <w:tcPrChange w:id="4" w:author="微信用户" w:date="2023-10-09T11:44:50Z">
              <w:tcPr>
                <w:tcW w:w="750" w:type="dxa"/>
                <w:noWrap w:val="0"/>
                <w:vAlign w:val="center"/>
              </w:tcPr>
            </w:tcPrChange>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8分</w:t>
            </w:r>
          </w:p>
        </w:tc>
        <w:tc>
          <w:tcPr>
            <w:tcW w:w="6992" w:type="dxa"/>
            <w:noWrap w:val="0"/>
            <w:vAlign w:val="top"/>
            <w:tcPrChange w:id="5" w:author="微信用户" w:date="2023-10-09T11:44:50Z">
              <w:tcPr>
                <w:tcW w:w="6992" w:type="dxa"/>
                <w:noWrap w:val="0"/>
                <w:vAlign w:val="top"/>
              </w:tcPr>
            </w:tcPrChange>
          </w:tcPr>
          <w:p>
            <w:pPr>
              <w:pStyle w:val="2"/>
              <w:numPr>
                <w:ilvl w:val="0"/>
                <w:numId w:val="3"/>
              </w:numPr>
              <w:ind w:left="0" w:leftChars="0" w:firstLine="0" w:firstLineChars="0"/>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kern w:val="2"/>
                <w:sz w:val="24"/>
                <w:szCs w:val="24"/>
                <w:vertAlign w:val="baseline"/>
                <w:lang w:val="en-US" w:eastAsia="zh-CN" w:bidi="ar-SA"/>
              </w:rPr>
              <w:t>根据供应商制定的售后服务内容进行打分，1-3分。</w:t>
            </w:r>
          </w:p>
          <w:p>
            <w:pPr>
              <w:pStyle w:val="5"/>
              <w:numPr>
                <w:ilvl w:val="0"/>
                <w:numId w:val="3"/>
              </w:numPr>
              <w:tabs>
                <w:tab w:val="left" w:pos="567"/>
              </w:tabs>
              <w:ind w:left="0" w:leftChars="0" w:firstLine="0" w:firstLineChars="0"/>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kern w:val="2"/>
                <w:sz w:val="24"/>
                <w:szCs w:val="24"/>
                <w:vertAlign w:val="baseline"/>
                <w:lang w:val="en-US" w:eastAsia="zh-CN" w:bidi="ar-SA"/>
              </w:rPr>
              <w:t>根据供应商提供的建立售后服务体系进行打分，1-3分。</w:t>
            </w:r>
          </w:p>
          <w:p>
            <w:pPr>
              <w:numPr>
                <w:ilvl w:val="0"/>
                <w:numId w:val="3"/>
              </w:numPr>
              <w:ind w:left="0" w:leftChars="0" w:firstLine="0" w:firstLineChars="0"/>
              <w:rPr>
                <w:rFonts w:hint="default" w:ascii="宋体" w:hAnsi="宋体" w:eastAsia="宋体" w:cs="宋体"/>
                <w:color w:val="auto"/>
                <w:kern w:val="2"/>
                <w:sz w:val="24"/>
                <w:szCs w:val="24"/>
                <w:vertAlign w:val="baseline"/>
                <w:lang w:val="en-US" w:eastAsia="zh-CN" w:bidi="ar-SA"/>
              </w:rPr>
            </w:pPr>
            <w:r>
              <w:rPr>
                <w:rFonts w:hint="eastAsia" w:ascii="宋体" w:hAnsi="宋体" w:eastAsia="宋体" w:cs="宋体"/>
                <w:color w:val="auto"/>
                <w:kern w:val="2"/>
                <w:sz w:val="24"/>
                <w:szCs w:val="24"/>
                <w:vertAlign w:val="baseline"/>
                <w:lang w:val="en-US" w:eastAsia="zh-CN" w:bidi="ar-SA"/>
              </w:rPr>
              <w:t>根据供应商提供的多样化售后服务方式进行打分，1-2分。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center"/>
          </w:tcPr>
          <w:p>
            <w:pPr>
              <w:pStyle w:val="2"/>
              <w:jc w:val="center"/>
              <w:rPr>
                <w:rFonts w:hint="eastAsia" w:ascii="宋体" w:hAnsi="宋体" w:eastAsia="宋体" w:cs="宋体"/>
                <w:sz w:val="24"/>
                <w:szCs w:val="24"/>
                <w:vertAlign w:val="baseline"/>
                <w:lang w:val="en-US" w:eastAsia="zh-CN"/>
              </w:rPr>
            </w:pPr>
          </w:p>
        </w:tc>
        <w:tc>
          <w:tcPr>
            <w:tcW w:w="913"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运维方案</w:t>
            </w:r>
          </w:p>
        </w:tc>
        <w:tc>
          <w:tcPr>
            <w:tcW w:w="750"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12分</w:t>
            </w:r>
          </w:p>
        </w:tc>
        <w:tc>
          <w:tcPr>
            <w:tcW w:w="6992" w:type="dxa"/>
            <w:noWrap w:val="0"/>
            <w:vAlign w:val="top"/>
          </w:tcPr>
          <w:p>
            <w:pPr>
              <w:pStyle w:val="2"/>
              <w:numPr>
                <w:ilvl w:val="0"/>
                <w:numId w:val="4"/>
              </w:numPr>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根据供应商提供的日常维护方案进行打分，1-3分。</w:t>
            </w:r>
          </w:p>
          <w:p>
            <w:pPr>
              <w:pStyle w:val="5"/>
              <w:numPr>
                <w:ilvl w:val="0"/>
                <w:numId w:val="4"/>
              </w:numPr>
              <w:tabs>
                <w:tab w:val="left" w:pos="567"/>
              </w:tabs>
              <w:ind w:left="0" w:leftChars="0" w:firstLine="0" w:firstLineChars="0"/>
              <w:rPr>
                <w:rFonts w:hint="eastAsia"/>
                <w:sz w:val="24"/>
                <w:szCs w:val="24"/>
                <w:lang w:val="en-US" w:eastAsia="zh-CN"/>
              </w:rPr>
            </w:pPr>
            <w:r>
              <w:rPr>
                <w:rFonts w:hint="eastAsia"/>
                <w:sz w:val="24"/>
                <w:szCs w:val="24"/>
                <w:lang w:val="en-US" w:eastAsia="zh-CN"/>
              </w:rPr>
              <w:t>根据供应商提供的定期巡检方案进行打分，</w:t>
            </w:r>
            <w:r>
              <w:rPr>
                <w:rFonts w:hint="eastAsia" w:ascii="宋体" w:hAnsi="宋体" w:eastAsia="宋体" w:cs="宋体"/>
                <w:color w:val="auto"/>
                <w:kern w:val="2"/>
                <w:sz w:val="24"/>
                <w:szCs w:val="24"/>
                <w:vertAlign w:val="baseline"/>
                <w:lang w:val="en-US" w:eastAsia="zh-CN" w:bidi="ar-SA"/>
              </w:rPr>
              <w:t>1-3分</w:t>
            </w:r>
            <w:r>
              <w:rPr>
                <w:rFonts w:hint="eastAsia"/>
                <w:sz w:val="24"/>
                <w:szCs w:val="24"/>
                <w:lang w:val="en-US" w:eastAsia="zh-CN"/>
              </w:rPr>
              <w:t>。</w:t>
            </w:r>
          </w:p>
          <w:p>
            <w:pPr>
              <w:numPr>
                <w:ilvl w:val="0"/>
                <w:numId w:val="4"/>
              </w:numPr>
              <w:ind w:left="0" w:leftChars="0" w:firstLine="0" w:firstLineChars="0"/>
              <w:rPr>
                <w:rFonts w:hint="default"/>
                <w:sz w:val="24"/>
                <w:szCs w:val="24"/>
                <w:lang w:val="en-US" w:eastAsia="zh-CN"/>
              </w:rPr>
            </w:pPr>
            <w:r>
              <w:rPr>
                <w:rFonts w:hint="eastAsia"/>
                <w:sz w:val="24"/>
                <w:szCs w:val="24"/>
                <w:lang w:val="en-US" w:eastAsia="zh-CN"/>
              </w:rPr>
              <w:t>根据供应商提供的故障维修以及故障应急措施进行打分</w:t>
            </w:r>
            <w:r>
              <w:rPr>
                <w:rFonts w:hint="eastAsia" w:ascii="宋体" w:hAnsi="宋体" w:eastAsia="宋体" w:cs="宋体"/>
                <w:color w:val="auto"/>
                <w:kern w:val="2"/>
                <w:sz w:val="24"/>
                <w:szCs w:val="24"/>
                <w:vertAlign w:val="baseline"/>
                <w:lang w:val="en-US" w:eastAsia="zh-CN" w:bidi="ar-SA"/>
              </w:rPr>
              <w:t>，1-3</w:t>
            </w:r>
            <w:r>
              <w:rPr>
                <w:rFonts w:hint="eastAsia"/>
                <w:sz w:val="24"/>
                <w:szCs w:val="24"/>
                <w:lang w:val="en-US" w:eastAsia="zh-CN"/>
              </w:rPr>
              <w:t>分。</w:t>
            </w:r>
          </w:p>
          <w:p>
            <w:pPr>
              <w:pStyle w:val="2"/>
              <w:ind w:left="0" w:leftChars="0" w:firstLine="0" w:firstLineChars="0"/>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4、根据供应商提供的建立运维档案进行打分1-3分。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Merge w:val="continue"/>
            <w:noWrap w:val="0"/>
            <w:vAlign w:val="center"/>
          </w:tcPr>
          <w:p>
            <w:pPr>
              <w:pStyle w:val="2"/>
              <w:jc w:val="center"/>
              <w:rPr>
                <w:rFonts w:hint="eastAsia" w:ascii="宋体" w:hAnsi="宋体" w:eastAsia="宋体" w:cs="宋体"/>
                <w:sz w:val="24"/>
                <w:szCs w:val="24"/>
                <w:vertAlign w:val="baseline"/>
                <w:lang w:val="en-US" w:eastAsia="zh-CN"/>
              </w:rPr>
            </w:pPr>
          </w:p>
        </w:tc>
        <w:tc>
          <w:tcPr>
            <w:tcW w:w="913"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培训方案</w:t>
            </w:r>
          </w:p>
        </w:tc>
        <w:tc>
          <w:tcPr>
            <w:tcW w:w="750" w:type="dxa"/>
            <w:noWrap w:val="0"/>
            <w:vAlign w:val="center"/>
          </w:tcPr>
          <w:p>
            <w:pPr>
              <w:pStyle w:val="2"/>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4分</w:t>
            </w:r>
          </w:p>
        </w:tc>
        <w:tc>
          <w:tcPr>
            <w:tcW w:w="6992" w:type="dxa"/>
            <w:noWrap w:val="0"/>
            <w:vAlign w:val="top"/>
          </w:tcPr>
          <w:p>
            <w:pPr>
              <w:pStyle w:val="2"/>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根据投标人提供的培训方案，综合评价培训体系、培训目标、培训对象、培训内容、培训师资、培训课程及时间安排、培训组织方式、培训环境、培训规范文档和实操培训，各部分内容描述清晰合理的在1-4分之间进行综合评定。</w:t>
            </w:r>
          </w:p>
        </w:tc>
      </w:tr>
    </w:tbl>
    <w:p>
      <w:pPr>
        <w:spacing w:line="360" w:lineRule="auto"/>
        <w:ind w:firstLine="482" w:firstLineChars="200"/>
        <w:rPr>
          <w:rFonts w:hint="default" w:ascii="宋体" w:hAnsi="宋体" w:cs="宋体"/>
          <w:b/>
          <w:bCs/>
          <w:sz w:val="24"/>
          <w:szCs w:val="24"/>
          <w:lang w:val="en-US" w:eastAsia="zh-CN"/>
        </w:rPr>
      </w:pP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政策优惠说明：</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（1）、对监狱企业生产的制服、消防设备和特种车辆产品或服务评审价格折扣8%，</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监狱企业其他产品、小型企业、微型企业、残疾人福利性单位的产品/服务评审价格折</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扣均为10%；</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小微企业价格扣除比例等有关事宜，详见投标人须知前附表。</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生产商既是监狱企业，又属小型企业或微型企业或残疾人福利性单位的不重复折扣。</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（2）、对环境标志产品和节能产品评审加分：</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①在价格评标项中，对节能、环境标志产品分别给予价格评标总分值的4%的加分；</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②在技术评标项中，对节能、环境标志产品分别给予技术评标总分值的4%的加分。</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产品既是环境标志产品，又是节能产品的均予加分，其中节能产品加分时不含强制节能产品。</w:t>
      </w:r>
    </w:p>
    <w:p>
      <w:pPr>
        <w:tabs>
          <w:tab w:val="left" w:pos="180"/>
        </w:tabs>
        <w:spacing w:before="60" w:after="60" w:line="360" w:lineRule="auto"/>
        <w:ind w:firstLine="480" w:firstLineChars="200"/>
        <w:rPr>
          <w:rFonts w:hint="eastAsia" w:ascii="宋体" w:hAnsi="宋体" w:cs="宋体"/>
          <w:sz w:val="24"/>
          <w:szCs w:val="24"/>
        </w:rPr>
      </w:pPr>
      <w:r>
        <w:rPr>
          <w:rFonts w:hint="eastAsia" w:ascii="宋体" w:hAnsi="宋体" w:cs="宋体"/>
          <w:sz w:val="24"/>
          <w:szCs w:val="24"/>
        </w:rPr>
        <w:t>最终得分=综合得分+对环境标志产品和节能产品加分。</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4.2评标委员会发现投标人的报价明显低于其他投标报价，使得其投标报价可能低于其个别成本的，应当要求该投标人作出书面说明并提供相应的证明材料。投标人不能合理说明或者不能提供相应证明材料的，由评标委员会认定该投标人以低于成本报价竞标。</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4.3  投标文件的澄清和补正</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（1）在评标过程中，评标委员会可以书面形式要求投标人对所提交投标文件中不明确的内容进行书面澄清或说明，或者对细微偏差进行补正。评标委员会不接受投标人主动提出的澄清、说明或补正。</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（2）澄清、说明和补正不得改变投标文件的实质性内容（算术性错误修正的除外）。投标人的书面澄清、说明和补正属于投标文件的组成部分。</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（3）评标委员会对投标人提交的澄清、说明或补正有疑问的，可以要求投标人进一步澄清、说明或补正，直至满足评标委员会的要求。</w:t>
      </w:r>
    </w:p>
    <w:p>
      <w:pPr>
        <w:spacing w:line="360" w:lineRule="auto"/>
        <w:ind w:firstLine="482" w:firstLineChars="200"/>
        <w:rPr>
          <w:rFonts w:hint="eastAsia" w:ascii="宋体" w:hAnsi="宋体" w:cs="宋体"/>
          <w:b/>
          <w:sz w:val="24"/>
          <w:szCs w:val="24"/>
        </w:rPr>
      </w:pPr>
      <w:r>
        <w:rPr>
          <w:rFonts w:hint="eastAsia" w:ascii="宋体" w:hAnsi="宋体" w:cs="宋体"/>
          <w:b/>
          <w:sz w:val="24"/>
          <w:szCs w:val="24"/>
        </w:rPr>
        <w:t>4.4 定标原则：由全体评委按照评分标准的规定对各有效投标人进行综合评审，按最终得分由高到低推荐</w:t>
      </w:r>
      <w:r>
        <w:rPr>
          <w:rFonts w:hint="eastAsia" w:ascii="宋体" w:hAnsi="宋体" w:cs="宋体"/>
          <w:b/>
          <w:sz w:val="24"/>
          <w:szCs w:val="24"/>
          <w:lang w:val="en-US" w:eastAsia="zh-CN"/>
        </w:rPr>
        <w:t>1-3</w:t>
      </w:r>
      <w:r>
        <w:rPr>
          <w:rFonts w:hint="eastAsia" w:ascii="宋体" w:hAnsi="宋体" w:cs="宋体"/>
          <w:b/>
          <w:sz w:val="24"/>
          <w:szCs w:val="24"/>
        </w:rPr>
        <w:t>名中标候选人。最终得分相同者，报价得分高者排名在前，投标报价得分也相同的，由评标委员会按照技术得分由高到低的顺序确定。</w:t>
      </w:r>
    </w:p>
    <w:p>
      <w:pPr>
        <w:spacing w:line="360" w:lineRule="auto"/>
        <w:ind w:firstLine="482" w:firstLineChars="200"/>
        <w:rPr>
          <w:rFonts w:hint="eastAsia" w:ascii="宋体" w:hAnsi="宋体" w:cs="宋体"/>
          <w:b/>
          <w:sz w:val="24"/>
          <w:szCs w:val="24"/>
        </w:rPr>
      </w:pPr>
      <w:r>
        <w:rPr>
          <w:rFonts w:hint="eastAsia" w:ascii="宋体" w:hAnsi="宋体" w:cs="宋体"/>
          <w:b/>
          <w:sz w:val="24"/>
          <w:szCs w:val="24"/>
        </w:rPr>
        <w:t>本项目兼投不兼中，同一投标人仅能中标一个标段。评标委员会组成员应按标段序号从小到大开始评审，每个标段推荐1-3 名中标候选人，被推选为第一名中标候选人的，继续参与其他标段的评审但不再参与其他标段第一中标候选人的推荐。（如投标人放弃顺序中标包，则视为放弃中标资格。</w:t>
      </w:r>
    </w:p>
    <w:p>
      <w:pPr>
        <w:tabs>
          <w:tab w:val="left" w:pos="180"/>
        </w:tabs>
        <w:spacing w:before="60" w:after="60" w:line="360" w:lineRule="auto"/>
        <w:ind w:firstLine="482" w:firstLineChars="200"/>
        <w:rPr>
          <w:rFonts w:ascii="宋体" w:hAnsi="宋体" w:cs="宋体"/>
          <w:b/>
          <w:sz w:val="24"/>
          <w:szCs w:val="24"/>
        </w:rPr>
      </w:pPr>
      <w:r>
        <w:rPr>
          <w:rFonts w:hint="eastAsia" w:ascii="宋体" w:hAnsi="宋体" w:cs="宋体"/>
          <w:b/>
          <w:sz w:val="24"/>
          <w:szCs w:val="24"/>
        </w:rPr>
        <w:t>5、重大偏差</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 xml:space="preserve">5.1没有按照招标文件要求提供投标担保或者所提供的投标担保有瑕疵； </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 xml:space="preserve">5.2投标文件没有投标人授权代表签字和加盖公章； </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 xml:space="preserve">5.3投标文件载明的招标项目完成期限超过招标文件规定的期限； </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 xml:space="preserve">5.4明显不符合技术规格、技术标准的要求； </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 xml:space="preserve">5.5投标文件附有招标人不能接受的条件； </w:t>
      </w:r>
    </w:p>
    <w:p>
      <w:pPr>
        <w:tabs>
          <w:tab w:val="left" w:pos="180"/>
        </w:tabs>
        <w:spacing w:before="60" w:after="60" w:line="360" w:lineRule="auto"/>
        <w:ind w:firstLine="480" w:firstLineChars="200"/>
        <w:rPr>
          <w:rFonts w:ascii="宋体" w:hAnsi="宋体" w:cs="宋体"/>
          <w:sz w:val="24"/>
          <w:szCs w:val="24"/>
        </w:rPr>
      </w:pPr>
      <w:r>
        <w:rPr>
          <w:rFonts w:hint="eastAsia" w:ascii="宋体" w:hAnsi="宋体" w:cs="宋体"/>
          <w:sz w:val="24"/>
          <w:szCs w:val="24"/>
        </w:rPr>
        <w:t>5.6不符合招标文件中规定的其他实质性要求。</w:t>
      </w:r>
    </w:p>
    <w:p>
      <w:pPr>
        <w:tabs>
          <w:tab w:val="left" w:pos="180"/>
        </w:tabs>
        <w:spacing w:before="60" w:after="60" w:line="360" w:lineRule="auto"/>
        <w:ind w:firstLine="482" w:firstLineChars="200"/>
        <w:rPr>
          <w:rFonts w:ascii="宋体" w:hAnsi="宋体" w:cs="宋体"/>
          <w:b/>
          <w:bCs/>
          <w:sz w:val="24"/>
          <w:szCs w:val="24"/>
        </w:rPr>
      </w:pPr>
      <w:r>
        <w:rPr>
          <w:rFonts w:hint="eastAsia" w:ascii="宋体" w:hAnsi="宋体" w:cs="宋体"/>
          <w:b/>
          <w:bCs/>
          <w:sz w:val="24"/>
          <w:szCs w:val="24"/>
        </w:rPr>
        <w:t>投标文件有上述情形之一的，为未能对招标文件作出实质性响应，并作无效投标处理。</w:t>
      </w:r>
    </w:p>
    <w:p>
      <w:pPr>
        <w:tabs>
          <w:tab w:val="left" w:pos="180"/>
        </w:tabs>
        <w:spacing w:before="60" w:after="60"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6、无效投标与废标</w:t>
      </w:r>
    </w:p>
    <w:p>
      <w:pPr>
        <w:tabs>
          <w:tab w:val="left" w:pos="180"/>
        </w:tabs>
        <w:spacing w:before="60" w:after="60"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6.1按无效标处理：</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投标人有下列情况者，其投标视为无效投标。</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1、项目开标前，投标人有下列情况之一者，其投标视为无效投标，取消其投标资格：</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①投标文件未按招标文件的规定签署；</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②逾期解密投标文件的；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③法律、法规规定的其他情况。</w:t>
      </w:r>
    </w:p>
    <w:p>
      <w:pPr>
        <w:pStyle w:val="14"/>
        <w:spacing w:line="360" w:lineRule="auto"/>
        <w:ind w:firstLine="480" w:firstLineChars="200"/>
        <w:textAlignment w:val="center"/>
        <w:rPr>
          <w:rFonts w:hAnsi="宋体"/>
          <w:sz w:val="24"/>
          <w:szCs w:val="24"/>
          <w:highlight w:val="none"/>
        </w:rPr>
      </w:pPr>
      <w:r>
        <w:rPr>
          <w:rFonts w:hint="eastAsia" w:hAnsi="宋体"/>
          <w:sz w:val="24"/>
          <w:szCs w:val="24"/>
          <w:highlight w:val="none"/>
        </w:rPr>
        <w:t>2、在《信用中国》网站查询目前被列入失信被执行人、异常经营名录、税收违法黑名单、在《中国政府采购网》查询目前被列入政府采购严重违法失信行为记录名单的；</w:t>
      </w:r>
    </w:p>
    <w:p>
      <w:pPr>
        <w:pStyle w:val="14"/>
        <w:spacing w:line="360" w:lineRule="auto"/>
        <w:ind w:firstLine="480" w:firstLineChars="200"/>
        <w:textAlignment w:val="center"/>
        <w:rPr>
          <w:rFonts w:hAnsi="宋体"/>
          <w:sz w:val="24"/>
          <w:szCs w:val="24"/>
          <w:highlight w:val="none"/>
        </w:rPr>
      </w:pPr>
      <w:r>
        <w:rPr>
          <w:rFonts w:hint="eastAsia" w:hAnsi="宋体"/>
          <w:sz w:val="24"/>
          <w:szCs w:val="24"/>
          <w:highlight w:val="none"/>
        </w:rPr>
        <w:t>3、投标文件制作机器码、投标文件创建标识码一致或造价软件加密锁号一致，以涉嫌串通投标作无效标处理，并将有关问题上报至行政监管部门处理；</w:t>
      </w:r>
    </w:p>
    <w:p>
      <w:pPr>
        <w:pStyle w:val="14"/>
        <w:spacing w:line="360" w:lineRule="auto"/>
        <w:ind w:firstLine="480" w:firstLineChars="200"/>
        <w:textAlignment w:val="center"/>
        <w:rPr>
          <w:rFonts w:hAnsi="宋体"/>
          <w:sz w:val="24"/>
          <w:szCs w:val="24"/>
          <w:highlight w:val="none"/>
        </w:rPr>
      </w:pPr>
      <w:r>
        <w:rPr>
          <w:rFonts w:hint="eastAsia" w:hAnsi="宋体"/>
          <w:sz w:val="24"/>
          <w:szCs w:val="24"/>
          <w:highlight w:val="none"/>
        </w:rPr>
        <w:t>4、不符合招标文件中规定的其他实质性要求；</w:t>
      </w:r>
    </w:p>
    <w:p>
      <w:pPr>
        <w:pStyle w:val="14"/>
        <w:spacing w:line="360" w:lineRule="auto"/>
        <w:ind w:firstLine="480" w:firstLineChars="200"/>
        <w:textAlignment w:val="center"/>
        <w:rPr>
          <w:rFonts w:hAnsi="宋体"/>
          <w:sz w:val="24"/>
          <w:szCs w:val="24"/>
          <w:highlight w:val="none"/>
        </w:rPr>
      </w:pPr>
      <w:r>
        <w:rPr>
          <w:rFonts w:hint="eastAsia" w:hAnsi="宋体"/>
          <w:sz w:val="24"/>
          <w:szCs w:val="24"/>
          <w:highlight w:val="none"/>
        </w:rPr>
        <w:t>5、投标人名称和授权代表与报名系统时不一致的；</w:t>
      </w:r>
    </w:p>
    <w:p>
      <w:pPr>
        <w:pStyle w:val="14"/>
        <w:spacing w:line="360" w:lineRule="auto"/>
        <w:ind w:firstLine="480" w:firstLineChars="200"/>
        <w:textAlignment w:val="center"/>
        <w:rPr>
          <w:rFonts w:hAnsi="宋体"/>
          <w:sz w:val="24"/>
          <w:szCs w:val="24"/>
          <w:highlight w:val="none"/>
        </w:rPr>
      </w:pPr>
      <w:r>
        <w:rPr>
          <w:rFonts w:hint="eastAsia" w:hAnsi="宋体"/>
          <w:sz w:val="24"/>
          <w:szCs w:val="24"/>
          <w:highlight w:val="none"/>
        </w:rPr>
        <w:t>6、投标报价超出已公布的采购预算的；</w:t>
      </w:r>
    </w:p>
    <w:p>
      <w:pPr>
        <w:pStyle w:val="14"/>
        <w:spacing w:line="360" w:lineRule="auto"/>
        <w:ind w:firstLine="480" w:firstLineChars="200"/>
        <w:textAlignment w:val="center"/>
        <w:rPr>
          <w:rFonts w:hAnsi="宋体"/>
          <w:sz w:val="24"/>
          <w:szCs w:val="24"/>
          <w:highlight w:val="none"/>
        </w:rPr>
      </w:pPr>
      <w:r>
        <w:rPr>
          <w:rFonts w:hint="eastAsia" w:hAnsi="宋体"/>
          <w:sz w:val="24"/>
          <w:szCs w:val="24"/>
          <w:highlight w:val="none"/>
        </w:rPr>
        <w:t>7、出现两个或两个以上报价，投标报价有缺漏项，或不符合招标文件要求的；</w:t>
      </w:r>
    </w:p>
    <w:p>
      <w:pPr>
        <w:pStyle w:val="14"/>
        <w:spacing w:line="360" w:lineRule="auto"/>
        <w:ind w:firstLine="480" w:firstLineChars="200"/>
        <w:textAlignment w:val="center"/>
        <w:rPr>
          <w:rFonts w:hAnsi="宋体"/>
          <w:sz w:val="24"/>
          <w:szCs w:val="24"/>
          <w:highlight w:val="none"/>
        </w:rPr>
      </w:pPr>
      <w:r>
        <w:rPr>
          <w:rFonts w:hint="eastAsia" w:hAnsi="宋体"/>
          <w:sz w:val="24"/>
          <w:szCs w:val="24"/>
          <w:highlight w:val="none"/>
        </w:rPr>
        <w:t>8、对招标文件重要参数项有负偏离的；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9、投标文件编写不符合招标文件要求，或没有按招标文件要求填写格式文件的。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10、项目评标过程中，投标人有下列情况之一者，其投标视为无效投标，不再进行下一步评审：</w:t>
      </w:r>
    </w:p>
    <w:p>
      <w:pPr>
        <w:tabs>
          <w:tab w:val="left" w:pos="180"/>
        </w:tabs>
        <w:spacing w:before="60" w:after="60"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①招标文件中要求必备的资质证件未能提供或提供不全资格审查不合格的；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②投标文件未实质上响应招标文件要求的；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③评标标准中明确规定的情况；</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④投标人提供的有关资格、资质证明文件不真实，提供虚假投标材料；</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⑤招标人拒绝接受按照本招标文件除4.3条规定以外修正错误后的投标报价；</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⑥投标人名称、授权人/联系人与报名平台不一致的；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⑦在整个评标过程中，投标人有企图影响评标结果的任何不当活动；</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⑧投标人串通投标或采用不正当竞争方式；</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⑨投标人以任何方式诋毁其他投标人；</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⑩有确凿的证据表明投标人以低于成本价投标；</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⑪法律、法规规定的其他情况。</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11、项目定标后，投标人有下列情况之一者，取消其中标资格：</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①中标人未按规定交纳相关费用；</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②中标人不按招标文件规定的要求签订合同；</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③投标人在投标有效期内撤回投标；</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④法律、法规规定的其他情况。</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投标人有上述行为之一的，招标人将严格依照《中华人民共和国政府采购法》及有关法律、法规及规章的规定行使其权利。投标人给代理招标人造成损失的，代理招标人有索赔的权利。给招标人造成损失的，应予以赔偿。</w:t>
      </w:r>
    </w:p>
    <w:p>
      <w:pPr>
        <w:tabs>
          <w:tab w:val="left" w:pos="180"/>
        </w:tabs>
        <w:spacing w:before="60" w:after="60"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6.2按废标处理：</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出现下列情形之一的，应予废标：</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（1）符合专业条件的投标人或者对招标文件作实质响应的投标人不足三家的；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（2）出现影响采购公正的违法、违规行为的；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（3）投标人的报价均超过了采购预算，招标人不能支付的；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（4）因重大变故，采购任务取消的。</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7、特殊情况下的处理方法</w:t>
      </w:r>
    </w:p>
    <w:p>
      <w:pPr>
        <w:tabs>
          <w:tab w:val="left" w:pos="180"/>
        </w:tabs>
        <w:spacing w:before="60" w:after="60"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如出现投标人达不到法定要求数量、全部落标、串通投标以及投标人互相诋毁，导致评标委员会无法评标或投标人报价均超出预算时，评标委员会有权停止招标，否决所有投标，监管机构可以依法改用其它招标方式进行采购。</w:t>
      </w:r>
    </w:p>
    <w:p>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五、评标纪律</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1、评标是招标工作的重要环节，评标工作在评标委员会内独立进行。评标委员会将按照评标原则的要求，公正、平等地对待所有投标人。</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2、所有评标人员应忠于职守、廉洁自律、秉公办事、不徇私情。</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3、评标人员不得接受或参加投标人或与投标有关的单位、组织或个人的有碍公务的宴请、娱乐等，不得以任何形式弄虚作假。</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4、评标期间，评标人员不得随意出入评标地点、与外界通讯、会客等。</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5、在投标文件的审查、澄清、评价和比较以及授予合同的过程中，投标人对招标人、用户及评标委员会其他成员施加影响的任何行为，都将导致被取消投标资格。</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6、为保证定标的公正性，在评标过程中，评委不得与任何投标人或与招标结果有利害关系的人员进行私下接触。在评标工作结束后，凡与评标情况有接触的任何人，不得将评标情况扩散出评标委员会以外。</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7、评标过程中，当发表结论性意见时，先听取专家评委意见，用户评委随后发表意见。</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8、评标结束后，各评标人员应将全部资料整治交至采购代理机构，严禁将评标过程中的任何资料带出评标现场向投标人或其他单位提供。</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9、采购代理机构与委托方应对评标委员会成员名单、拟邀请的潜在投标人名单、已购买招标文件的潜在投标人名单、评标过程予以保密。</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10、评标委员会成员以及与评审有关的人员应当对评审情况和评审过程中获悉的国家秘密、商业秘密予以保密。</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11、评标委员会成员应当客观、公正地履行职责，遵守职业道德，对所提出的评审意见承担个人责任。</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12、评标工作开始前，由工作人员负责收缴并保管评委、工作人员的通讯工具。</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13、在政府采购活动中，招标人员及相关人员与投标人有下列利害关系之一的，应当回避：</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（一）参加采购活动前3年内与投标人存在劳动关系；</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（二）参加采购活动前3年内担任投标人的董事、监事；</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（三）参加采购活动前3年内是投标人的控股股东或者实际控制人；</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（四）与投标人的法定代表人或者负责人有夫妻、直系血亲、三代以内旁系血亲或者近姻亲关系；</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（五）与投标人有其他可能影响政府采购活动公平、公正进行的关系。</w:t>
      </w:r>
    </w:p>
    <w:p>
      <w:pPr>
        <w:adjustRightInd w:val="0"/>
        <w:snapToGrid w:val="0"/>
        <w:spacing w:line="360" w:lineRule="auto"/>
        <w:ind w:firstLine="480" w:firstLineChars="200"/>
        <w:textAlignment w:val="center"/>
        <w:rPr>
          <w:rFonts w:ascii="宋体" w:hAnsi="宋体" w:cs="宋体"/>
          <w:sz w:val="24"/>
          <w:szCs w:val="24"/>
          <w:highlight w:val="none"/>
        </w:rPr>
      </w:pPr>
      <w:r>
        <w:rPr>
          <w:rFonts w:hint="eastAsia" w:ascii="宋体" w:hAnsi="宋体" w:cs="宋体"/>
          <w:sz w:val="24"/>
          <w:szCs w:val="24"/>
          <w:highlight w:val="none"/>
        </w:rPr>
        <w:t>投标人认为招标人员及相关人员与其他投标人有利害关系的，可以向招标人或者采购代理机构书面提出回避申请，并说明理由。招标人或者采购代理机构应当及时询问被申请回避人员，有利害关系的被申请回避人员应当回避。</w:t>
      </w:r>
    </w:p>
    <w:p>
      <w:pPr>
        <w:pStyle w:val="14"/>
        <w:spacing w:line="360" w:lineRule="auto"/>
        <w:ind w:firstLine="482" w:firstLineChars="200"/>
        <w:textAlignment w:val="center"/>
        <w:rPr>
          <w:rFonts w:hAnsi="宋体"/>
          <w:b/>
          <w:sz w:val="24"/>
          <w:szCs w:val="24"/>
        </w:rPr>
      </w:pPr>
      <w:r>
        <w:rPr>
          <w:rFonts w:hint="eastAsia" w:hAnsi="宋体"/>
          <w:b/>
          <w:sz w:val="24"/>
          <w:szCs w:val="24"/>
        </w:rPr>
        <w:t>六、中标通知书</w:t>
      </w:r>
    </w:p>
    <w:p>
      <w:pPr>
        <w:spacing w:line="360" w:lineRule="auto"/>
        <w:ind w:firstLine="480" w:firstLineChars="200"/>
        <w:rPr>
          <w:sz w:val="24"/>
          <w:szCs w:val="24"/>
        </w:rPr>
      </w:pPr>
      <w:r>
        <w:rPr>
          <w:rFonts w:hint="eastAsia"/>
          <w:sz w:val="24"/>
          <w:szCs w:val="24"/>
        </w:rPr>
        <w:t xml:space="preserve">采购代理机构应当自评审结束之日起2个工作日内将评标报告送交招标人。招标人应当自收到评标报告之日起5个工作日内在评标报告推荐的中标候选人中按顺序确定中标人。         </w:t>
      </w:r>
    </w:p>
    <w:p>
      <w:pPr>
        <w:spacing w:line="360" w:lineRule="auto"/>
        <w:ind w:firstLine="480" w:firstLineChars="200"/>
        <w:rPr>
          <w:sz w:val="24"/>
          <w:szCs w:val="24"/>
        </w:rPr>
      </w:pPr>
      <w:r>
        <w:rPr>
          <w:rFonts w:hint="eastAsia"/>
          <w:sz w:val="24"/>
          <w:szCs w:val="24"/>
        </w:rPr>
        <w:t>招标人或者采购代理机构应当自中标人确定之日起2个工作日内，发出中标通知书，同时在省级以上人民政府财政部门指定的媒体上公告中标结果。自中标结果公告之日由中标人向采购代理机构交纳代理费。</w:t>
      </w:r>
    </w:p>
    <w:p>
      <w:pPr>
        <w:pStyle w:val="14"/>
        <w:spacing w:line="360" w:lineRule="auto"/>
        <w:ind w:firstLine="480" w:firstLineChars="200"/>
        <w:textAlignment w:val="center"/>
        <w:rPr>
          <w:rFonts w:hAnsi="宋体"/>
          <w:sz w:val="24"/>
          <w:szCs w:val="24"/>
        </w:rPr>
      </w:pPr>
      <w:r>
        <w:rPr>
          <w:rFonts w:hint="eastAsia" w:hAnsi="宋体"/>
          <w:sz w:val="24"/>
          <w:szCs w:val="24"/>
        </w:rPr>
        <w:t>《中标通知书》将作为签订合同的依据，且是合同的一个组成部分。</w:t>
      </w:r>
    </w:p>
    <w:p>
      <w:pPr>
        <w:spacing w:line="360" w:lineRule="auto"/>
        <w:ind w:firstLine="482" w:firstLineChars="200"/>
        <w:rPr>
          <w:rFonts w:ascii="宋体" w:hAnsi="宋体" w:cs="宋体"/>
          <w:b/>
          <w:sz w:val="24"/>
          <w:szCs w:val="24"/>
        </w:rPr>
      </w:pPr>
      <w:r>
        <w:rPr>
          <w:rFonts w:hint="eastAsia" w:ascii="宋体" w:hAnsi="宋体" w:cs="宋体"/>
          <w:b/>
          <w:sz w:val="24"/>
          <w:szCs w:val="24"/>
        </w:rPr>
        <w:t xml:space="preserve">七、 签订合同 </w:t>
      </w:r>
    </w:p>
    <w:p>
      <w:pPr>
        <w:pStyle w:val="14"/>
        <w:spacing w:line="360" w:lineRule="auto"/>
        <w:ind w:firstLine="480" w:firstLineChars="200"/>
        <w:textAlignment w:val="center"/>
        <w:rPr>
          <w:rFonts w:hAnsi="宋体"/>
          <w:sz w:val="24"/>
          <w:szCs w:val="24"/>
        </w:rPr>
      </w:pPr>
      <w:r>
        <w:rPr>
          <w:rFonts w:hint="eastAsia" w:hAnsi="宋体"/>
          <w:sz w:val="24"/>
          <w:szCs w:val="24"/>
        </w:rPr>
        <w:t>1、中标人须按《中标通知书》指定的时间、地点按照招标文件和投标文件确定的事项由采购代理机构协助与招标人签订政府采购合同，签订政府采购合同的时间在《中标通知书》发出之日十个工作日内。</w:t>
      </w:r>
    </w:p>
    <w:p>
      <w:pPr>
        <w:pStyle w:val="14"/>
        <w:spacing w:line="360" w:lineRule="auto"/>
        <w:ind w:firstLine="480" w:firstLineChars="200"/>
        <w:textAlignment w:val="center"/>
        <w:rPr>
          <w:rFonts w:hAnsi="宋体"/>
          <w:sz w:val="24"/>
          <w:szCs w:val="24"/>
        </w:rPr>
      </w:pPr>
      <w:r>
        <w:rPr>
          <w:rFonts w:hint="eastAsia" w:hAnsi="宋体"/>
          <w:sz w:val="24"/>
          <w:szCs w:val="24"/>
        </w:rPr>
        <w:t>2、招标文件及其补充文件、中标人的投标文件及其澄清文件等，均为合同附件。</w:t>
      </w:r>
    </w:p>
    <w:p>
      <w:pPr>
        <w:pStyle w:val="14"/>
        <w:spacing w:line="360" w:lineRule="auto"/>
        <w:ind w:firstLine="480" w:firstLineChars="200"/>
        <w:textAlignment w:val="center"/>
        <w:rPr>
          <w:rFonts w:hAnsi="宋体"/>
          <w:sz w:val="24"/>
          <w:szCs w:val="24"/>
        </w:rPr>
      </w:pPr>
      <w:r>
        <w:rPr>
          <w:rFonts w:hint="eastAsia" w:hAnsi="宋体"/>
          <w:sz w:val="24"/>
          <w:szCs w:val="24"/>
        </w:rPr>
        <w:t>3、如中标人拒签合同，则按违约处理。招标人可依照《中华人民共和国政府采购法》、《中华人民共和国政府采购法实施条例》规定追究法律责任。</w:t>
      </w:r>
    </w:p>
    <w:p>
      <w:pPr>
        <w:pStyle w:val="14"/>
        <w:spacing w:line="360" w:lineRule="auto"/>
        <w:ind w:firstLine="480" w:firstLineChars="200"/>
        <w:textAlignment w:val="center"/>
        <w:rPr>
          <w:rFonts w:hAnsi="宋体"/>
          <w:sz w:val="24"/>
          <w:szCs w:val="24"/>
        </w:rPr>
      </w:pPr>
      <w:r>
        <w:rPr>
          <w:rFonts w:hint="eastAsia" w:hAnsi="宋体"/>
          <w:sz w:val="24"/>
          <w:szCs w:val="24"/>
        </w:rPr>
        <w:t>4、政府采购代理机构应当督促招标人和中标人及时签订合同，发生拖延或者拒绝签订合同、中止或者终止合同以及其他合同签订、履行异常情况时，应当了解情况，积极主动协调，协调无效时，应及时报同级财政部门，财政部门依法对责任方作出处理或处罚。</w:t>
      </w:r>
    </w:p>
    <w:p>
      <w:pPr>
        <w:pStyle w:val="14"/>
        <w:spacing w:line="360" w:lineRule="auto"/>
        <w:ind w:firstLine="482" w:firstLineChars="200"/>
        <w:rPr>
          <w:rFonts w:hAnsi="宋体"/>
          <w:b/>
          <w:sz w:val="24"/>
          <w:szCs w:val="24"/>
        </w:rPr>
      </w:pPr>
      <w:r>
        <w:rPr>
          <w:rFonts w:hint="eastAsia" w:hAnsi="宋体"/>
          <w:b/>
          <w:sz w:val="24"/>
          <w:szCs w:val="24"/>
        </w:rPr>
        <w:t>八、质疑投诉：</w:t>
      </w:r>
    </w:p>
    <w:p>
      <w:pPr>
        <w:pStyle w:val="14"/>
        <w:spacing w:line="360" w:lineRule="auto"/>
        <w:ind w:firstLine="480" w:firstLineChars="200"/>
        <w:rPr>
          <w:rFonts w:hAnsi="宋体"/>
          <w:sz w:val="24"/>
          <w:szCs w:val="24"/>
        </w:rPr>
      </w:pPr>
      <w:r>
        <w:rPr>
          <w:rFonts w:hint="eastAsia" w:hAnsi="宋体"/>
          <w:sz w:val="24"/>
          <w:szCs w:val="24"/>
        </w:rPr>
        <w:t>投标人（供应商）可以委托代理人进行质疑和投诉。其授权委托书应当载明代理人的姓名或者名称、代理事项、具体权限、期限和相关事项。投标人（供应商）为自然人的，应当由本人签字；投标人（供应商）为法人或者其他组织的，应当由法定代表人、主要负责人签字或者盖章，并加盖公章。</w:t>
      </w:r>
    </w:p>
    <w:p>
      <w:pPr>
        <w:pStyle w:val="14"/>
        <w:spacing w:line="360" w:lineRule="auto"/>
        <w:ind w:firstLine="480" w:firstLineChars="200"/>
        <w:rPr>
          <w:rFonts w:hAnsi="宋体"/>
          <w:sz w:val="24"/>
          <w:szCs w:val="24"/>
        </w:rPr>
      </w:pPr>
      <w:r>
        <w:rPr>
          <w:rFonts w:hint="eastAsia" w:hAnsi="宋体"/>
          <w:sz w:val="24"/>
          <w:szCs w:val="24"/>
        </w:rPr>
        <w:t>代理人提出质疑和投诉，应当提交投标人（供应商）签署的授权委托书。</w:t>
      </w:r>
    </w:p>
    <w:p>
      <w:pPr>
        <w:pStyle w:val="14"/>
        <w:spacing w:line="360" w:lineRule="auto"/>
        <w:ind w:firstLine="480" w:firstLineChars="200"/>
        <w:rPr>
          <w:rFonts w:hAnsi="宋体"/>
          <w:sz w:val="24"/>
          <w:szCs w:val="24"/>
        </w:rPr>
      </w:pPr>
      <w:r>
        <w:rPr>
          <w:rFonts w:hint="eastAsia" w:hAnsi="宋体"/>
          <w:sz w:val="24"/>
          <w:szCs w:val="24"/>
        </w:rPr>
        <w:t>以联合体形式参加政府采购活动的，其投诉应当由组成联合体的所有投标人（供应商）共同提出。</w:t>
      </w:r>
    </w:p>
    <w:p>
      <w:pPr>
        <w:pStyle w:val="14"/>
        <w:spacing w:line="360" w:lineRule="auto"/>
        <w:ind w:firstLine="480" w:firstLineChars="200"/>
        <w:rPr>
          <w:rFonts w:hAnsi="宋体"/>
          <w:sz w:val="24"/>
          <w:szCs w:val="24"/>
        </w:rPr>
      </w:pPr>
      <w:r>
        <w:rPr>
          <w:rFonts w:hint="eastAsia" w:hAnsi="宋体"/>
          <w:sz w:val="24"/>
          <w:szCs w:val="24"/>
        </w:rPr>
        <w:t>投标人（供应商）认为采购文件、采购过程、中标或者成交结果使自己的权益受到损害的，可以在知道或者应知其权益受到损害之日起7个工作日内，以书面形式向采购人、采购代理机构提出质疑。投标人（供应商）应当在法定质疑期内一次性提出针对同一采购程序环节的质疑。质疑投标人（供应商）对采购人、采购代理机构的答复不满意，或者采购人、采购代理机构未在规定时间内作出答复的，可以在答复期满后15个工作日内向规定的财政部门提起投诉。</w:t>
      </w:r>
    </w:p>
    <w:p>
      <w:pPr>
        <w:pStyle w:val="14"/>
        <w:spacing w:line="360" w:lineRule="auto"/>
        <w:ind w:firstLine="480" w:firstLineChars="200"/>
        <w:rPr>
          <w:rFonts w:hAnsi="宋体"/>
          <w:sz w:val="24"/>
          <w:szCs w:val="24"/>
        </w:rPr>
      </w:pPr>
      <w:r>
        <w:rPr>
          <w:rFonts w:hint="eastAsia" w:hAnsi="宋体"/>
          <w:sz w:val="24"/>
          <w:szCs w:val="24"/>
        </w:rPr>
        <w:t>质疑的提出和答复、投诉的提起和处理应严格按照中华人民共和国财政部令【第94号】《政府采购质疑和投诉办法》的规定。</w:t>
      </w:r>
    </w:p>
    <w:p>
      <w:pPr>
        <w:pStyle w:val="14"/>
        <w:spacing w:line="360" w:lineRule="auto"/>
        <w:ind w:firstLine="480" w:firstLineChars="200"/>
        <w:textAlignment w:val="center"/>
        <w:rPr>
          <w:rFonts w:hint="default" w:hAnsi="宋体" w:eastAsia="宋体"/>
          <w:sz w:val="24"/>
          <w:szCs w:val="24"/>
          <w:lang w:val="en-US" w:eastAsia="zh-CN"/>
        </w:rPr>
      </w:pPr>
      <w:r>
        <w:rPr>
          <w:rFonts w:hint="eastAsia" w:hAnsi="宋体"/>
          <w:sz w:val="24"/>
          <w:szCs w:val="24"/>
        </w:rPr>
        <w:t>质疑函收件人：</w:t>
      </w:r>
      <w:r>
        <w:rPr>
          <w:rFonts w:hint="eastAsia" w:hAnsi="宋体"/>
          <w:sz w:val="24"/>
          <w:szCs w:val="24"/>
          <w:lang w:val="en-US" w:eastAsia="zh-CN"/>
        </w:rPr>
        <w:t xml:space="preserve">杜工     </w:t>
      </w:r>
      <w:r>
        <w:rPr>
          <w:rFonts w:hint="eastAsia" w:hAnsi="宋体"/>
          <w:sz w:val="24"/>
          <w:szCs w:val="24"/>
        </w:rPr>
        <w:t>联系电话：</w:t>
      </w:r>
      <w:r>
        <w:rPr>
          <w:rFonts w:hint="eastAsia" w:hAnsi="宋体"/>
          <w:sz w:val="24"/>
          <w:szCs w:val="24"/>
          <w:lang w:val="en-US" w:eastAsia="zh-CN"/>
        </w:rPr>
        <w:t>13371468186</w:t>
      </w:r>
    </w:p>
    <w:p>
      <w:pPr>
        <w:pStyle w:val="14"/>
        <w:spacing w:line="360" w:lineRule="auto"/>
        <w:ind w:firstLine="480" w:firstLineChars="200"/>
        <w:textAlignment w:val="center"/>
        <w:rPr>
          <w:rFonts w:hint="eastAsia" w:hAnsi="宋体" w:eastAsia="宋体"/>
          <w:sz w:val="24"/>
          <w:szCs w:val="24"/>
          <w:lang w:eastAsia="zh-CN"/>
        </w:rPr>
      </w:pPr>
      <w:r>
        <w:rPr>
          <w:rFonts w:hint="eastAsia" w:hAnsi="宋体"/>
          <w:sz w:val="24"/>
          <w:szCs w:val="24"/>
        </w:rPr>
        <w:t>通讯地址：山东省聊城市东昌府区柳园办事处</w:t>
      </w:r>
      <w:r>
        <w:rPr>
          <w:rFonts w:ascii="宋体" w:hAnsi="宋体" w:eastAsia="宋体" w:cs="宋体"/>
          <w:b w:val="0"/>
          <w:sz w:val="24"/>
          <w:szCs w:val="24"/>
          <w:lang w:eastAsia="zh-CN"/>
        </w:rPr>
        <w:t>山水文园16号楼1单元9号商业</w:t>
      </w:r>
    </w:p>
    <w:p>
      <w:pPr>
        <w:pStyle w:val="14"/>
        <w:spacing w:line="360" w:lineRule="auto"/>
        <w:ind w:firstLine="482" w:firstLineChars="200"/>
        <w:textAlignment w:val="center"/>
        <w:rPr>
          <w:rFonts w:hAnsi="宋体"/>
          <w:b/>
          <w:sz w:val="24"/>
          <w:szCs w:val="24"/>
        </w:rPr>
      </w:pPr>
      <w:r>
        <w:rPr>
          <w:rFonts w:hint="eastAsia" w:hAnsi="宋体"/>
          <w:b/>
          <w:sz w:val="24"/>
          <w:szCs w:val="24"/>
        </w:rPr>
        <w:t>九、解释权：</w:t>
      </w:r>
    </w:p>
    <w:p>
      <w:pPr>
        <w:pStyle w:val="14"/>
        <w:spacing w:line="360" w:lineRule="auto"/>
        <w:ind w:firstLine="241" w:firstLineChars="100"/>
        <w:textAlignment w:val="center"/>
        <w:rPr>
          <w:rFonts w:hAnsi="宋体"/>
          <w:sz w:val="24"/>
          <w:szCs w:val="24"/>
        </w:rPr>
      </w:pPr>
      <w:r>
        <w:rPr>
          <w:rFonts w:hint="eastAsia" w:hAnsi="宋体"/>
          <w:b/>
          <w:sz w:val="24"/>
          <w:szCs w:val="24"/>
        </w:rPr>
        <w:t>1、</w:t>
      </w:r>
      <w:r>
        <w:rPr>
          <w:rFonts w:hint="eastAsia" w:hAnsi="宋体"/>
          <w:sz w:val="24"/>
          <w:szCs w:val="24"/>
        </w:rPr>
        <w:t>本招标文件的最终解释权为采购人，解释以采购人的书面解释为准。</w:t>
      </w:r>
    </w:p>
    <w:p>
      <w:pPr>
        <w:tabs>
          <w:tab w:val="left" w:pos="180"/>
        </w:tabs>
        <w:adjustRightInd w:val="0"/>
        <w:snapToGrid w:val="0"/>
        <w:spacing w:line="360" w:lineRule="auto"/>
        <w:ind w:firstLine="241" w:firstLineChars="100"/>
        <w:rPr>
          <w:rFonts w:ascii="宋体" w:hAnsi="宋体" w:cs="宋体"/>
          <w:sz w:val="24"/>
          <w:szCs w:val="24"/>
        </w:rPr>
      </w:pPr>
      <w:r>
        <w:rPr>
          <w:rFonts w:hint="eastAsia" w:ascii="宋体" w:hAnsi="宋体" w:cs="宋体"/>
          <w:b/>
          <w:sz w:val="24"/>
          <w:szCs w:val="24"/>
        </w:rPr>
        <w:t>2、</w:t>
      </w:r>
      <w:r>
        <w:rPr>
          <w:rFonts w:hint="eastAsia" w:ascii="宋体" w:hAnsi="宋体" w:cs="宋体"/>
          <w:sz w:val="24"/>
          <w:szCs w:val="24"/>
        </w:rPr>
        <w:t>招标文件未做须知明示，而又有相关法律、法规规定的，投标人应同时遵守相关法律、法规。</w:t>
      </w:r>
    </w:p>
    <w:p>
      <w:pPr>
        <w:pStyle w:val="14"/>
        <w:adjustRightInd w:val="0"/>
        <w:snapToGrid w:val="0"/>
        <w:spacing w:line="360" w:lineRule="auto"/>
        <w:jc w:val="center"/>
        <w:textAlignment w:val="center"/>
        <w:rPr>
          <w:rStyle w:val="39"/>
          <w:rFonts w:hAnsi="宋体"/>
          <w:sz w:val="40"/>
          <w:szCs w:val="40"/>
        </w:rPr>
      </w:pPr>
      <w:bookmarkStart w:id="68" w:name="_Toc24039402"/>
      <w:bookmarkStart w:id="69" w:name="_Toc23506"/>
      <w:r>
        <w:rPr>
          <w:rFonts w:hint="eastAsia" w:hAnsi="宋体"/>
          <w:b/>
          <w:bCs/>
          <w:sz w:val="32"/>
          <w:szCs w:val="32"/>
        </w:rPr>
        <w:br w:type="page"/>
      </w:r>
      <w:bookmarkStart w:id="70" w:name="_Toc31857"/>
      <w:r>
        <w:rPr>
          <w:rStyle w:val="39"/>
          <w:rFonts w:hint="eastAsia" w:hAnsi="宋体"/>
          <w:sz w:val="40"/>
          <w:szCs w:val="40"/>
        </w:rPr>
        <w:t>第五章  合同格式</w:t>
      </w:r>
      <w:bookmarkEnd w:id="68"/>
      <w:bookmarkEnd w:id="69"/>
    </w:p>
    <w:bookmarkEnd w:id="70"/>
    <w:p>
      <w:pPr>
        <w:spacing w:line="660" w:lineRule="exact"/>
        <w:jc w:val="center"/>
        <w:outlineLvl w:val="0"/>
        <w:rPr>
          <w:rFonts w:ascii="宋体" w:hAnsi="宋体" w:cs="宋体"/>
          <w:b/>
          <w:sz w:val="44"/>
          <w:szCs w:val="44"/>
        </w:rPr>
      </w:pPr>
      <w:r>
        <w:rPr>
          <w:rFonts w:hint="eastAsia" w:ascii="宋体" w:hAnsi="宋体" w:cs="宋体"/>
          <w:b/>
          <w:sz w:val="44"/>
          <w:szCs w:val="44"/>
        </w:rPr>
        <w:t>政府采购合同书</w:t>
      </w:r>
    </w:p>
    <w:p>
      <w:pPr>
        <w:tabs>
          <w:tab w:val="left" w:pos="0"/>
          <w:tab w:val="left" w:pos="180"/>
          <w:tab w:val="left" w:pos="360"/>
        </w:tabs>
        <w:jc w:val="center"/>
        <w:rPr>
          <w:rFonts w:ascii="宋体" w:hAnsi="宋体" w:cs="宋体"/>
          <w:b/>
          <w:bCs/>
          <w:sz w:val="36"/>
          <w:szCs w:val="36"/>
        </w:rPr>
      </w:pPr>
    </w:p>
    <w:p>
      <w:pPr>
        <w:tabs>
          <w:tab w:val="left" w:pos="0"/>
          <w:tab w:val="left" w:pos="180"/>
          <w:tab w:val="left" w:pos="360"/>
        </w:tabs>
        <w:jc w:val="center"/>
        <w:rPr>
          <w:rFonts w:ascii="宋体" w:hAnsi="宋体" w:cs="宋体"/>
          <w:b/>
          <w:bCs/>
          <w:sz w:val="36"/>
          <w:szCs w:val="36"/>
        </w:rPr>
      </w:pPr>
    </w:p>
    <w:p>
      <w:pPr>
        <w:tabs>
          <w:tab w:val="left" w:pos="0"/>
          <w:tab w:val="left" w:pos="180"/>
          <w:tab w:val="left" w:pos="360"/>
        </w:tabs>
        <w:jc w:val="center"/>
        <w:rPr>
          <w:rFonts w:ascii="宋体" w:hAnsi="宋体" w:cs="宋体"/>
          <w:b/>
          <w:bCs/>
          <w:sz w:val="48"/>
          <w:szCs w:val="48"/>
        </w:rPr>
      </w:pPr>
      <w:r>
        <w:rPr>
          <w:rFonts w:hint="eastAsia" w:ascii="宋体" w:hAnsi="宋体" w:cs="宋体"/>
          <w:b/>
          <w:bCs/>
          <w:sz w:val="36"/>
          <w:szCs w:val="36"/>
        </w:rPr>
        <w:t xml:space="preserve">  </w:t>
      </w:r>
    </w:p>
    <w:p>
      <w:pPr>
        <w:tabs>
          <w:tab w:val="left" w:pos="0"/>
          <w:tab w:val="left" w:pos="180"/>
          <w:tab w:val="left" w:pos="360"/>
        </w:tabs>
        <w:spacing w:line="640" w:lineRule="exact"/>
        <w:jc w:val="center"/>
        <w:rPr>
          <w:rFonts w:ascii="宋体" w:hAnsi="宋体" w:cs="宋体"/>
          <w:b/>
          <w:bCs/>
          <w:sz w:val="48"/>
          <w:szCs w:val="48"/>
        </w:rPr>
      </w:pPr>
    </w:p>
    <w:p>
      <w:pPr>
        <w:tabs>
          <w:tab w:val="left" w:pos="0"/>
          <w:tab w:val="left" w:pos="180"/>
          <w:tab w:val="left" w:pos="360"/>
        </w:tabs>
        <w:spacing w:line="640" w:lineRule="exact"/>
        <w:jc w:val="center"/>
        <w:rPr>
          <w:rFonts w:ascii="宋体" w:hAnsi="宋体" w:cs="宋体"/>
          <w:b/>
          <w:bCs/>
          <w:sz w:val="48"/>
          <w:szCs w:val="48"/>
        </w:rPr>
      </w:pPr>
    </w:p>
    <w:p>
      <w:pPr>
        <w:tabs>
          <w:tab w:val="left" w:pos="0"/>
          <w:tab w:val="left" w:pos="180"/>
          <w:tab w:val="left" w:pos="360"/>
        </w:tabs>
        <w:spacing w:line="640" w:lineRule="exact"/>
        <w:ind w:left="2518" w:leftChars="1199" w:firstLine="104" w:firstLineChars="43"/>
        <w:rPr>
          <w:rFonts w:ascii="宋体" w:hAnsi="宋体" w:cs="宋体"/>
          <w:b/>
          <w:bCs/>
          <w:sz w:val="24"/>
          <w:u w:val="single"/>
        </w:rPr>
      </w:pPr>
      <w:r>
        <w:rPr>
          <w:rFonts w:hint="eastAsia" w:ascii="宋体" w:hAnsi="宋体" w:cs="宋体"/>
          <w:b/>
          <w:bCs/>
          <w:sz w:val="24"/>
        </w:rPr>
        <w:t>项目名称：</w:t>
      </w:r>
      <w:r>
        <w:rPr>
          <w:rFonts w:hint="eastAsia" w:ascii="宋体" w:hAnsi="宋体" w:cs="宋体"/>
          <w:b/>
          <w:bCs/>
          <w:sz w:val="24"/>
          <w:u w:val="single"/>
        </w:rPr>
        <w:t xml:space="preserve">                         </w:t>
      </w:r>
    </w:p>
    <w:p>
      <w:pPr>
        <w:tabs>
          <w:tab w:val="left" w:pos="0"/>
          <w:tab w:val="left" w:pos="180"/>
          <w:tab w:val="left" w:pos="360"/>
        </w:tabs>
        <w:spacing w:line="640" w:lineRule="exact"/>
        <w:ind w:left="2518" w:leftChars="1199" w:firstLine="104" w:firstLineChars="43"/>
        <w:rPr>
          <w:rFonts w:ascii="宋体" w:hAnsi="宋体" w:cs="宋体"/>
          <w:b/>
          <w:bCs/>
          <w:sz w:val="24"/>
          <w:u w:val="single"/>
        </w:rPr>
      </w:pPr>
      <w:r>
        <w:rPr>
          <w:rFonts w:hint="eastAsia" w:ascii="宋体" w:hAnsi="宋体" w:cs="宋体"/>
          <w:b/>
          <w:bCs/>
          <w:sz w:val="24"/>
        </w:rPr>
        <w:t>采购内容：</w:t>
      </w:r>
      <w:r>
        <w:rPr>
          <w:rFonts w:hint="eastAsia" w:ascii="宋体" w:hAnsi="宋体" w:cs="宋体"/>
          <w:b/>
          <w:bCs/>
          <w:sz w:val="24"/>
          <w:u w:val="single"/>
        </w:rPr>
        <w:t xml:space="preserve">                         </w:t>
      </w:r>
    </w:p>
    <w:p>
      <w:pPr>
        <w:tabs>
          <w:tab w:val="left" w:pos="0"/>
          <w:tab w:val="left" w:pos="180"/>
          <w:tab w:val="left" w:pos="360"/>
        </w:tabs>
        <w:spacing w:line="640" w:lineRule="exact"/>
        <w:ind w:left="2518" w:leftChars="1199" w:firstLine="104" w:firstLineChars="43"/>
        <w:rPr>
          <w:rFonts w:ascii="宋体" w:hAnsi="宋体" w:cs="宋体"/>
          <w:b/>
          <w:bCs/>
          <w:sz w:val="24"/>
          <w:u w:val="single"/>
        </w:rPr>
      </w:pPr>
      <w:r>
        <w:rPr>
          <w:rFonts w:hint="eastAsia" w:ascii="宋体" w:hAnsi="宋体" w:cs="宋体"/>
          <w:b/>
          <w:bCs/>
          <w:sz w:val="24"/>
        </w:rPr>
        <w:t>合同编号：</w:t>
      </w:r>
      <w:r>
        <w:rPr>
          <w:rFonts w:hint="eastAsia" w:ascii="宋体" w:hAnsi="宋体" w:cs="宋体"/>
          <w:b/>
          <w:bCs/>
          <w:sz w:val="24"/>
          <w:u w:val="single"/>
        </w:rPr>
        <w:t xml:space="preserve">                         </w:t>
      </w:r>
    </w:p>
    <w:p>
      <w:pPr>
        <w:tabs>
          <w:tab w:val="left" w:pos="0"/>
          <w:tab w:val="left" w:pos="180"/>
          <w:tab w:val="left" w:pos="360"/>
        </w:tabs>
        <w:spacing w:line="600" w:lineRule="exact"/>
        <w:ind w:left="2518" w:leftChars="1199" w:firstLine="104" w:firstLineChars="43"/>
        <w:rPr>
          <w:rFonts w:ascii="宋体" w:hAnsi="宋体" w:cs="宋体"/>
          <w:b/>
          <w:bCs/>
          <w:sz w:val="24"/>
          <w:u w:val="single"/>
        </w:rPr>
      </w:pPr>
    </w:p>
    <w:p>
      <w:pPr>
        <w:tabs>
          <w:tab w:val="left" w:pos="0"/>
          <w:tab w:val="left" w:pos="180"/>
          <w:tab w:val="left" w:pos="360"/>
        </w:tabs>
        <w:spacing w:line="600" w:lineRule="exact"/>
        <w:ind w:left="2518" w:leftChars="1199" w:firstLine="104" w:firstLineChars="43"/>
        <w:rPr>
          <w:rFonts w:ascii="宋体" w:hAnsi="宋体" w:cs="宋体"/>
          <w:b/>
          <w:bCs/>
          <w:sz w:val="24"/>
          <w:u w:val="single"/>
        </w:rPr>
      </w:pPr>
    </w:p>
    <w:p>
      <w:pPr>
        <w:tabs>
          <w:tab w:val="left" w:pos="0"/>
          <w:tab w:val="left" w:pos="180"/>
          <w:tab w:val="left" w:pos="360"/>
        </w:tabs>
        <w:spacing w:line="640" w:lineRule="exact"/>
        <w:ind w:left="2518" w:leftChars="1199" w:firstLine="104" w:firstLineChars="43"/>
        <w:rPr>
          <w:rFonts w:ascii="宋体" w:hAnsi="宋体" w:cs="宋体"/>
          <w:b/>
          <w:bCs/>
          <w:sz w:val="24"/>
          <w:u w:val="single"/>
        </w:rPr>
      </w:pPr>
      <w:r>
        <w:rPr>
          <w:rFonts w:hint="eastAsia" w:ascii="宋体" w:hAnsi="宋体" w:cs="宋体"/>
          <w:b/>
          <w:bCs/>
          <w:sz w:val="24"/>
        </w:rPr>
        <w:t>采购代理机构：</w:t>
      </w:r>
      <w:r>
        <w:rPr>
          <w:rFonts w:hint="eastAsia" w:ascii="宋体" w:hAnsi="宋体" w:cs="宋体"/>
          <w:b/>
          <w:bCs/>
          <w:sz w:val="24"/>
          <w:u w:val="single"/>
        </w:rPr>
        <w:t xml:space="preserve">                     </w:t>
      </w:r>
    </w:p>
    <w:p>
      <w:pPr>
        <w:tabs>
          <w:tab w:val="left" w:pos="0"/>
          <w:tab w:val="left" w:pos="180"/>
          <w:tab w:val="left" w:pos="360"/>
        </w:tabs>
        <w:spacing w:line="640" w:lineRule="exact"/>
        <w:ind w:left="2518" w:leftChars="1199" w:firstLine="104" w:firstLineChars="43"/>
        <w:rPr>
          <w:rFonts w:ascii="宋体" w:hAnsi="宋体" w:cs="宋体"/>
          <w:b/>
          <w:bCs/>
          <w:sz w:val="24"/>
          <w:u w:val="single"/>
        </w:rPr>
      </w:pPr>
      <w:r>
        <w:rPr>
          <w:rFonts w:hint="eastAsia" w:ascii="宋体" w:hAnsi="宋体" w:cs="宋体"/>
          <w:b/>
          <w:bCs/>
          <w:sz w:val="24"/>
        </w:rPr>
        <w:t>甲    方：</w:t>
      </w:r>
      <w:r>
        <w:rPr>
          <w:rFonts w:hint="eastAsia" w:ascii="宋体" w:hAnsi="宋体" w:cs="宋体"/>
          <w:b/>
          <w:bCs/>
          <w:sz w:val="24"/>
          <w:u w:val="single"/>
        </w:rPr>
        <w:t xml:space="preserve">                         </w:t>
      </w:r>
    </w:p>
    <w:p>
      <w:pPr>
        <w:tabs>
          <w:tab w:val="left" w:pos="0"/>
          <w:tab w:val="left" w:pos="180"/>
          <w:tab w:val="left" w:pos="360"/>
        </w:tabs>
        <w:spacing w:line="640" w:lineRule="exact"/>
        <w:ind w:left="2518" w:leftChars="1199" w:firstLine="104" w:firstLineChars="43"/>
        <w:rPr>
          <w:rFonts w:ascii="宋体" w:hAnsi="宋体" w:cs="宋体"/>
          <w:b/>
          <w:bCs/>
          <w:sz w:val="24"/>
          <w:u w:val="single"/>
        </w:rPr>
      </w:pPr>
      <w:r>
        <w:rPr>
          <w:rFonts w:hint="eastAsia" w:ascii="宋体" w:hAnsi="宋体" w:cs="宋体"/>
          <w:b/>
          <w:bCs/>
          <w:sz w:val="24"/>
        </w:rPr>
        <w:t>乙    方：</w:t>
      </w:r>
      <w:r>
        <w:rPr>
          <w:rFonts w:hint="eastAsia" w:ascii="宋体" w:hAnsi="宋体" w:cs="宋体"/>
          <w:b/>
          <w:bCs/>
          <w:sz w:val="24"/>
          <w:u w:val="single"/>
        </w:rPr>
        <w:t xml:space="preserve">                         </w:t>
      </w:r>
    </w:p>
    <w:p>
      <w:pPr>
        <w:tabs>
          <w:tab w:val="left" w:pos="0"/>
          <w:tab w:val="left" w:pos="180"/>
          <w:tab w:val="left" w:pos="360"/>
        </w:tabs>
        <w:spacing w:line="640" w:lineRule="exact"/>
        <w:ind w:left="2518" w:leftChars="1199" w:firstLine="104" w:firstLineChars="43"/>
        <w:rPr>
          <w:rFonts w:ascii="宋体" w:hAnsi="宋体" w:cs="宋体"/>
          <w:b/>
          <w:bCs/>
          <w:sz w:val="24"/>
          <w:u w:val="single"/>
        </w:rPr>
      </w:pPr>
      <w:r>
        <w:rPr>
          <w:rFonts w:hint="eastAsia" w:ascii="宋体" w:hAnsi="宋体" w:cs="宋体"/>
          <w:b/>
          <w:bCs/>
          <w:sz w:val="24"/>
        </w:rPr>
        <w:t>签署地点：</w:t>
      </w:r>
      <w:r>
        <w:rPr>
          <w:rFonts w:hint="eastAsia" w:ascii="宋体" w:hAnsi="宋体" w:cs="宋体"/>
          <w:b/>
          <w:bCs/>
          <w:sz w:val="24"/>
          <w:u w:val="single"/>
        </w:rPr>
        <w:t xml:space="preserve">                         </w:t>
      </w:r>
    </w:p>
    <w:p>
      <w:pPr>
        <w:tabs>
          <w:tab w:val="left" w:pos="0"/>
          <w:tab w:val="left" w:pos="180"/>
          <w:tab w:val="left" w:pos="360"/>
        </w:tabs>
        <w:spacing w:line="640" w:lineRule="exact"/>
        <w:ind w:left="2518" w:leftChars="1199" w:firstLine="104" w:firstLineChars="43"/>
      </w:pPr>
      <w:r>
        <w:rPr>
          <w:rFonts w:hint="eastAsia" w:ascii="宋体" w:hAnsi="宋体" w:cs="宋体"/>
          <w:b/>
          <w:bCs/>
          <w:sz w:val="24"/>
        </w:rPr>
        <w:t>签署日期：</w:t>
      </w:r>
      <w:r>
        <w:rPr>
          <w:rFonts w:hint="eastAsia" w:ascii="宋体" w:hAnsi="宋体" w:cs="宋体"/>
          <w:b/>
          <w:bCs/>
          <w:sz w:val="24"/>
          <w:u w:val="single"/>
        </w:rPr>
        <w:t xml:space="preserve">                         </w:t>
      </w:r>
    </w:p>
    <w:p>
      <w:pPr>
        <w:rPr>
          <w:rFonts w:ascii="宋体" w:hAnsi="宋体" w:cs="宋体"/>
          <w:sz w:val="24"/>
          <w:szCs w:val="24"/>
        </w:rPr>
      </w:pPr>
    </w:p>
    <w:p>
      <w:pPr>
        <w:rPr>
          <w:rFonts w:ascii="宋体" w:hAnsi="宋体" w:cs="宋体"/>
          <w:sz w:val="24"/>
          <w:szCs w:val="24"/>
        </w:rPr>
      </w:pPr>
    </w:p>
    <w:p>
      <w:pPr>
        <w:pStyle w:val="18"/>
        <w:rPr>
          <w:rFonts w:ascii="宋体" w:hAnsi="宋体" w:cs="宋体"/>
          <w:sz w:val="24"/>
          <w:szCs w:val="24"/>
        </w:rPr>
      </w:pPr>
    </w:p>
    <w:p>
      <w:pPr>
        <w:rPr>
          <w:rFonts w:ascii="宋体" w:hAnsi="宋体" w:cs="宋体"/>
          <w:sz w:val="24"/>
          <w:szCs w:val="24"/>
        </w:rPr>
      </w:pPr>
    </w:p>
    <w:p>
      <w:pPr>
        <w:pStyle w:val="18"/>
        <w:rPr>
          <w:rFonts w:ascii="宋体" w:hAnsi="宋体" w:cs="宋体"/>
          <w:sz w:val="24"/>
          <w:szCs w:val="24"/>
        </w:rPr>
      </w:pPr>
    </w:p>
    <w:p>
      <w:pPr>
        <w:rPr>
          <w:rFonts w:ascii="宋体" w:hAnsi="宋体" w:cs="宋体"/>
          <w:sz w:val="24"/>
          <w:szCs w:val="24"/>
        </w:rPr>
      </w:pPr>
    </w:p>
    <w:p>
      <w:pPr>
        <w:pStyle w:val="18"/>
        <w:rPr>
          <w:rFonts w:ascii="宋体" w:hAnsi="宋体" w:cs="宋体"/>
          <w:sz w:val="24"/>
          <w:szCs w:val="24"/>
        </w:rPr>
      </w:pPr>
    </w:p>
    <w:p>
      <w:pPr>
        <w:rPr>
          <w:rFonts w:ascii="宋体" w:hAnsi="宋体" w:cs="宋体"/>
          <w:sz w:val="24"/>
          <w:szCs w:val="24"/>
        </w:rPr>
      </w:pPr>
    </w:p>
    <w:p>
      <w:pPr>
        <w:pStyle w:val="18"/>
      </w:pPr>
    </w:p>
    <w:p/>
    <w:p>
      <w:pPr>
        <w:rPr>
          <w:rFonts w:ascii="宋体" w:hAnsi="宋体" w:cs="宋体"/>
          <w:sz w:val="24"/>
          <w:szCs w:val="24"/>
        </w:rPr>
      </w:pPr>
    </w:p>
    <w:p>
      <w:pPr>
        <w:spacing w:beforeLines="100" w:line="360" w:lineRule="auto"/>
        <w:ind w:firstLine="480" w:firstLineChars="200"/>
        <w:rPr>
          <w:rFonts w:ascii="宋体" w:hAnsi="宋体" w:cs="宋体"/>
          <w:sz w:val="24"/>
        </w:rPr>
      </w:pPr>
      <w:bookmarkStart w:id="71" w:name="_Toc15621"/>
      <w:r>
        <w:rPr>
          <w:rFonts w:hint="eastAsia" w:ascii="宋体" w:hAnsi="宋体" w:cs="宋体"/>
          <w:sz w:val="24"/>
          <w:u w:val="single"/>
        </w:rPr>
        <w:t xml:space="preserve">（甲方）               </w:t>
      </w:r>
      <w:r>
        <w:rPr>
          <w:rFonts w:hint="eastAsia" w:ascii="宋体" w:hAnsi="宋体" w:cs="宋体"/>
          <w:sz w:val="24"/>
        </w:rPr>
        <w:t>（项目名称)经聊城诚亿项目管理有限公司以公开招标方式进行采购，项目编号</w:t>
      </w:r>
      <w:r>
        <w:rPr>
          <w:rFonts w:hint="eastAsia" w:ascii="宋体" w:hAnsi="宋体" w:cs="宋体"/>
          <w:sz w:val="24"/>
          <w:u w:val="single"/>
        </w:rPr>
        <w:t xml:space="preserve">                </w:t>
      </w:r>
      <w:r>
        <w:rPr>
          <w:rFonts w:hint="eastAsia" w:ascii="宋体" w:hAnsi="宋体" w:cs="宋体"/>
          <w:sz w:val="24"/>
        </w:rPr>
        <w:t>，经评审委员会确定</w:t>
      </w:r>
      <w:r>
        <w:rPr>
          <w:rFonts w:hint="eastAsia" w:ascii="宋体" w:hAnsi="宋体" w:cs="宋体"/>
          <w:sz w:val="24"/>
          <w:u w:val="single"/>
        </w:rPr>
        <w:t xml:space="preserve">                     </w:t>
      </w:r>
      <w:r>
        <w:rPr>
          <w:rFonts w:hint="eastAsia" w:ascii="宋体" w:hAnsi="宋体" w:cs="宋体"/>
          <w:sz w:val="24"/>
        </w:rPr>
        <w:t xml:space="preserve">（乙方）为中标供应商。甲、乙双方根据《中华人民共和国民法典》、《中华人民共和国政府采购法》和其他法律、法规的规定，并按照公正、平等、自愿、诚实信用的原则，同意按照以下条款和条件，签署本合同。 </w:t>
      </w:r>
    </w:p>
    <w:p>
      <w:pPr>
        <w:spacing w:line="500" w:lineRule="exact"/>
        <w:ind w:firstLine="480" w:firstLineChars="200"/>
        <w:rPr>
          <w:rFonts w:ascii="宋体" w:hAnsi="宋体" w:cs="宋体"/>
          <w:sz w:val="24"/>
        </w:rPr>
      </w:pPr>
      <w:r>
        <w:rPr>
          <w:rFonts w:hint="eastAsia" w:ascii="宋体" w:hAnsi="宋体" w:cs="宋体"/>
          <w:sz w:val="24"/>
        </w:rPr>
        <w:t xml:space="preserve">一、本合同由合同文本和下列文件组成 </w:t>
      </w:r>
    </w:p>
    <w:p>
      <w:pPr>
        <w:spacing w:line="500" w:lineRule="exact"/>
        <w:ind w:firstLine="480" w:firstLineChars="200"/>
        <w:rPr>
          <w:rFonts w:ascii="宋体" w:hAnsi="宋体" w:cs="宋体"/>
          <w:sz w:val="24"/>
        </w:rPr>
      </w:pPr>
      <w:r>
        <w:rPr>
          <w:rFonts w:hint="eastAsia" w:ascii="宋体" w:hAnsi="宋体" w:cs="宋体"/>
          <w:sz w:val="24"/>
        </w:rPr>
        <w:t xml:space="preserve">1、招标文件 </w:t>
      </w:r>
    </w:p>
    <w:p>
      <w:pPr>
        <w:spacing w:line="500" w:lineRule="exact"/>
        <w:ind w:firstLine="480" w:firstLineChars="200"/>
        <w:rPr>
          <w:rFonts w:ascii="宋体" w:hAnsi="宋体" w:cs="宋体"/>
          <w:sz w:val="24"/>
        </w:rPr>
      </w:pPr>
      <w:r>
        <w:rPr>
          <w:rFonts w:hint="eastAsia" w:ascii="宋体" w:hAnsi="宋体" w:cs="宋体"/>
          <w:sz w:val="24"/>
        </w:rPr>
        <w:t xml:space="preserve">2、中标人投标文件 </w:t>
      </w:r>
    </w:p>
    <w:p>
      <w:pPr>
        <w:spacing w:line="500" w:lineRule="exact"/>
        <w:ind w:firstLine="480" w:firstLineChars="200"/>
        <w:rPr>
          <w:rFonts w:ascii="宋体" w:hAnsi="宋体" w:cs="宋体"/>
          <w:sz w:val="24"/>
        </w:rPr>
      </w:pPr>
      <w:r>
        <w:rPr>
          <w:rFonts w:hint="eastAsia" w:ascii="宋体" w:hAnsi="宋体" w:cs="宋体"/>
          <w:sz w:val="24"/>
        </w:rPr>
        <w:t xml:space="preserve">3、中标通知书 </w:t>
      </w:r>
    </w:p>
    <w:p>
      <w:pPr>
        <w:spacing w:line="500" w:lineRule="exact"/>
        <w:ind w:firstLine="480" w:firstLineChars="200"/>
        <w:rPr>
          <w:rFonts w:ascii="宋体" w:hAnsi="宋体" w:cs="宋体"/>
          <w:sz w:val="24"/>
        </w:rPr>
      </w:pPr>
      <w:r>
        <w:rPr>
          <w:rFonts w:hint="eastAsia" w:ascii="宋体" w:hAnsi="宋体" w:cs="宋体"/>
          <w:sz w:val="24"/>
        </w:rPr>
        <w:t xml:space="preserve">4、中标供应商在招标过程中做出的书面澄清或承诺 </w:t>
      </w:r>
    </w:p>
    <w:p>
      <w:pPr>
        <w:spacing w:line="500" w:lineRule="exact"/>
        <w:ind w:firstLine="480" w:firstLineChars="200"/>
        <w:rPr>
          <w:rFonts w:ascii="宋体" w:hAnsi="宋体" w:cs="宋体"/>
          <w:sz w:val="24"/>
        </w:rPr>
      </w:pPr>
      <w:r>
        <w:rPr>
          <w:rFonts w:hint="eastAsia" w:ascii="宋体" w:hAnsi="宋体" w:cs="宋体"/>
          <w:sz w:val="24"/>
        </w:rPr>
        <w:t xml:space="preserve">5、本合同附件 </w:t>
      </w:r>
    </w:p>
    <w:p>
      <w:pPr>
        <w:spacing w:line="500" w:lineRule="exact"/>
        <w:ind w:firstLine="480" w:firstLineChars="200"/>
        <w:rPr>
          <w:rFonts w:ascii="宋体" w:hAnsi="宋体" w:cs="宋体"/>
          <w:sz w:val="24"/>
        </w:rPr>
      </w:pPr>
      <w:r>
        <w:rPr>
          <w:rFonts w:hint="eastAsia" w:ascii="宋体" w:hAnsi="宋体" w:cs="宋体"/>
          <w:sz w:val="24"/>
        </w:rPr>
        <w:t xml:space="preserve">二、本合同涉及内容由附件载明。  </w:t>
      </w:r>
    </w:p>
    <w:p>
      <w:pPr>
        <w:spacing w:line="500" w:lineRule="exact"/>
        <w:ind w:firstLine="480" w:firstLineChars="200"/>
        <w:rPr>
          <w:rFonts w:ascii="宋体" w:hAnsi="宋体" w:cs="宋体"/>
          <w:sz w:val="24"/>
          <w:u w:val="single"/>
        </w:rPr>
      </w:pPr>
      <w:r>
        <w:rPr>
          <w:rFonts w:hint="eastAsia" w:ascii="宋体" w:hAnsi="宋体" w:cs="宋体"/>
          <w:sz w:val="24"/>
          <w:u w:val="single"/>
        </w:rPr>
        <w:t xml:space="preserve">    详见招标文件                                           </w:t>
      </w:r>
    </w:p>
    <w:p>
      <w:pPr>
        <w:spacing w:line="500" w:lineRule="exact"/>
        <w:ind w:firstLine="480" w:firstLineChars="200"/>
        <w:rPr>
          <w:rFonts w:ascii="宋体" w:hAnsi="宋体" w:cs="宋体"/>
          <w:sz w:val="24"/>
        </w:rPr>
      </w:pPr>
      <w:r>
        <w:rPr>
          <w:rFonts w:hint="eastAsia" w:ascii="宋体" w:hAnsi="宋体" w:cs="宋体"/>
          <w:sz w:val="24"/>
        </w:rPr>
        <w:t>（可后附详细服务内容）</w:t>
      </w:r>
    </w:p>
    <w:p>
      <w:pPr>
        <w:spacing w:line="500" w:lineRule="exact"/>
        <w:ind w:firstLine="480" w:firstLineChars="200"/>
        <w:rPr>
          <w:rFonts w:ascii="宋体" w:hAnsi="宋体" w:cs="宋体"/>
          <w:sz w:val="24"/>
        </w:rPr>
      </w:pPr>
      <w:r>
        <w:rPr>
          <w:rFonts w:hint="eastAsia" w:ascii="宋体" w:hAnsi="宋体" w:cs="宋体"/>
          <w:sz w:val="24"/>
        </w:rPr>
        <w:t xml:space="preserve">三、合同金额 </w:t>
      </w:r>
    </w:p>
    <w:p>
      <w:pPr>
        <w:spacing w:line="500" w:lineRule="exact"/>
        <w:ind w:firstLine="480" w:firstLineChars="200"/>
        <w:rPr>
          <w:rFonts w:ascii="宋体" w:hAnsi="宋体" w:cs="宋体"/>
          <w:sz w:val="24"/>
        </w:rPr>
      </w:pPr>
      <w:r>
        <w:rPr>
          <w:rFonts w:hint="eastAsia" w:ascii="宋体" w:hAnsi="宋体" w:cs="宋体"/>
          <w:sz w:val="24"/>
        </w:rPr>
        <w:t>合同总金额：</w:t>
      </w:r>
      <w:r>
        <w:rPr>
          <w:rFonts w:hint="eastAsia" w:ascii="宋体" w:hAnsi="宋体" w:cs="宋体"/>
          <w:sz w:val="24"/>
          <w:u w:val="single"/>
        </w:rPr>
        <w:t xml:space="preserve">人民币                     </w:t>
      </w:r>
      <w:r>
        <w:rPr>
          <w:rFonts w:hint="eastAsia" w:ascii="宋体" w:hAnsi="宋体" w:cs="宋体"/>
          <w:sz w:val="24"/>
        </w:rPr>
        <w:t xml:space="preserve">（大写） </w:t>
      </w:r>
    </w:p>
    <w:p>
      <w:pPr>
        <w:spacing w:line="500" w:lineRule="exact"/>
        <w:ind w:firstLine="480" w:firstLineChars="200"/>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人民币                     </w:t>
      </w:r>
      <w:r>
        <w:rPr>
          <w:rFonts w:hint="eastAsia" w:ascii="宋体" w:hAnsi="宋体" w:cs="宋体"/>
          <w:sz w:val="24"/>
        </w:rPr>
        <w:t xml:space="preserve">（小写） </w:t>
      </w:r>
    </w:p>
    <w:p>
      <w:pPr>
        <w:spacing w:line="500" w:lineRule="exact"/>
        <w:ind w:firstLine="480" w:firstLineChars="200"/>
        <w:rPr>
          <w:rFonts w:ascii="宋体" w:hAnsi="宋体" w:cs="宋体"/>
          <w:sz w:val="24"/>
        </w:rPr>
      </w:pPr>
      <w:r>
        <w:rPr>
          <w:rFonts w:hint="eastAsia" w:ascii="宋体" w:hAnsi="宋体" w:cs="宋体"/>
          <w:sz w:val="24"/>
        </w:rPr>
        <w:t>四、付款方式：</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kern w:val="0"/>
          <w:sz w:val="24"/>
        </w:rPr>
        <w:t xml:space="preserve"> 。</w:t>
      </w:r>
    </w:p>
    <w:p>
      <w:pPr>
        <w:spacing w:line="500" w:lineRule="exact"/>
        <w:ind w:firstLine="480" w:firstLineChars="200"/>
        <w:rPr>
          <w:rFonts w:ascii="宋体" w:hAnsi="宋体" w:cs="宋体"/>
          <w:sz w:val="24"/>
        </w:rPr>
      </w:pPr>
      <w:r>
        <w:rPr>
          <w:rFonts w:hint="eastAsia" w:ascii="宋体" w:hAnsi="宋体" w:cs="宋体"/>
          <w:sz w:val="24"/>
        </w:rPr>
        <w:t>五、时间、地点、 验收方式</w:t>
      </w:r>
    </w:p>
    <w:p>
      <w:pPr>
        <w:spacing w:line="500" w:lineRule="exact"/>
        <w:ind w:firstLine="480" w:firstLineChars="200"/>
        <w:rPr>
          <w:rFonts w:ascii="宋体" w:hAnsi="宋体" w:cs="宋体"/>
          <w:sz w:val="24"/>
          <w:u w:val="single"/>
        </w:rPr>
      </w:pPr>
      <w:r>
        <w:rPr>
          <w:rFonts w:hint="eastAsia" w:ascii="宋体" w:hAnsi="宋体" w:cs="宋体"/>
          <w:sz w:val="24"/>
        </w:rPr>
        <w:t>1、 服务时间：</w:t>
      </w:r>
      <w:r>
        <w:rPr>
          <w:rFonts w:hint="eastAsia" w:ascii="宋体" w:hAnsi="宋体" w:cs="宋体"/>
          <w:sz w:val="24"/>
          <w:u w:val="single"/>
        </w:rPr>
        <w:t xml:space="preserve">甲方指定时间 </w:t>
      </w:r>
    </w:p>
    <w:p>
      <w:pPr>
        <w:spacing w:line="500" w:lineRule="exact"/>
        <w:ind w:firstLine="480" w:firstLineChars="200"/>
        <w:rPr>
          <w:rFonts w:ascii="宋体" w:hAnsi="宋体" w:cs="宋体"/>
          <w:sz w:val="24"/>
          <w:u w:val="single"/>
        </w:rPr>
      </w:pPr>
      <w:r>
        <w:rPr>
          <w:rFonts w:hint="eastAsia" w:ascii="宋体" w:hAnsi="宋体" w:cs="宋体"/>
          <w:sz w:val="24"/>
        </w:rPr>
        <w:t>2、 地点：</w:t>
      </w:r>
      <w:r>
        <w:rPr>
          <w:rFonts w:hint="eastAsia" w:ascii="宋体" w:hAnsi="宋体" w:cs="宋体"/>
          <w:sz w:val="24"/>
          <w:u w:val="single"/>
        </w:rPr>
        <w:t>甲方指定地点</w:t>
      </w:r>
    </w:p>
    <w:p>
      <w:pPr>
        <w:spacing w:line="500" w:lineRule="exact"/>
        <w:ind w:firstLine="480" w:firstLineChars="200"/>
        <w:rPr>
          <w:rFonts w:ascii="宋体" w:hAnsi="宋体" w:cs="宋体"/>
          <w:sz w:val="24"/>
        </w:rPr>
      </w:pPr>
      <w:r>
        <w:rPr>
          <w:rFonts w:hint="eastAsia" w:ascii="宋体" w:hAnsi="宋体" w:cs="宋体"/>
          <w:sz w:val="24"/>
        </w:rPr>
        <w:t>3、 验收方式：</w:t>
      </w:r>
      <w:r>
        <w:rPr>
          <w:rFonts w:hint="eastAsia" w:ascii="宋体" w:hAnsi="宋体" w:cs="宋体"/>
          <w:sz w:val="24"/>
          <w:u w:val="single"/>
        </w:rPr>
        <w:t xml:space="preserve">            </w:t>
      </w:r>
      <w:r>
        <w:rPr>
          <w:rFonts w:hint="eastAsia" w:ascii="宋体" w:hAnsi="宋体" w:cs="宋体"/>
          <w:sz w:val="24"/>
        </w:rPr>
        <w:t xml:space="preserve"> 。</w:t>
      </w:r>
    </w:p>
    <w:p>
      <w:pPr>
        <w:spacing w:line="500" w:lineRule="exact"/>
        <w:ind w:firstLine="480" w:firstLineChars="200"/>
        <w:rPr>
          <w:rFonts w:ascii="宋体" w:hAnsi="宋体" w:cs="宋体"/>
          <w:sz w:val="24"/>
        </w:rPr>
      </w:pPr>
      <w:r>
        <w:rPr>
          <w:rFonts w:hint="eastAsia" w:ascii="宋体" w:hAnsi="宋体" w:cs="宋体"/>
          <w:sz w:val="24"/>
        </w:rPr>
        <w:t xml:space="preserve">六、履约保证金：无 </w:t>
      </w:r>
    </w:p>
    <w:p>
      <w:pPr>
        <w:spacing w:line="500" w:lineRule="exact"/>
        <w:ind w:firstLine="480" w:firstLineChars="200"/>
        <w:rPr>
          <w:rFonts w:hint="eastAsia" w:ascii="宋体" w:hAnsi="宋体" w:eastAsia="宋体" w:cs="宋体"/>
          <w:sz w:val="24"/>
          <w:lang w:eastAsia="zh-CN"/>
        </w:rPr>
      </w:pPr>
      <w:r>
        <w:rPr>
          <w:rFonts w:hint="eastAsia" w:ascii="宋体" w:hAnsi="宋体" w:cs="宋体"/>
          <w:sz w:val="24"/>
        </w:rPr>
        <w:t>七、服务内容</w:t>
      </w:r>
      <w:r>
        <w:rPr>
          <w:rFonts w:hint="eastAsia" w:ascii="宋体" w:hAnsi="宋体" w:cs="宋体"/>
          <w:sz w:val="24"/>
          <w:lang w:eastAsia="zh-CN"/>
        </w:rPr>
        <w:t>：</w:t>
      </w:r>
      <w:r>
        <w:rPr>
          <w:rFonts w:hint="eastAsia" w:ascii="宋体" w:hAnsi="宋体" w:cs="宋体"/>
          <w:sz w:val="24"/>
          <w:u w:val="single"/>
        </w:rPr>
        <w:t xml:space="preserve">              </w:t>
      </w:r>
    </w:p>
    <w:p>
      <w:pPr>
        <w:tabs>
          <w:tab w:val="left" w:pos="0"/>
          <w:tab w:val="left" w:pos="180"/>
          <w:tab w:val="left" w:pos="360"/>
        </w:tabs>
        <w:spacing w:line="500" w:lineRule="exact"/>
        <w:ind w:firstLine="480" w:firstLineChars="200"/>
        <w:rPr>
          <w:rFonts w:ascii="宋体" w:hAnsi="宋体" w:cs="宋体"/>
          <w:sz w:val="24"/>
          <w:szCs w:val="24"/>
        </w:rPr>
      </w:pPr>
      <w:r>
        <w:rPr>
          <w:rFonts w:hint="eastAsia" w:ascii="宋体" w:hAnsi="宋体" w:cs="宋体"/>
          <w:sz w:val="24"/>
          <w:szCs w:val="24"/>
        </w:rPr>
        <w:t>八、质量</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w:t>
      </w:r>
      <w:r>
        <w:rPr>
          <w:rFonts w:hint="eastAsia" w:ascii="宋体" w:hAnsi="宋体"/>
          <w:sz w:val="24"/>
          <w:szCs w:val="24"/>
        </w:rPr>
        <w:t>服务</w:t>
      </w:r>
      <w:r>
        <w:rPr>
          <w:rFonts w:ascii="宋体" w:hAnsi="宋体"/>
          <w:sz w:val="24"/>
          <w:szCs w:val="24"/>
        </w:rPr>
        <w:t>的质量应符合</w:t>
      </w:r>
      <w:r>
        <w:rPr>
          <w:rFonts w:hint="eastAsia" w:ascii="宋体" w:hAnsi="宋体"/>
          <w:sz w:val="24"/>
          <w:szCs w:val="24"/>
        </w:rPr>
        <w:t>招标文件</w:t>
      </w:r>
      <w:r>
        <w:rPr>
          <w:rFonts w:ascii="宋体" w:hAnsi="宋体"/>
          <w:sz w:val="24"/>
          <w:szCs w:val="24"/>
        </w:rPr>
        <w:t>、响应文件及乙方在</w:t>
      </w:r>
      <w:r>
        <w:rPr>
          <w:rFonts w:hint="eastAsia" w:ascii="宋体" w:hAnsi="宋体"/>
          <w:sz w:val="24"/>
          <w:szCs w:val="24"/>
        </w:rPr>
        <w:t>招标</w:t>
      </w:r>
      <w:r>
        <w:rPr>
          <w:rFonts w:ascii="宋体" w:hAnsi="宋体"/>
          <w:sz w:val="24"/>
          <w:szCs w:val="24"/>
        </w:rPr>
        <w:t>过程中做出的书面澄清及承诺。</w:t>
      </w:r>
    </w:p>
    <w:p>
      <w:pPr>
        <w:tabs>
          <w:tab w:val="left" w:pos="0"/>
          <w:tab w:val="left" w:pos="180"/>
          <w:tab w:val="left" w:pos="360"/>
        </w:tabs>
        <w:spacing w:line="5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九</w:t>
      </w:r>
      <w:r>
        <w:rPr>
          <w:rFonts w:ascii="宋体" w:hAnsi="宋体"/>
          <w:sz w:val="24"/>
          <w:szCs w:val="24"/>
        </w:rPr>
        <w:t>、验收</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1、乙方</w:t>
      </w:r>
      <w:r>
        <w:rPr>
          <w:rFonts w:hint="eastAsia" w:ascii="宋体" w:hAnsi="宋体"/>
          <w:sz w:val="24"/>
          <w:szCs w:val="24"/>
        </w:rPr>
        <w:t>提供服务</w:t>
      </w:r>
      <w:r>
        <w:rPr>
          <w:rFonts w:ascii="宋体" w:hAnsi="宋体"/>
          <w:sz w:val="24"/>
          <w:szCs w:val="24"/>
        </w:rPr>
        <w:t>后，在监督机构的监管下，</w:t>
      </w:r>
      <w:r>
        <w:rPr>
          <w:rFonts w:hint="eastAsia" w:ascii="宋体" w:hAnsi="宋体"/>
          <w:sz w:val="24"/>
          <w:szCs w:val="24"/>
        </w:rPr>
        <w:t>甲、乙双方</w:t>
      </w:r>
      <w:r>
        <w:rPr>
          <w:rFonts w:ascii="宋体" w:hAnsi="宋体"/>
          <w:sz w:val="24"/>
          <w:szCs w:val="24"/>
        </w:rPr>
        <w:t>应按照合同要求验收，并共同在项目验收单上签字确认。</w:t>
      </w:r>
    </w:p>
    <w:p>
      <w:pPr>
        <w:pStyle w:val="9"/>
        <w:pageBreakBefore w:val="0"/>
        <w:widowControl w:val="0"/>
        <w:kinsoku/>
        <w:wordWrap/>
        <w:overflowPunct/>
        <w:topLinePunct w:val="0"/>
        <w:autoSpaceDE/>
        <w:autoSpaceDN/>
        <w:bidi w:val="0"/>
        <w:adjustRightInd w:val="0"/>
        <w:snapToGrid w:val="0"/>
        <w:spacing w:before="0" w:after="0" w:line="560" w:lineRule="exact"/>
        <w:ind w:firstLine="480" w:firstLineChars="200"/>
        <w:textAlignment w:val="auto"/>
        <w:rPr>
          <w:rFonts w:hint="eastAsia" w:ascii="宋体" w:hAnsi="宋体" w:eastAsia="宋体"/>
          <w:sz w:val="24"/>
          <w:szCs w:val="24"/>
          <w:lang w:val="en-US" w:eastAsia="zh-CN"/>
        </w:rPr>
      </w:pPr>
      <w:r>
        <w:rPr>
          <w:rFonts w:hint="eastAsia" w:ascii="宋体" w:hAnsi="宋体" w:eastAsia="宋体" w:cs="Times New Roman"/>
          <w:b w:val="0"/>
          <w:bCs w:val="0"/>
          <w:kern w:val="2"/>
          <w:sz w:val="24"/>
          <w:szCs w:val="24"/>
          <w:lang w:val="en-US" w:eastAsia="zh-CN" w:bidi="ar-SA"/>
        </w:rPr>
        <w:t>2、</w:t>
      </w:r>
      <w:r>
        <w:rPr>
          <w:rFonts w:hint="eastAsia" w:ascii="宋体" w:hAnsi="宋体" w:eastAsia="宋体" w:cs="宋体"/>
          <w:b w:val="0"/>
          <w:bCs w:val="0"/>
          <w:strike w:val="0"/>
          <w:dstrike w:val="0"/>
          <w:sz w:val="24"/>
          <w:szCs w:val="24"/>
          <w:lang w:val="en-US" w:eastAsia="zh-CN"/>
        </w:rPr>
        <w:t>项目调试完成后稳定运行3个月进行验收。</w:t>
      </w:r>
      <w:r>
        <w:rPr>
          <w:rFonts w:hint="eastAsia" w:ascii="宋体" w:hAnsi="宋体" w:eastAsia="宋体" w:cs="宋体"/>
          <w:b w:val="0"/>
          <w:bCs w:val="0"/>
          <w:strike w:val="0"/>
          <w:dstrike w:val="0"/>
          <w:sz w:val="24"/>
          <w:szCs w:val="24"/>
          <w:lang w:eastAsia="zh-CN"/>
        </w:rPr>
        <w:t>验收合格后进入</w:t>
      </w:r>
      <w:r>
        <w:rPr>
          <w:rFonts w:hint="eastAsia" w:ascii="宋体" w:hAnsi="宋体" w:eastAsia="宋体" w:cs="宋体"/>
          <w:b w:val="0"/>
          <w:bCs w:val="0"/>
          <w:strike w:val="0"/>
          <w:dstrike w:val="0"/>
          <w:sz w:val="24"/>
          <w:szCs w:val="24"/>
          <w:lang w:val="en-US" w:eastAsia="zh-CN"/>
        </w:rPr>
        <w:t>3年质保</w:t>
      </w:r>
      <w:r>
        <w:rPr>
          <w:rFonts w:hint="eastAsia" w:ascii="宋体" w:hAnsi="宋体" w:eastAsia="宋体" w:cs="宋体"/>
          <w:b w:val="0"/>
          <w:bCs w:val="0"/>
          <w:strike w:val="0"/>
          <w:dstrike w:val="0"/>
          <w:sz w:val="24"/>
          <w:szCs w:val="24"/>
          <w:lang w:eastAsia="zh-CN"/>
        </w:rPr>
        <w:t>运维期</w:t>
      </w:r>
      <w:r>
        <w:rPr>
          <w:rFonts w:hint="eastAsia" w:ascii="宋体" w:hAnsi="宋体" w:eastAsia="宋体" w:cs="宋体"/>
          <w:b w:val="0"/>
          <w:bCs w:val="0"/>
          <w:strike w:val="0"/>
          <w:dstrike w:val="0"/>
          <w:sz w:val="24"/>
          <w:szCs w:val="24"/>
          <w:lang w:val="en-US" w:eastAsia="zh-CN"/>
        </w:rPr>
        <w:t>。运维期满后，提供两年数据采集传输服务。</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w:t>
      </w:r>
      <w:r>
        <w:rPr>
          <w:rFonts w:hint="eastAsia" w:ascii="宋体" w:hAnsi="宋体"/>
          <w:sz w:val="24"/>
          <w:szCs w:val="24"/>
          <w:lang w:val="en-US" w:eastAsia="zh-CN"/>
        </w:rPr>
        <w:t>3</w:t>
      </w:r>
      <w:r>
        <w:rPr>
          <w:rFonts w:ascii="宋体" w:hAnsi="宋体"/>
          <w:sz w:val="24"/>
          <w:szCs w:val="24"/>
        </w:rPr>
        <w:t>、对项目的质量问题，甲方应在发现和应当发现之日起</w:t>
      </w:r>
      <w:r>
        <w:rPr>
          <w:rFonts w:ascii="宋体" w:hAnsi="宋体"/>
          <w:sz w:val="24"/>
          <w:szCs w:val="24"/>
          <w:u w:val="single"/>
        </w:rPr>
        <w:t xml:space="preserve"> 15 </w:t>
      </w:r>
      <w:r>
        <w:rPr>
          <w:rFonts w:ascii="宋体" w:hAnsi="宋体"/>
          <w:sz w:val="24"/>
          <w:szCs w:val="24"/>
        </w:rPr>
        <w:t>日内向乙方提出书面异议，乙方在接到书面异议后，应当在</w:t>
      </w:r>
      <w:r>
        <w:rPr>
          <w:rFonts w:ascii="宋体" w:hAnsi="宋体"/>
          <w:sz w:val="24"/>
          <w:szCs w:val="24"/>
          <w:u w:val="single"/>
        </w:rPr>
        <w:t xml:space="preserve"> 5 </w:t>
      </w:r>
      <w:r>
        <w:rPr>
          <w:rFonts w:ascii="宋体" w:hAnsi="宋体"/>
          <w:sz w:val="24"/>
          <w:szCs w:val="24"/>
        </w:rPr>
        <w:t>日内负责处理。甲方逾期提出的，对所交货物视为符合合同的规定。如果乙方在响应文件及</w:t>
      </w:r>
      <w:r>
        <w:rPr>
          <w:rFonts w:hint="eastAsia" w:ascii="宋体" w:hAnsi="宋体"/>
          <w:sz w:val="24"/>
          <w:szCs w:val="24"/>
        </w:rPr>
        <w:t>招标</w:t>
      </w:r>
      <w:r>
        <w:rPr>
          <w:rFonts w:ascii="宋体" w:hAnsi="宋体"/>
          <w:sz w:val="24"/>
          <w:szCs w:val="24"/>
        </w:rPr>
        <w:t>过程中做出的书面说明及承诺中，有明确质量保证期的，适用质量保证期。</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w:t>
      </w:r>
      <w:r>
        <w:rPr>
          <w:rFonts w:hint="eastAsia" w:ascii="宋体" w:hAnsi="宋体"/>
          <w:sz w:val="24"/>
          <w:szCs w:val="24"/>
          <w:lang w:val="en-US" w:eastAsia="zh-CN"/>
        </w:rPr>
        <w:t>4</w:t>
      </w:r>
      <w:r>
        <w:rPr>
          <w:rFonts w:ascii="宋体" w:hAnsi="宋体"/>
          <w:sz w:val="24"/>
          <w:szCs w:val="24"/>
        </w:rPr>
        <w:t>、经双方共同验收，项目达不到质量或规格要求的，甲方可以</w:t>
      </w:r>
      <w:r>
        <w:rPr>
          <w:rFonts w:hint="eastAsia" w:ascii="宋体" w:hAnsi="宋体"/>
          <w:sz w:val="24"/>
          <w:szCs w:val="24"/>
        </w:rPr>
        <w:t>拒绝验</w:t>
      </w:r>
      <w:r>
        <w:rPr>
          <w:rFonts w:ascii="宋体" w:hAnsi="宋体"/>
          <w:sz w:val="24"/>
          <w:szCs w:val="24"/>
        </w:rPr>
        <w:t>收，并</w:t>
      </w:r>
      <w:r>
        <w:rPr>
          <w:rFonts w:hint="eastAsia" w:ascii="宋体" w:hAnsi="宋体"/>
          <w:sz w:val="24"/>
          <w:szCs w:val="24"/>
        </w:rPr>
        <w:t>有权</w:t>
      </w:r>
      <w:r>
        <w:rPr>
          <w:rFonts w:ascii="宋体" w:hAnsi="宋体"/>
          <w:sz w:val="24"/>
          <w:szCs w:val="24"/>
        </w:rPr>
        <w:t>解除合同，造成的一切损失由成交供应商承担。</w:t>
      </w:r>
    </w:p>
    <w:p>
      <w:pPr>
        <w:tabs>
          <w:tab w:val="left" w:pos="0"/>
          <w:tab w:val="left" w:pos="180"/>
          <w:tab w:val="left" w:pos="360"/>
        </w:tabs>
        <w:spacing w:line="500" w:lineRule="exact"/>
        <w:ind w:left="105" w:leftChars="50" w:firstLine="480" w:firstLineChars="200"/>
        <w:rPr>
          <w:rFonts w:ascii="宋体" w:hAnsi="宋体"/>
          <w:sz w:val="24"/>
          <w:szCs w:val="24"/>
        </w:rPr>
      </w:pPr>
      <w:r>
        <w:rPr>
          <w:rFonts w:ascii="宋体" w:hAnsi="宋体"/>
          <w:sz w:val="24"/>
          <w:szCs w:val="24"/>
        </w:rPr>
        <w:t xml:space="preserve">  十、</w:t>
      </w:r>
      <w:r>
        <w:rPr>
          <w:rFonts w:hint="eastAsia" w:ascii="宋体" w:hAnsi="宋体"/>
          <w:sz w:val="24"/>
          <w:szCs w:val="24"/>
        </w:rPr>
        <w:t>知识产权</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乙方应保证所提供的服务或其任何一部分均不会侵犯任何第三方的专利权、商标权或著作权。</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十一、无产权瑕疵条款</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乙方保证所提供的服务的所有权完全属于乙方且无任何抵押、查封等产权瑕疵。如有产权瑕疵的，视为乙方违约。乙方应负担由此而产生的一切损失。</w:t>
      </w:r>
    </w:p>
    <w:p>
      <w:pPr>
        <w:tabs>
          <w:tab w:val="left" w:pos="0"/>
          <w:tab w:val="left" w:pos="180"/>
          <w:tab w:val="left" w:pos="360"/>
        </w:tabs>
        <w:spacing w:line="500" w:lineRule="exact"/>
        <w:ind w:firstLine="480" w:firstLineChars="200"/>
        <w:rPr>
          <w:rFonts w:ascii="宋体" w:hAnsi="宋体"/>
          <w:sz w:val="24"/>
          <w:szCs w:val="24"/>
        </w:rPr>
      </w:pPr>
      <w:r>
        <w:rPr>
          <w:rFonts w:hint="eastAsia" w:ascii="宋体" w:hAnsi="宋体"/>
          <w:sz w:val="24"/>
          <w:szCs w:val="24"/>
        </w:rPr>
        <w:t>十二、甲方的权利和义务</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1.甲方有权对合同规定范围内乙方的服务行为进行监督和检查，拥有监管权。有权定期核对乙方提供服务所配备的人员数量。对甲方认为不合理的部分有权下达整改通知书，并要求乙方限期整改。</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2.甲方有权依据双方签订的考评办法对乙方提供的服务进行定期考评。当考评结果未达到标准时，有权依据考评办法约定的事项执行。</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3.负责检查监督乙方管理工作的实施及制度的执行情况。</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4.根据本合同规定，按时向乙方支付应付服务费用。</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5.国家法律、法规所规定由甲方承担的其他责任。</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十三、乙方的权利和义务</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1.对本合同规定的委托服务范围内的项目享有管理权及服务义务。</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2.根据本合同的规定向甲方收取相关服务费用，并有权在本项目管理范围内管理及合理使用。</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3.及时向甲方通告本项目服务范围内有关服务的重大事项，及时配合处理投诉。</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4.接受项目行业管理部门及政府有关部门的指导，接受甲方的监督。</w:t>
      </w:r>
    </w:p>
    <w:p>
      <w:pPr>
        <w:tabs>
          <w:tab w:val="left" w:pos="0"/>
          <w:tab w:val="left" w:pos="180"/>
          <w:tab w:val="left" w:pos="360"/>
        </w:tabs>
        <w:spacing w:line="500" w:lineRule="exact"/>
        <w:ind w:left="105" w:leftChars="50" w:firstLine="480" w:firstLineChars="200"/>
        <w:rPr>
          <w:rFonts w:ascii="宋体" w:hAnsi="宋体"/>
          <w:sz w:val="24"/>
          <w:szCs w:val="24"/>
        </w:rPr>
      </w:pPr>
      <w:r>
        <w:rPr>
          <w:rFonts w:hint="eastAsia" w:ascii="宋体" w:hAnsi="宋体"/>
          <w:sz w:val="24"/>
          <w:szCs w:val="24"/>
        </w:rPr>
        <w:t>5.国家法律、法规所规定由乙方承担的其他责任。</w:t>
      </w:r>
    </w:p>
    <w:p>
      <w:pPr>
        <w:tabs>
          <w:tab w:val="left" w:pos="0"/>
          <w:tab w:val="left" w:pos="180"/>
          <w:tab w:val="left" w:pos="360"/>
        </w:tabs>
        <w:spacing w:line="500" w:lineRule="exact"/>
        <w:ind w:firstLine="480" w:firstLineChars="200"/>
        <w:rPr>
          <w:rFonts w:ascii="宋体" w:hAnsi="宋体"/>
          <w:sz w:val="24"/>
          <w:szCs w:val="24"/>
        </w:rPr>
      </w:pPr>
      <w:r>
        <w:rPr>
          <w:rFonts w:hint="eastAsia" w:ascii="宋体" w:hAnsi="宋体"/>
          <w:sz w:val="24"/>
          <w:szCs w:val="24"/>
        </w:rPr>
        <w:t>十四、</w:t>
      </w:r>
      <w:r>
        <w:rPr>
          <w:rFonts w:ascii="宋体" w:hAnsi="宋体"/>
          <w:sz w:val="24"/>
          <w:szCs w:val="24"/>
        </w:rPr>
        <w:t>合同生效</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本合同为附条件生效合同，除</w:t>
      </w:r>
      <w:r>
        <w:rPr>
          <w:rFonts w:hint="eastAsia" w:ascii="宋体" w:hAnsi="宋体"/>
          <w:sz w:val="24"/>
          <w:szCs w:val="24"/>
        </w:rPr>
        <w:t>甲乙双方</w:t>
      </w:r>
      <w:r>
        <w:rPr>
          <w:rFonts w:ascii="宋体" w:hAnsi="宋体"/>
          <w:sz w:val="24"/>
          <w:szCs w:val="24"/>
        </w:rPr>
        <w:t>签章，还应满足以下条件时合同生效：</w:t>
      </w:r>
    </w:p>
    <w:p>
      <w:pPr>
        <w:tabs>
          <w:tab w:val="left" w:pos="0"/>
          <w:tab w:val="left" w:pos="180"/>
          <w:tab w:val="left" w:pos="360"/>
        </w:tabs>
        <w:spacing w:line="500" w:lineRule="exact"/>
        <w:rPr>
          <w:rFonts w:ascii="宋体" w:hAnsi="宋体"/>
          <w:sz w:val="24"/>
          <w:szCs w:val="24"/>
        </w:rPr>
      </w:pPr>
      <w:r>
        <w:rPr>
          <w:rFonts w:ascii="宋体" w:hAnsi="宋体"/>
          <w:sz w:val="24"/>
          <w:szCs w:val="24"/>
        </w:rPr>
        <w:t xml:space="preserve">     乙方应提交成交代理费。</w:t>
      </w:r>
    </w:p>
    <w:p>
      <w:pPr>
        <w:tabs>
          <w:tab w:val="left" w:pos="0"/>
          <w:tab w:val="left" w:pos="180"/>
          <w:tab w:val="left" w:pos="360"/>
        </w:tabs>
        <w:spacing w:line="500" w:lineRule="exact"/>
        <w:ind w:firstLine="480" w:firstLineChars="200"/>
        <w:rPr>
          <w:rFonts w:ascii="宋体" w:hAnsi="宋体"/>
          <w:sz w:val="24"/>
          <w:szCs w:val="24"/>
        </w:rPr>
      </w:pPr>
      <w:r>
        <w:rPr>
          <w:rFonts w:ascii="宋体" w:hAnsi="宋体"/>
          <w:sz w:val="24"/>
          <w:szCs w:val="24"/>
        </w:rPr>
        <w:t>十</w:t>
      </w:r>
      <w:r>
        <w:rPr>
          <w:rFonts w:hint="eastAsia" w:ascii="宋体" w:hAnsi="宋体"/>
          <w:sz w:val="24"/>
          <w:szCs w:val="24"/>
        </w:rPr>
        <w:t>五</w:t>
      </w:r>
      <w:r>
        <w:rPr>
          <w:rFonts w:ascii="宋体" w:hAnsi="宋体"/>
          <w:sz w:val="24"/>
          <w:szCs w:val="24"/>
        </w:rPr>
        <w:t>、违约条款</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1、甲方延迟验收项目，延迟验收期间发生的费用由甲方承担赔偿责任；</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2、乙方延迟交付，每延迟1日，按应交付总额</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3</w:t>
      </w:r>
      <w:r>
        <w:rPr>
          <w:rFonts w:hint="eastAsia" w:ascii="宋体" w:hAnsi="宋体"/>
          <w:sz w:val="24"/>
          <w:szCs w:val="24"/>
          <w:highlight w:val="none"/>
          <w:u w:val="single"/>
        </w:rPr>
        <w:t xml:space="preserve"> </w:t>
      </w:r>
      <w:r>
        <w:rPr>
          <w:rFonts w:hint="eastAsia" w:ascii="宋体" w:hAnsi="宋体"/>
          <w:sz w:val="24"/>
          <w:szCs w:val="24"/>
          <w:highlight w:val="none"/>
        </w:rPr>
        <w:t>％</w:t>
      </w:r>
      <w:r>
        <w:rPr>
          <w:rFonts w:ascii="宋体" w:hAnsi="宋体"/>
          <w:sz w:val="24"/>
          <w:szCs w:val="24"/>
        </w:rPr>
        <w:t>支付</w:t>
      </w:r>
      <w:r>
        <w:rPr>
          <w:rFonts w:hint="eastAsia" w:ascii="宋体" w:hAnsi="宋体"/>
          <w:sz w:val="24"/>
          <w:szCs w:val="24"/>
        </w:rPr>
        <w:t>日违</w:t>
      </w:r>
      <w:r>
        <w:rPr>
          <w:rFonts w:ascii="宋体" w:hAnsi="宋体"/>
          <w:sz w:val="24"/>
          <w:szCs w:val="24"/>
        </w:rPr>
        <w:t>约金（双方另有约定从其约定）；</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3、一方不按期履行合同，并经另一方</w:t>
      </w:r>
      <w:r>
        <w:rPr>
          <w:rFonts w:hint="eastAsia" w:ascii="宋体" w:hAnsi="宋体"/>
          <w:sz w:val="24"/>
          <w:szCs w:val="24"/>
        </w:rPr>
        <w:t>以书面形式进行催告后</w:t>
      </w:r>
      <w:r>
        <w:rPr>
          <w:rFonts w:ascii="宋体" w:hAnsi="宋体"/>
          <w:sz w:val="24"/>
          <w:szCs w:val="24"/>
        </w:rPr>
        <w:t>10日内仍不履行合同的，守约方有权解除合同，违约方要承担相应的赔偿责任；</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4、如一方违约，赔偿金额由双方协商确定；</w:t>
      </w:r>
      <w:r>
        <w:rPr>
          <w:rFonts w:hint="eastAsia" w:ascii="宋体" w:hAnsi="宋体"/>
          <w:sz w:val="24"/>
          <w:szCs w:val="24"/>
        </w:rPr>
        <w:t>双方就协商结果另行签订书面协议，该协议作为本合同附件，为本合同不可分割的部分，与本合同具有同等法律效力。</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5、如因一方违约，双方未能就赔偿损失达成协议，引起诉讼或仲裁时，违约方除应赔偿对方经济损失外，还应承担对方因诉讼或仲裁所支付的律师代理费等相关费用；</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6、</w:t>
      </w:r>
      <w:r>
        <w:rPr>
          <w:rFonts w:hint="eastAsia" w:ascii="宋体" w:hAnsi="宋体"/>
          <w:sz w:val="24"/>
          <w:szCs w:val="24"/>
        </w:rPr>
        <w:t>其他</w:t>
      </w:r>
      <w:r>
        <w:rPr>
          <w:rFonts w:ascii="宋体" w:hAnsi="宋体"/>
          <w:sz w:val="24"/>
          <w:szCs w:val="24"/>
        </w:rPr>
        <w:t>应承担的违约责任，以《中华人民共和国</w:t>
      </w:r>
      <w:r>
        <w:rPr>
          <w:rFonts w:hint="eastAsia" w:ascii="宋体" w:hAnsi="宋体"/>
          <w:sz w:val="24"/>
          <w:szCs w:val="24"/>
        </w:rPr>
        <w:t>民法典</w:t>
      </w:r>
      <w:r>
        <w:rPr>
          <w:rFonts w:ascii="宋体" w:hAnsi="宋体"/>
          <w:sz w:val="24"/>
          <w:szCs w:val="24"/>
        </w:rPr>
        <w:t>》和</w:t>
      </w:r>
      <w:r>
        <w:rPr>
          <w:rFonts w:hint="eastAsia" w:ascii="宋体" w:hAnsi="宋体"/>
          <w:sz w:val="24"/>
          <w:szCs w:val="24"/>
        </w:rPr>
        <w:t>其他</w:t>
      </w:r>
      <w:r>
        <w:rPr>
          <w:rFonts w:ascii="宋体" w:hAnsi="宋体"/>
          <w:sz w:val="24"/>
          <w:szCs w:val="24"/>
        </w:rPr>
        <w:t>有关法律、法规规定为准，无相关规定的，双方协商解决；</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7、按照本合同规定应该偿付的违约金、赔偿金等，应当在明确责任后30日内，按银行规定或双方商定的结算办法付清，否则按逾期付款处理。</w:t>
      </w:r>
      <w:r>
        <w:rPr>
          <w:rFonts w:hint="eastAsia"/>
        </w:rPr>
        <w:t>如因乙方工作人员在履行职务</w:t>
      </w:r>
      <w:r>
        <w:rPr>
          <w:rFonts w:hint="eastAsia" w:ascii="宋体" w:hAnsi="宋体"/>
          <w:sz w:val="24"/>
          <w:szCs w:val="24"/>
        </w:rPr>
        <w:t>过程中的疏忽、失职、过错等故意或者过失原因给甲方造成损失或侵害，包括但不限于甲方本身的财产损失、由此而导致的甲方对任何第三方的法律责任等，乙方对此均应承担全部的赔偿责任。</w:t>
      </w:r>
    </w:p>
    <w:p>
      <w:pPr>
        <w:tabs>
          <w:tab w:val="left" w:pos="0"/>
          <w:tab w:val="left" w:pos="180"/>
          <w:tab w:val="left" w:pos="360"/>
        </w:tabs>
        <w:spacing w:line="500" w:lineRule="exact"/>
        <w:ind w:left="239" w:leftChars="114" w:firstLine="360" w:firstLineChars="150"/>
        <w:rPr>
          <w:rFonts w:ascii="宋体" w:hAnsi="宋体"/>
          <w:sz w:val="24"/>
          <w:szCs w:val="24"/>
        </w:rPr>
      </w:pPr>
      <w:r>
        <w:rPr>
          <w:rFonts w:ascii="宋体" w:hAnsi="宋体"/>
          <w:sz w:val="24"/>
          <w:szCs w:val="24"/>
        </w:rPr>
        <w:t>十</w:t>
      </w:r>
      <w:r>
        <w:rPr>
          <w:rFonts w:hint="eastAsia" w:ascii="宋体" w:hAnsi="宋体"/>
          <w:sz w:val="24"/>
          <w:szCs w:val="24"/>
        </w:rPr>
        <w:t>六</w:t>
      </w:r>
      <w:r>
        <w:rPr>
          <w:rFonts w:ascii="宋体" w:hAnsi="宋体"/>
          <w:sz w:val="24"/>
          <w:szCs w:val="24"/>
        </w:rPr>
        <w:t>、不可抗力条款</w:t>
      </w:r>
    </w:p>
    <w:p>
      <w:pPr>
        <w:tabs>
          <w:tab w:val="left" w:pos="0"/>
          <w:tab w:val="left" w:pos="180"/>
          <w:tab w:val="left" w:pos="360"/>
        </w:tabs>
        <w:spacing w:line="500" w:lineRule="exact"/>
        <w:ind w:left="105" w:leftChars="50" w:firstLine="480" w:firstLineChars="200"/>
        <w:rPr>
          <w:rFonts w:ascii="宋体" w:hAnsi="宋体"/>
          <w:sz w:val="24"/>
          <w:szCs w:val="24"/>
        </w:rPr>
      </w:pPr>
      <w:r>
        <w:rPr>
          <w:rFonts w:ascii="宋体" w:hAnsi="宋体"/>
          <w:sz w:val="24"/>
          <w:szCs w:val="24"/>
        </w:rPr>
        <w:t>因不可抗力致使一方不能及时或完全履行合同的，应及时通知另一方，双方互不承担责任，</w:t>
      </w:r>
      <w:r>
        <w:rPr>
          <w:rFonts w:hint="eastAsia" w:ascii="宋体" w:hAnsi="宋体"/>
          <w:sz w:val="24"/>
          <w:szCs w:val="24"/>
        </w:rPr>
        <w:t>合同履行期可延长，其延长期与不可抗力影响期相同。并</w:t>
      </w:r>
      <w:r>
        <w:rPr>
          <w:rFonts w:ascii="宋体" w:hAnsi="宋体"/>
          <w:sz w:val="24"/>
          <w:szCs w:val="24"/>
        </w:rPr>
        <w:t>在15天内</w:t>
      </w:r>
      <w:r>
        <w:rPr>
          <w:rFonts w:hint="eastAsia" w:ascii="宋体" w:hAnsi="宋体"/>
          <w:sz w:val="24"/>
          <w:szCs w:val="24"/>
        </w:rPr>
        <w:t>向对方寄送有关权威机构出具的相关书面证明。</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合同未履行部分是否继续履行、如何履行等问题，可由双方协商解决。</w:t>
      </w:r>
    </w:p>
    <w:p>
      <w:pPr>
        <w:tabs>
          <w:tab w:val="left" w:pos="0"/>
          <w:tab w:val="left" w:pos="180"/>
          <w:tab w:val="left" w:pos="360"/>
        </w:tabs>
        <w:spacing w:line="500" w:lineRule="exact"/>
        <w:ind w:firstLine="600" w:firstLineChars="250"/>
        <w:rPr>
          <w:rFonts w:ascii="宋体" w:hAnsi="宋体"/>
          <w:sz w:val="24"/>
          <w:szCs w:val="24"/>
        </w:rPr>
      </w:pPr>
      <w:r>
        <w:rPr>
          <w:rFonts w:ascii="宋体" w:hAnsi="宋体"/>
          <w:sz w:val="24"/>
          <w:szCs w:val="24"/>
        </w:rPr>
        <w:t>十</w:t>
      </w:r>
      <w:r>
        <w:rPr>
          <w:rFonts w:hint="eastAsia" w:ascii="宋体" w:hAnsi="宋体"/>
          <w:sz w:val="24"/>
          <w:szCs w:val="24"/>
        </w:rPr>
        <w:t>七</w:t>
      </w:r>
      <w:r>
        <w:rPr>
          <w:rFonts w:ascii="宋体" w:hAnsi="宋体"/>
          <w:sz w:val="24"/>
          <w:szCs w:val="24"/>
        </w:rPr>
        <w:t>、争议的解决方式</w:t>
      </w:r>
    </w:p>
    <w:p>
      <w:pPr>
        <w:tabs>
          <w:tab w:val="left" w:pos="0"/>
          <w:tab w:val="left" w:pos="180"/>
          <w:tab w:val="left" w:pos="360"/>
        </w:tabs>
        <w:spacing w:line="500" w:lineRule="exact"/>
        <w:ind w:left="120" w:hanging="120" w:hangingChars="50"/>
        <w:rPr>
          <w:rFonts w:ascii="宋体" w:hAnsi="宋体"/>
          <w:sz w:val="24"/>
          <w:szCs w:val="24"/>
        </w:rPr>
      </w:pPr>
      <w:r>
        <w:rPr>
          <w:rFonts w:ascii="宋体" w:hAnsi="宋体"/>
          <w:sz w:val="24"/>
          <w:szCs w:val="24"/>
        </w:rPr>
        <w:t xml:space="preserve">     合同发生纠纷时，双方应协商解决，协商不成可以采用下列方式解决：(1)提交聊城市仲裁委员会仲裁；(2)向</w:t>
      </w:r>
      <w:r>
        <w:rPr>
          <w:rFonts w:hint="eastAsia" w:ascii="宋体" w:hAnsi="宋体"/>
          <w:sz w:val="24"/>
          <w:szCs w:val="24"/>
        </w:rPr>
        <w:t>项目所在地</w:t>
      </w:r>
      <w:r>
        <w:rPr>
          <w:rFonts w:ascii="宋体" w:hAnsi="宋体"/>
          <w:sz w:val="24"/>
          <w:szCs w:val="24"/>
        </w:rPr>
        <w:t>人民法院起诉。本合同发生纠纷，经双方协商不能解决时，采用第</w:t>
      </w:r>
      <w:r>
        <w:rPr>
          <w:rFonts w:hint="eastAsia" w:ascii="宋体" w:hAnsi="宋体"/>
          <w:sz w:val="24"/>
          <w:szCs w:val="24"/>
          <w:u w:val="single"/>
        </w:rPr>
        <w:t xml:space="preserve">      </w:t>
      </w:r>
      <w:r>
        <w:rPr>
          <w:rFonts w:ascii="宋体" w:hAnsi="宋体"/>
          <w:sz w:val="24"/>
          <w:szCs w:val="24"/>
        </w:rPr>
        <w:t>种方式予以解决。</w:t>
      </w:r>
    </w:p>
    <w:p>
      <w:pPr>
        <w:tabs>
          <w:tab w:val="left" w:pos="0"/>
          <w:tab w:val="left" w:pos="180"/>
          <w:tab w:val="left" w:pos="360"/>
        </w:tabs>
        <w:spacing w:line="500" w:lineRule="exact"/>
        <w:ind w:firstLine="600" w:firstLineChars="250"/>
        <w:rPr>
          <w:rFonts w:ascii="宋体" w:hAnsi="宋体"/>
          <w:sz w:val="24"/>
          <w:szCs w:val="24"/>
        </w:rPr>
      </w:pPr>
      <w:r>
        <w:rPr>
          <w:rFonts w:ascii="宋体" w:hAnsi="宋体"/>
          <w:sz w:val="24"/>
          <w:szCs w:val="24"/>
        </w:rPr>
        <w:t>十</w:t>
      </w:r>
      <w:r>
        <w:rPr>
          <w:rFonts w:hint="eastAsia" w:ascii="宋体" w:hAnsi="宋体"/>
          <w:sz w:val="24"/>
          <w:szCs w:val="24"/>
        </w:rPr>
        <w:t>八</w:t>
      </w:r>
      <w:r>
        <w:rPr>
          <w:rFonts w:ascii="宋体" w:hAnsi="宋体"/>
          <w:sz w:val="24"/>
          <w:szCs w:val="24"/>
        </w:rPr>
        <w:t>、补充协议</w:t>
      </w:r>
    </w:p>
    <w:p>
      <w:pPr>
        <w:tabs>
          <w:tab w:val="left" w:pos="0"/>
          <w:tab w:val="left" w:pos="180"/>
          <w:tab w:val="left" w:pos="360"/>
        </w:tabs>
        <w:spacing w:line="500" w:lineRule="exact"/>
        <w:ind w:left="105" w:leftChars="50" w:firstLine="480" w:firstLineChars="200"/>
        <w:rPr>
          <w:rFonts w:ascii="宋体" w:hAnsi="宋体"/>
          <w:sz w:val="24"/>
          <w:szCs w:val="24"/>
        </w:rPr>
      </w:pPr>
      <w:r>
        <w:rPr>
          <w:rFonts w:ascii="宋体" w:hAnsi="宋体"/>
          <w:sz w:val="24"/>
          <w:szCs w:val="24"/>
        </w:rPr>
        <w:t xml:space="preserve">     合同未尽事宜，经双方协商可签订补充协议，所签订的补充协议与本合同具有同等的法律效力。</w:t>
      </w:r>
    </w:p>
    <w:p>
      <w:pPr>
        <w:tabs>
          <w:tab w:val="left" w:pos="0"/>
          <w:tab w:val="left" w:pos="180"/>
          <w:tab w:val="left" w:pos="360"/>
        </w:tabs>
        <w:spacing w:line="500" w:lineRule="exact"/>
        <w:ind w:firstLine="480" w:firstLineChars="200"/>
        <w:rPr>
          <w:rFonts w:ascii="宋体" w:hAnsi="宋体"/>
          <w:sz w:val="24"/>
          <w:szCs w:val="24"/>
        </w:rPr>
      </w:pPr>
      <w:r>
        <w:rPr>
          <w:rFonts w:hint="eastAsia" w:ascii="宋体" w:hAnsi="宋体"/>
          <w:sz w:val="24"/>
          <w:szCs w:val="24"/>
        </w:rPr>
        <w:t>二十</w:t>
      </w:r>
      <w:r>
        <w:rPr>
          <w:rFonts w:ascii="宋体" w:hAnsi="宋体"/>
          <w:sz w:val="24"/>
          <w:szCs w:val="24"/>
        </w:rPr>
        <w:t>、合同保存</w:t>
      </w:r>
    </w:p>
    <w:p>
      <w:pPr>
        <w:tabs>
          <w:tab w:val="left" w:pos="0"/>
          <w:tab w:val="left" w:pos="180"/>
          <w:tab w:val="left" w:pos="360"/>
        </w:tabs>
        <w:spacing w:line="500" w:lineRule="exact"/>
        <w:ind w:left="239" w:leftChars="114" w:firstLine="120" w:firstLineChars="50"/>
        <w:rPr>
          <w:rFonts w:ascii="宋体" w:hAnsi="宋体"/>
          <w:sz w:val="24"/>
          <w:szCs w:val="24"/>
        </w:rPr>
      </w:pPr>
      <w:r>
        <w:rPr>
          <w:rFonts w:ascii="宋体" w:hAnsi="宋体"/>
          <w:sz w:val="24"/>
          <w:szCs w:val="24"/>
        </w:rPr>
        <w:t>本合同一式</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份，甲方</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份，乙方</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份，采购代理机构</w:t>
      </w:r>
      <w:r>
        <w:rPr>
          <w:rFonts w:ascii="宋体" w:hAnsi="宋体"/>
          <w:sz w:val="24"/>
          <w:szCs w:val="24"/>
          <w:u w:val="single"/>
        </w:rPr>
        <w:t xml:space="preserve"> </w:t>
      </w:r>
      <w:r>
        <w:rPr>
          <w:rFonts w:ascii="宋体" w:hAnsi="宋体"/>
          <w:sz w:val="24"/>
          <w:szCs w:val="24"/>
        </w:rPr>
        <w:t>份</w:t>
      </w:r>
      <w:r>
        <w:rPr>
          <w:rFonts w:hint="eastAsia" w:ascii="宋体" w:hAnsi="宋体"/>
          <w:sz w:val="24"/>
          <w:szCs w:val="24"/>
        </w:rPr>
        <w:t>，备案机构</w:t>
      </w:r>
      <w:r>
        <w:rPr>
          <w:rFonts w:hint="eastAsia" w:ascii="宋体" w:hAnsi="宋体"/>
          <w:sz w:val="24"/>
          <w:szCs w:val="24"/>
          <w:u w:val="single"/>
        </w:rPr>
        <w:t xml:space="preserve">  </w:t>
      </w:r>
      <w:r>
        <w:rPr>
          <w:rFonts w:hint="eastAsia" w:ascii="宋体" w:hAnsi="宋体"/>
          <w:sz w:val="24"/>
          <w:szCs w:val="24"/>
        </w:rPr>
        <w:t>份。</w:t>
      </w:r>
      <w:r>
        <w:rPr>
          <w:rFonts w:ascii="宋体" w:hAnsi="宋体"/>
          <w:sz w:val="24"/>
          <w:szCs w:val="24"/>
        </w:rPr>
        <w:t xml:space="preserve">                </w:t>
      </w:r>
    </w:p>
    <w:p>
      <w:pPr>
        <w:tabs>
          <w:tab w:val="left" w:pos="0"/>
          <w:tab w:val="left" w:pos="180"/>
          <w:tab w:val="left" w:pos="360"/>
        </w:tabs>
        <w:spacing w:line="360" w:lineRule="auto"/>
        <w:ind w:firstLine="360" w:firstLineChars="150"/>
        <w:rPr>
          <w:rFonts w:ascii="宋体" w:hAnsi="宋体"/>
          <w:sz w:val="24"/>
          <w:szCs w:val="24"/>
        </w:rPr>
      </w:pPr>
    </w:p>
    <w:p>
      <w:pPr>
        <w:tabs>
          <w:tab w:val="left" w:pos="0"/>
          <w:tab w:val="left" w:pos="180"/>
          <w:tab w:val="left" w:pos="360"/>
        </w:tabs>
        <w:spacing w:line="360" w:lineRule="auto"/>
        <w:ind w:firstLine="360" w:firstLineChars="150"/>
        <w:rPr>
          <w:rFonts w:ascii="宋体" w:hAnsi="宋体"/>
          <w:sz w:val="24"/>
          <w:szCs w:val="24"/>
        </w:rPr>
      </w:pPr>
      <w:r>
        <w:rPr>
          <w:rFonts w:hint="eastAsia" w:ascii="宋体" w:hAnsi="宋体"/>
          <w:sz w:val="24"/>
          <w:szCs w:val="24"/>
        </w:rPr>
        <w:t>甲</w:t>
      </w:r>
      <w:r>
        <w:rPr>
          <w:rFonts w:ascii="宋体" w:hAnsi="宋体"/>
          <w:sz w:val="24"/>
          <w:szCs w:val="24"/>
        </w:rPr>
        <w:t xml:space="preserve">   方                                  </w:t>
      </w:r>
      <w:r>
        <w:rPr>
          <w:rFonts w:hint="eastAsia" w:ascii="宋体" w:hAnsi="宋体"/>
          <w:sz w:val="24"/>
          <w:szCs w:val="24"/>
        </w:rPr>
        <w:t xml:space="preserve">  乙</w:t>
      </w:r>
      <w:r>
        <w:rPr>
          <w:rFonts w:ascii="宋体" w:hAnsi="宋体"/>
          <w:sz w:val="24"/>
          <w:szCs w:val="24"/>
        </w:rPr>
        <w:t xml:space="preserve">    方</w:t>
      </w:r>
    </w:p>
    <w:p>
      <w:pPr>
        <w:tabs>
          <w:tab w:val="left" w:pos="0"/>
          <w:tab w:val="left" w:pos="180"/>
          <w:tab w:val="left" w:pos="360"/>
        </w:tabs>
        <w:spacing w:line="360" w:lineRule="auto"/>
        <w:ind w:left="313" w:leftChars="149"/>
        <w:rPr>
          <w:rFonts w:ascii="宋体" w:hAnsi="宋体"/>
          <w:sz w:val="24"/>
          <w:szCs w:val="24"/>
        </w:rPr>
      </w:pPr>
      <w:r>
        <w:rPr>
          <w:rFonts w:ascii="宋体" w:hAnsi="宋体"/>
          <w:sz w:val="24"/>
          <w:szCs w:val="24"/>
        </w:rPr>
        <w:t>名称：（印章）                              名称：（印章）</w:t>
      </w:r>
    </w:p>
    <w:p>
      <w:pPr>
        <w:tabs>
          <w:tab w:val="left" w:pos="0"/>
          <w:tab w:val="left" w:pos="180"/>
          <w:tab w:val="left" w:pos="360"/>
        </w:tabs>
        <w:spacing w:line="360" w:lineRule="auto"/>
        <w:ind w:left="313" w:leftChars="149"/>
        <w:rPr>
          <w:rFonts w:ascii="宋体" w:hAnsi="宋体"/>
          <w:sz w:val="24"/>
          <w:szCs w:val="24"/>
        </w:rPr>
      </w:pPr>
      <w:r>
        <w:rPr>
          <w:rFonts w:ascii="宋体" w:hAnsi="宋体"/>
          <w:sz w:val="24"/>
          <w:szCs w:val="24"/>
        </w:rPr>
        <w:t>全权代表（签字）：                          全权代表（签字）：</w:t>
      </w:r>
    </w:p>
    <w:p>
      <w:pPr>
        <w:tabs>
          <w:tab w:val="left" w:pos="0"/>
          <w:tab w:val="left" w:pos="180"/>
          <w:tab w:val="left" w:pos="360"/>
        </w:tabs>
        <w:spacing w:line="360" w:lineRule="auto"/>
        <w:ind w:left="313" w:leftChars="149"/>
        <w:rPr>
          <w:rFonts w:ascii="宋体" w:hAnsi="宋体"/>
          <w:sz w:val="24"/>
          <w:szCs w:val="24"/>
        </w:rPr>
      </w:pPr>
      <w:r>
        <w:rPr>
          <w:rFonts w:ascii="宋体" w:hAnsi="宋体"/>
          <w:sz w:val="24"/>
          <w:szCs w:val="24"/>
        </w:rPr>
        <w:t>地址：                                     地址：</w:t>
      </w:r>
    </w:p>
    <w:p>
      <w:pPr>
        <w:tabs>
          <w:tab w:val="left" w:pos="0"/>
          <w:tab w:val="left" w:pos="180"/>
          <w:tab w:val="left" w:pos="360"/>
        </w:tabs>
        <w:spacing w:line="360" w:lineRule="auto"/>
        <w:ind w:left="313" w:leftChars="149"/>
        <w:rPr>
          <w:rFonts w:ascii="宋体" w:hAnsi="宋体"/>
          <w:sz w:val="24"/>
          <w:szCs w:val="24"/>
        </w:rPr>
      </w:pPr>
      <w:r>
        <w:rPr>
          <w:rFonts w:ascii="宋体" w:hAnsi="宋体"/>
          <w:sz w:val="24"/>
          <w:szCs w:val="24"/>
        </w:rPr>
        <w:t>邮政编码：                                 邮政编码：</w:t>
      </w:r>
    </w:p>
    <w:p>
      <w:pPr>
        <w:tabs>
          <w:tab w:val="left" w:pos="0"/>
          <w:tab w:val="left" w:pos="180"/>
          <w:tab w:val="left" w:pos="360"/>
        </w:tabs>
        <w:spacing w:line="360" w:lineRule="auto"/>
        <w:ind w:left="313" w:leftChars="149"/>
        <w:rPr>
          <w:rFonts w:ascii="宋体" w:hAnsi="宋体"/>
          <w:sz w:val="24"/>
          <w:szCs w:val="24"/>
        </w:rPr>
      </w:pPr>
      <w:r>
        <w:rPr>
          <w:rFonts w:ascii="宋体" w:hAnsi="宋体"/>
          <w:sz w:val="24"/>
          <w:szCs w:val="24"/>
        </w:rPr>
        <w:t>电话：                                     电话：</w:t>
      </w:r>
    </w:p>
    <w:p>
      <w:pPr>
        <w:tabs>
          <w:tab w:val="left" w:pos="0"/>
          <w:tab w:val="left" w:pos="180"/>
          <w:tab w:val="left" w:pos="360"/>
        </w:tabs>
        <w:spacing w:line="360" w:lineRule="auto"/>
        <w:ind w:left="313" w:leftChars="149"/>
        <w:rPr>
          <w:rFonts w:ascii="宋体" w:hAnsi="宋体"/>
          <w:sz w:val="24"/>
          <w:szCs w:val="24"/>
        </w:rPr>
      </w:pPr>
      <w:r>
        <w:rPr>
          <w:rFonts w:ascii="宋体" w:hAnsi="宋体"/>
          <w:sz w:val="24"/>
          <w:szCs w:val="24"/>
        </w:rPr>
        <w:t>开户银行：                                 开户银行：</w:t>
      </w:r>
    </w:p>
    <w:p>
      <w:pPr>
        <w:tabs>
          <w:tab w:val="left" w:pos="0"/>
          <w:tab w:val="left" w:pos="180"/>
          <w:tab w:val="left" w:pos="360"/>
        </w:tabs>
        <w:spacing w:line="360" w:lineRule="auto"/>
        <w:ind w:left="313" w:leftChars="149"/>
        <w:rPr>
          <w:rFonts w:ascii="宋体" w:hAnsi="宋体"/>
          <w:sz w:val="24"/>
          <w:szCs w:val="24"/>
        </w:rPr>
      </w:pPr>
      <w:r>
        <w:rPr>
          <w:rFonts w:hint="eastAsia" w:ascii="宋体" w:hAnsi="宋体"/>
          <w:sz w:val="24"/>
          <w:szCs w:val="24"/>
        </w:rPr>
        <w:t>账</w:t>
      </w:r>
      <w:r>
        <w:rPr>
          <w:rFonts w:ascii="宋体" w:hAnsi="宋体"/>
          <w:sz w:val="24"/>
          <w:szCs w:val="24"/>
        </w:rPr>
        <w:t xml:space="preserve">号：                                     </w:t>
      </w:r>
      <w:r>
        <w:rPr>
          <w:rFonts w:hint="eastAsia" w:ascii="宋体" w:hAnsi="宋体"/>
          <w:sz w:val="24"/>
          <w:szCs w:val="24"/>
        </w:rPr>
        <w:t>账</w:t>
      </w:r>
      <w:r>
        <w:rPr>
          <w:rFonts w:ascii="宋体" w:hAnsi="宋体"/>
          <w:sz w:val="24"/>
          <w:szCs w:val="24"/>
        </w:rPr>
        <w:t>号：</w:t>
      </w:r>
    </w:p>
    <w:p>
      <w:pPr>
        <w:pStyle w:val="56"/>
      </w:pPr>
    </w:p>
    <w:p>
      <w:pPr>
        <w:pStyle w:val="56"/>
      </w:pPr>
      <w:r>
        <w:rPr>
          <w:rFonts w:hint="eastAsia"/>
        </w:rPr>
        <w:t>代理机构：盖章</w:t>
      </w:r>
    </w:p>
    <w:p>
      <w:pPr>
        <w:tabs>
          <w:tab w:val="left" w:pos="0"/>
          <w:tab w:val="left" w:pos="180"/>
          <w:tab w:val="left" w:pos="360"/>
        </w:tabs>
        <w:spacing w:line="360" w:lineRule="auto"/>
        <w:ind w:left="313" w:leftChars="149" w:firstLine="120" w:firstLineChars="50"/>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p>
    <w:p>
      <w:pPr>
        <w:tabs>
          <w:tab w:val="left" w:pos="0"/>
          <w:tab w:val="left" w:pos="180"/>
          <w:tab w:val="left" w:pos="360"/>
        </w:tabs>
        <w:spacing w:line="360" w:lineRule="auto"/>
        <w:ind w:left="313" w:leftChars="149"/>
        <w:rPr>
          <w:rFonts w:ascii="宋体" w:hAnsi="宋体"/>
          <w:sz w:val="24"/>
          <w:szCs w:val="24"/>
        </w:rPr>
      </w:pPr>
      <w:r>
        <w:rPr>
          <w:rFonts w:ascii="宋体" w:hAnsi="宋体"/>
          <w:sz w:val="24"/>
          <w:szCs w:val="24"/>
        </w:rPr>
        <w:t xml:space="preserve">        </w:t>
      </w:r>
    </w:p>
    <w:p>
      <w:pPr>
        <w:tabs>
          <w:tab w:val="left" w:pos="0"/>
          <w:tab w:val="left" w:pos="180"/>
          <w:tab w:val="left" w:pos="360"/>
        </w:tabs>
        <w:spacing w:line="360" w:lineRule="auto"/>
        <w:ind w:firstLine="480" w:firstLineChars="200"/>
        <w:rPr>
          <w:rFonts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年   月   日</w:t>
      </w:r>
    </w:p>
    <w:p>
      <w:pPr>
        <w:spacing w:line="500" w:lineRule="exact"/>
        <w:ind w:left="80" w:leftChars="38" w:firstLine="1680" w:firstLineChars="700"/>
        <w:rPr>
          <w:rFonts w:ascii="宋体" w:hAnsi="宋体" w:cs="宋体"/>
          <w:sz w:val="24"/>
          <w:szCs w:val="20"/>
        </w:rPr>
      </w:pPr>
    </w:p>
    <w:p>
      <w:pPr>
        <w:spacing w:line="500" w:lineRule="exact"/>
        <w:ind w:left="80" w:leftChars="38" w:firstLine="2160" w:firstLineChars="900"/>
        <w:rPr>
          <w:rFonts w:ascii="宋体" w:hAnsi="宋体" w:cs="宋体"/>
          <w:sz w:val="24"/>
          <w:szCs w:val="20"/>
        </w:rPr>
      </w:pPr>
      <w:r>
        <w:rPr>
          <w:rFonts w:hint="eastAsia" w:ascii="宋体" w:hAnsi="宋体" w:cs="宋体"/>
          <w:sz w:val="24"/>
          <w:szCs w:val="20"/>
        </w:rPr>
        <w:t>（此合同内容仅供参考，以中标后签订合同为准）</w:t>
      </w:r>
    </w:p>
    <w:p>
      <w:pPr>
        <w:pStyle w:val="18"/>
        <w:rPr>
          <w:rFonts w:ascii="宋体" w:hAnsi="宋体" w:cs="宋体"/>
          <w:sz w:val="24"/>
          <w:szCs w:val="20"/>
        </w:rPr>
      </w:pPr>
    </w:p>
    <w:p>
      <w:pPr>
        <w:rPr>
          <w:rFonts w:ascii="宋体" w:hAnsi="宋体" w:cs="宋体"/>
          <w:sz w:val="24"/>
          <w:szCs w:val="20"/>
        </w:rPr>
      </w:pPr>
    </w:p>
    <w:p>
      <w:pPr>
        <w:pStyle w:val="18"/>
        <w:rPr>
          <w:rFonts w:ascii="宋体" w:hAnsi="宋体" w:cs="宋体"/>
          <w:sz w:val="24"/>
          <w:szCs w:val="20"/>
        </w:rPr>
      </w:pPr>
    </w:p>
    <w:p>
      <w:pPr>
        <w:rPr>
          <w:rFonts w:ascii="宋体" w:hAnsi="宋体" w:cs="宋体"/>
          <w:sz w:val="24"/>
          <w:szCs w:val="20"/>
        </w:rPr>
      </w:pPr>
    </w:p>
    <w:p>
      <w:pPr>
        <w:pStyle w:val="18"/>
        <w:rPr>
          <w:rFonts w:ascii="宋体" w:hAnsi="宋体" w:cs="宋体"/>
          <w:sz w:val="24"/>
          <w:szCs w:val="20"/>
        </w:rPr>
      </w:pPr>
    </w:p>
    <w:p>
      <w:pPr>
        <w:rPr>
          <w:rFonts w:ascii="宋体" w:hAnsi="宋体" w:cs="宋体"/>
          <w:sz w:val="24"/>
          <w:szCs w:val="20"/>
        </w:rPr>
      </w:pPr>
    </w:p>
    <w:p>
      <w:pPr>
        <w:pStyle w:val="18"/>
        <w:rPr>
          <w:rFonts w:ascii="宋体" w:hAnsi="宋体" w:cs="宋体"/>
          <w:sz w:val="24"/>
          <w:szCs w:val="20"/>
        </w:rPr>
      </w:pPr>
    </w:p>
    <w:p/>
    <w:p>
      <w:pPr>
        <w:pStyle w:val="18"/>
      </w:pPr>
    </w:p>
    <w:p/>
    <w:p>
      <w:pPr>
        <w:pStyle w:val="18"/>
      </w:pPr>
    </w:p>
    <w:p/>
    <w:p>
      <w:pPr>
        <w:pStyle w:val="18"/>
      </w:pPr>
    </w:p>
    <w:p/>
    <w:p>
      <w:pPr>
        <w:pStyle w:val="18"/>
      </w:pPr>
    </w:p>
    <w:p/>
    <w:p>
      <w:pPr>
        <w:pStyle w:val="18"/>
      </w:pPr>
    </w:p>
    <w:p/>
    <w:p>
      <w:pPr>
        <w:pStyle w:val="18"/>
      </w:pPr>
    </w:p>
    <w:p/>
    <w:p>
      <w:pPr>
        <w:pStyle w:val="18"/>
      </w:pPr>
    </w:p>
    <w:p/>
    <w:p>
      <w:pPr>
        <w:numPr>
          <w:ilvl w:val="0"/>
          <w:numId w:val="5"/>
        </w:numPr>
        <w:spacing w:line="500" w:lineRule="exact"/>
        <w:ind w:left="477" w:leftChars="103" w:hanging="261" w:hangingChars="65"/>
        <w:jc w:val="center"/>
        <w:rPr>
          <w:rStyle w:val="39"/>
          <w:rFonts w:ascii="宋体" w:hAnsi="宋体" w:cs="宋体"/>
          <w:sz w:val="40"/>
          <w:szCs w:val="40"/>
        </w:rPr>
      </w:pPr>
      <w:r>
        <w:rPr>
          <w:rStyle w:val="39"/>
          <w:rFonts w:hint="eastAsia" w:ascii="宋体" w:hAnsi="宋体" w:cs="宋体"/>
          <w:sz w:val="40"/>
          <w:szCs w:val="40"/>
        </w:rPr>
        <w:t xml:space="preserve"> </w:t>
      </w:r>
      <w:bookmarkStart w:id="72" w:name="_Toc1140"/>
      <w:r>
        <w:rPr>
          <w:rStyle w:val="39"/>
          <w:rFonts w:hint="eastAsia" w:ascii="宋体" w:hAnsi="宋体" w:cs="宋体"/>
          <w:sz w:val="40"/>
          <w:szCs w:val="40"/>
        </w:rPr>
        <w:t>投标文件格式</w:t>
      </w:r>
      <w:bookmarkEnd w:id="71"/>
    </w:p>
    <w:bookmarkEnd w:id="72"/>
    <w:p>
      <w:pPr>
        <w:rPr>
          <w:rFonts w:ascii="宋体" w:hAnsi="宋体" w:cs="宋体"/>
          <w:b/>
          <w:sz w:val="32"/>
          <w:szCs w:val="32"/>
        </w:rPr>
      </w:pPr>
      <w:bookmarkStart w:id="73" w:name="_Toc353257304"/>
      <w:bookmarkStart w:id="74" w:name="_Toc171496381"/>
    </w:p>
    <w:bookmarkEnd w:id="73"/>
    <w:bookmarkEnd w:id="74"/>
    <w:p>
      <w:pPr>
        <w:spacing w:line="360" w:lineRule="auto"/>
        <w:jc w:val="center"/>
        <w:rPr>
          <w:rFonts w:ascii="宋体" w:hAnsi="宋体" w:cs="宋体"/>
          <w:b/>
          <w:sz w:val="24"/>
          <w:szCs w:val="22"/>
        </w:rPr>
      </w:pPr>
      <w:r>
        <w:rPr>
          <w:rFonts w:hint="eastAsia" w:ascii="宋体" w:hAnsi="宋体" w:cs="宋体"/>
          <w:b/>
          <w:sz w:val="32"/>
          <w:szCs w:val="32"/>
          <w:u w:val="single"/>
        </w:rPr>
        <w:t xml:space="preserve">                      </w:t>
      </w:r>
      <w:r>
        <w:rPr>
          <w:rFonts w:hint="eastAsia" w:ascii="宋体" w:hAnsi="宋体" w:cs="宋体"/>
          <w:b/>
          <w:sz w:val="32"/>
          <w:szCs w:val="32"/>
        </w:rPr>
        <w:t>项目名称</w:t>
      </w:r>
    </w:p>
    <w:p>
      <w:pPr>
        <w:spacing w:line="360" w:lineRule="auto"/>
        <w:jc w:val="center"/>
        <w:rPr>
          <w:rFonts w:ascii="宋体" w:hAnsi="宋体" w:cs="宋体"/>
          <w:b/>
          <w:color w:val="FF0000"/>
          <w:sz w:val="24"/>
          <w:szCs w:val="22"/>
        </w:rPr>
      </w:pPr>
    </w:p>
    <w:p>
      <w:pPr>
        <w:spacing w:line="360" w:lineRule="auto"/>
        <w:rPr>
          <w:rFonts w:ascii="宋体" w:hAnsi="宋体" w:cs="宋体"/>
          <w:b/>
          <w:sz w:val="84"/>
          <w:szCs w:val="84"/>
        </w:rPr>
      </w:pPr>
    </w:p>
    <w:p>
      <w:pPr>
        <w:spacing w:line="360" w:lineRule="auto"/>
        <w:jc w:val="center"/>
        <w:rPr>
          <w:rFonts w:ascii="宋体" w:hAnsi="宋体" w:cs="宋体"/>
          <w:b/>
          <w:sz w:val="84"/>
          <w:szCs w:val="84"/>
        </w:rPr>
      </w:pPr>
      <w:r>
        <w:rPr>
          <w:rFonts w:hint="eastAsia" w:ascii="宋体" w:hAnsi="宋体" w:cs="宋体"/>
          <w:b/>
          <w:sz w:val="84"/>
          <w:szCs w:val="84"/>
        </w:rPr>
        <w:t>投标文件</w:t>
      </w: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ind w:firstLine="1108" w:firstLineChars="345"/>
        <w:rPr>
          <w:rFonts w:ascii="宋体" w:hAnsi="宋体" w:cs="宋体"/>
          <w:b/>
          <w:sz w:val="32"/>
          <w:szCs w:val="32"/>
          <w:u w:val="single"/>
        </w:rPr>
      </w:pPr>
      <w:r>
        <w:rPr>
          <w:rFonts w:hint="eastAsia" w:ascii="宋体" w:hAnsi="宋体" w:cs="宋体"/>
          <w:b/>
          <w:sz w:val="32"/>
          <w:szCs w:val="32"/>
        </w:rPr>
        <w:t>投标人名称：</w:t>
      </w:r>
      <w:r>
        <w:rPr>
          <w:rFonts w:hint="eastAsia" w:ascii="宋体" w:hAnsi="宋体" w:cs="宋体"/>
          <w:b/>
          <w:sz w:val="32"/>
          <w:szCs w:val="32"/>
          <w:u w:val="single"/>
        </w:rPr>
        <w:t xml:space="preserve">                    （公章）  </w:t>
      </w:r>
    </w:p>
    <w:p>
      <w:pPr>
        <w:spacing w:line="360" w:lineRule="auto"/>
        <w:ind w:firstLine="3148" w:firstLineChars="980"/>
        <w:rPr>
          <w:rFonts w:ascii="宋体" w:hAnsi="宋体" w:cs="宋体"/>
          <w:b/>
          <w:sz w:val="32"/>
          <w:szCs w:val="32"/>
          <w:u w:val="single"/>
        </w:rPr>
      </w:pPr>
    </w:p>
    <w:p>
      <w:pPr>
        <w:spacing w:line="360" w:lineRule="auto"/>
        <w:ind w:firstLine="1108" w:firstLineChars="345"/>
        <w:rPr>
          <w:rFonts w:ascii="宋体" w:hAnsi="宋体" w:cs="宋体"/>
          <w:b/>
          <w:sz w:val="32"/>
          <w:szCs w:val="32"/>
          <w:u w:val="single"/>
        </w:rPr>
      </w:pPr>
      <w:r>
        <w:rPr>
          <w:rFonts w:hint="eastAsia" w:ascii="宋体" w:hAnsi="宋体" w:cs="宋体"/>
          <w:b/>
          <w:sz w:val="32"/>
          <w:szCs w:val="32"/>
          <w:u w:val="single"/>
        </w:rPr>
        <w:t>法定代表人或其授权代理人：  （签字或盖章）</w:t>
      </w: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rPr>
          <w:rFonts w:ascii="宋体" w:hAnsi="宋体" w:cs="宋体"/>
          <w:b/>
          <w:sz w:val="36"/>
          <w:szCs w:val="36"/>
        </w:rPr>
      </w:pPr>
    </w:p>
    <w:p>
      <w:pPr>
        <w:spacing w:line="360" w:lineRule="auto"/>
        <w:jc w:val="center"/>
        <w:rPr>
          <w:rFonts w:ascii="宋体" w:hAnsi="宋体" w:cs="宋体"/>
          <w:b/>
          <w:sz w:val="32"/>
          <w:szCs w:val="32"/>
        </w:rPr>
      </w:pPr>
      <w:r>
        <w:rPr>
          <w:rFonts w:hint="eastAsia" w:ascii="宋体" w:hAnsi="宋体" w:cs="宋体"/>
          <w:b/>
          <w:sz w:val="36"/>
          <w:szCs w:val="36"/>
        </w:rPr>
        <w:t>年   月  日</w:t>
      </w: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pStyle w:val="18"/>
        <w:rPr>
          <w:rFonts w:ascii="宋体" w:hAnsi="宋体" w:cs="宋体"/>
          <w:b/>
          <w:sz w:val="32"/>
          <w:szCs w:val="32"/>
        </w:rPr>
      </w:pPr>
    </w:p>
    <w:p>
      <w:pPr>
        <w:rPr>
          <w:rFonts w:ascii="宋体" w:hAnsi="宋体" w:cs="宋体"/>
          <w:b/>
          <w:sz w:val="32"/>
          <w:szCs w:val="32"/>
        </w:rPr>
      </w:pPr>
    </w:p>
    <w:p>
      <w:pPr>
        <w:pStyle w:val="18"/>
      </w:pPr>
    </w:p>
    <w:p>
      <w:pPr>
        <w:spacing w:line="360" w:lineRule="auto"/>
        <w:jc w:val="center"/>
        <w:rPr>
          <w:rFonts w:ascii="宋体" w:hAnsi="宋体" w:cs="宋体"/>
          <w:b/>
          <w:sz w:val="32"/>
          <w:szCs w:val="32"/>
        </w:rPr>
      </w:pPr>
    </w:p>
    <w:p>
      <w:pPr>
        <w:pStyle w:val="2"/>
        <w:ind w:left="420" w:firstLine="440"/>
        <w:rPr>
          <w:rFonts w:ascii="宋体" w:hAnsi="宋体" w:cs="宋体"/>
          <w:sz w:val="22"/>
          <w:szCs w:val="22"/>
        </w:rPr>
      </w:pPr>
    </w:p>
    <w:p>
      <w:pPr>
        <w:jc w:val="center"/>
        <w:rPr>
          <w:rFonts w:ascii="宋体" w:hAnsi="宋体" w:cs="宋体"/>
          <w:b/>
          <w:sz w:val="30"/>
          <w:szCs w:val="22"/>
        </w:rPr>
      </w:pPr>
      <w:r>
        <w:rPr>
          <w:rFonts w:hint="eastAsia" w:ascii="宋体" w:hAnsi="宋体" w:cs="宋体"/>
          <w:b/>
          <w:sz w:val="30"/>
          <w:szCs w:val="22"/>
        </w:rPr>
        <w:t>开标一览表</w:t>
      </w:r>
    </w:p>
    <w:p>
      <w:pPr>
        <w:jc w:val="center"/>
        <w:rPr>
          <w:rFonts w:ascii="宋体" w:hAnsi="宋体" w:cs="宋体"/>
          <w:b/>
          <w:sz w:val="30"/>
          <w:szCs w:val="22"/>
        </w:rPr>
      </w:pPr>
    </w:p>
    <w:p>
      <w:pPr>
        <w:jc w:val="center"/>
        <w:rPr>
          <w:rFonts w:ascii="宋体" w:hAnsi="宋体" w:cs="宋体"/>
          <w:b/>
          <w:sz w:val="30"/>
          <w:szCs w:val="22"/>
        </w:rPr>
      </w:pPr>
    </w:p>
    <w:p>
      <w:pPr>
        <w:jc w:val="center"/>
        <w:rPr>
          <w:rFonts w:ascii="宋体" w:hAnsi="宋体" w:cs="宋体"/>
          <w:sz w:val="30"/>
          <w:szCs w:val="22"/>
        </w:rPr>
      </w:pPr>
      <w:r>
        <w:rPr>
          <w:rFonts w:hint="eastAsia" w:ascii="宋体" w:hAnsi="宋体" w:cs="宋体"/>
          <w:sz w:val="30"/>
          <w:szCs w:val="22"/>
        </w:rPr>
        <w:t>（以电子标系统内生成格式为准填写并签章）</w:t>
      </w:r>
    </w:p>
    <w:p>
      <w:pPr>
        <w:rPr>
          <w:rFonts w:ascii="宋体" w:hAnsi="宋体" w:cs="宋体"/>
          <w:sz w:val="30"/>
          <w:szCs w:val="22"/>
        </w:rPr>
      </w:pPr>
    </w:p>
    <w:p>
      <w:pPr>
        <w:spacing w:line="360" w:lineRule="auto"/>
        <w:jc w:val="center"/>
        <w:outlineLvl w:val="0"/>
        <w:rPr>
          <w:rFonts w:ascii="宋体" w:hAnsi="宋体" w:cs="宋体"/>
          <w:b/>
          <w:sz w:val="30"/>
          <w:szCs w:val="22"/>
        </w:rPr>
      </w:pPr>
      <w:r>
        <w:rPr>
          <w:rFonts w:hint="eastAsia" w:ascii="宋体" w:hAnsi="宋体" w:cs="宋体"/>
          <w:b/>
          <w:sz w:val="30"/>
          <w:szCs w:val="30"/>
        </w:rPr>
        <w:br w:type="page"/>
      </w:r>
      <w:bookmarkStart w:id="75" w:name="_Toc12307"/>
      <w:bookmarkStart w:id="76" w:name="_Toc1630"/>
      <w:bookmarkStart w:id="77" w:name="_Toc20069"/>
      <w:r>
        <w:rPr>
          <w:rFonts w:hint="eastAsia" w:ascii="宋体" w:hAnsi="宋体" w:cs="宋体"/>
          <w:b/>
          <w:sz w:val="30"/>
          <w:szCs w:val="22"/>
        </w:rPr>
        <w:t>投标函</w:t>
      </w:r>
      <w:bookmarkEnd w:id="75"/>
      <w:bookmarkEnd w:id="76"/>
      <w:bookmarkEnd w:id="77"/>
    </w:p>
    <w:p>
      <w:pPr>
        <w:snapToGrid w:val="0"/>
        <w:spacing w:before="60" w:after="60" w:line="360" w:lineRule="auto"/>
        <w:rPr>
          <w:rFonts w:ascii="宋体" w:hAnsi="宋体" w:cs="宋体"/>
          <w:sz w:val="24"/>
          <w:szCs w:val="22"/>
        </w:rPr>
      </w:pPr>
      <w:r>
        <w:rPr>
          <w:rFonts w:hint="eastAsia" w:ascii="宋体" w:hAnsi="宋体" w:cs="宋体"/>
          <w:sz w:val="24"/>
          <w:szCs w:val="22"/>
        </w:rPr>
        <w:t>聊城诚亿项目管理有限公司：</w:t>
      </w:r>
    </w:p>
    <w:p>
      <w:pPr>
        <w:snapToGrid w:val="0"/>
        <w:spacing w:before="60" w:after="60" w:line="360" w:lineRule="auto"/>
        <w:ind w:firstLine="480"/>
        <w:rPr>
          <w:rFonts w:ascii="宋体" w:hAnsi="宋体" w:cs="宋体"/>
          <w:sz w:val="24"/>
          <w:szCs w:val="22"/>
          <w:u w:val="single"/>
        </w:rPr>
      </w:pPr>
      <w:r>
        <w:rPr>
          <w:rFonts w:hint="eastAsia" w:ascii="宋体" w:hAnsi="宋体" w:cs="宋体"/>
          <w:sz w:val="24"/>
          <w:szCs w:val="22"/>
        </w:rPr>
        <w:t>经研究，我方决定参加项目编号为</w:t>
      </w:r>
      <w:r>
        <w:rPr>
          <w:rFonts w:hint="eastAsia" w:ascii="宋体" w:hAnsi="宋体" w:cs="宋体"/>
          <w:sz w:val="24"/>
          <w:szCs w:val="22"/>
          <w:u w:val="single"/>
        </w:rPr>
        <w:t xml:space="preserve">             </w:t>
      </w:r>
      <w:r>
        <w:rPr>
          <w:rFonts w:hint="eastAsia" w:ascii="宋体" w:hAnsi="宋体" w:cs="宋体"/>
          <w:sz w:val="24"/>
          <w:szCs w:val="22"/>
        </w:rPr>
        <w:t>的政府采购项目并投标。为此，我方郑重声明以下诸点，并负法律责任。</w:t>
      </w:r>
    </w:p>
    <w:p>
      <w:pPr>
        <w:snapToGrid w:val="0"/>
        <w:spacing w:before="60" w:after="60" w:line="360" w:lineRule="auto"/>
        <w:ind w:left="480"/>
        <w:rPr>
          <w:rFonts w:ascii="宋体" w:hAnsi="宋体" w:cs="宋体"/>
          <w:sz w:val="24"/>
          <w:szCs w:val="22"/>
        </w:rPr>
      </w:pPr>
      <w:r>
        <w:rPr>
          <w:rFonts w:hint="eastAsia" w:ascii="宋体" w:hAnsi="宋体" w:cs="宋体"/>
          <w:sz w:val="24"/>
          <w:szCs w:val="22"/>
        </w:rPr>
        <w:t>1、（1）电子投标文件：共计1份，其中加密投标文件1份，为.lctf文件，在会员系统中上传；</w:t>
      </w:r>
    </w:p>
    <w:p>
      <w:pPr>
        <w:snapToGrid w:val="0"/>
        <w:spacing w:before="60" w:after="60" w:line="360" w:lineRule="auto"/>
        <w:ind w:left="480"/>
        <w:rPr>
          <w:rFonts w:ascii="宋体" w:hAnsi="宋体" w:cs="宋体"/>
          <w:sz w:val="24"/>
          <w:szCs w:val="22"/>
        </w:rPr>
      </w:pPr>
      <w:r>
        <w:rPr>
          <w:rFonts w:hint="eastAsia" w:ascii="宋体" w:hAnsi="宋体" w:cs="宋体"/>
          <w:sz w:val="24"/>
          <w:szCs w:val="22"/>
        </w:rPr>
        <w:t>（2）中标后该企业还需提交四份胶装的系统内生成的PDF版纸质标书，并加盖公章。</w:t>
      </w:r>
    </w:p>
    <w:p>
      <w:pPr>
        <w:snapToGrid w:val="0"/>
        <w:spacing w:before="60" w:after="60" w:line="360" w:lineRule="auto"/>
        <w:ind w:firstLine="480" w:firstLineChars="200"/>
        <w:rPr>
          <w:rFonts w:ascii="宋体" w:hAnsi="宋体" w:cs="宋体"/>
          <w:sz w:val="24"/>
          <w:szCs w:val="22"/>
        </w:rPr>
      </w:pPr>
      <w:r>
        <w:rPr>
          <w:rFonts w:hint="eastAsia" w:ascii="宋体" w:hAnsi="宋体" w:cs="宋体"/>
          <w:sz w:val="24"/>
          <w:szCs w:val="22"/>
        </w:rPr>
        <w:t>2、如果我方的投标文件被接受，我方将履行招标文件中的每一项要求，并按我方投标文件中的承诺按期、保质、按量提供货物及服务。</w:t>
      </w:r>
    </w:p>
    <w:p>
      <w:pPr>
        <w:snapToGrid w:val="0"/>
        <w:spacing w:before="60" w:after="60" w:line="360" w:lineRule="auto"/>
        <w:ind w:firstLine="480" w:firstLineChars="200"/>
        <w:rPr>
          <w:rFonts w:ascii="宋体" w:hAnsi="宋体" w:cs="宋体"/>
          <w:sz w:val="24"/>
          <w:szCs w:val="22"/>
        </w:rPr>
      </w:pPr>
      <w:r>
        <w:rPr>
          <w:rFonts w:hint="eastAsia" w:ascii="宋体" w:hAnsi="宋体" w:cs="宋体"/>
          <w:sz w:val="24"/>
          <w:szCs w:val="22"/>
        </w:rPr>
        <w:t>3、我们理解，最低报价不是中标的唯一条件，你们有选择中标人的权利。</w:t>
      </w:r>
    </w:p>
    <w:p>
      <w:pPr>
        <w:snapToGrid w:val="0"/>
        <w:spacing w:before="60" w:after="60" w:line="360" w:lineRule="auto"/>
        <w:ind w:firstLine="480" w:firstLineChars="200"/>
        <w:rPr>
          <w:rFonts w:ascii="宋体" w:hAnsi="宋体" w:cs="宋体"/>
          <w:sz w:val="24"/>
          <w:szCs w:val="22"/>
        </w:rPr>
      </w:pPr>
      <w:r>
        <w:rPr>
          <w:rFonts w:hint="eastAsia" w:ascii="宋体" w:hAnsi="宋体" w:cs="宋体"/>
          <w:sz w:val="24"/>
          <w:szCs w:val="22"/>
        </w:rPr>
        <w:t>4、我方愿意按照《中华人民共和国</w:t>
      </w:r>
      <w:r>
        <w:rPr>
          <w:rFonts w:hint="eastAsia" w:ascii="宋体" w:hAnsi="宋体" w:cs="宋体"/>
          <w:sz w:val="24"/>
          <w:szCs w:val="22"/>
          <w:lang w:val="en-US" w:eastAsia="zh-CN"/>
        </w:rPr>
        <w:t>民法典</w:t>
      </w:r>
      <w:r>
        <w:rPr>
          <w:rFonts w:hint="eastAsia" w:ascii="宋体" w:hAnsi="宋体" w:cs="宋体"/>
          <w:sz w:val="24"/>
          <w:szCs w:val="22"/>
        </w:rPr>
        <w:t>》履行自己的全部责任。</w:t>
      </w:r>
    </w:p>
    <w:p>
      <w:pPr>
        <w:snapToGrid w:val="0"/>
        <w:spacing w:before="60" w:after="60" w:line="360" w:lineRule="auto"/>
        <w:ind w:firstLine="480" w:firstLineChars="200"/>
        <w:rPr>
          <w:rFonts w:ascii="宋体" w:hAnsi="宋体" w:cs="宋体"/>
          <w:sz w:val="24"/>
          <w:szCs w:val="22"/>
        </w:rPr>
      </w:pPr>
      <w:r>
        <w:rPr>
          <w:rFonts w:hint="eastAsia" w:ascii="宋体" w:hAnsi="宋体" w:cs="宋体"/>
          <w:sz w:val="24"/>
          <w:szCs w:val="22"/>
        </w:rPr>
        <w:t xml:space="preserve">5、我们同意按照招标文件的规定交纳中标服务费、履约保证金，遵守有关招标的各项规定。                                               </w:t>
      </w:r>
    </w:p>
    <w:p>
      <w:pPr>
        <w:snapToGrid w:val="0"/>
        <w:spacing w:before="60" w:after="60" w:line="360" w:lineRule="auto"/>
        <w:ind w:left="480"/>
        <w:rPr>
          <w:rFonts w:ascii="宋体" w:hAnsi="宋体" w:cs="宋体"/>
          <w:sz w:val="24"/>
          <w:szCs w:val="22"/>
        </w:rPr>
      </w:pPr>
      <w:r>
        <w:rPr>
          <w:rFonts w:hint="eastAsia" w:ascii="宋体" w:hAnsi="宋体" w:cs="宋体"/>
          <w:sz w:val="24"/>
          <w:szCs w:val="22"/>
        </w:rPr>
        <w:t xml:space="preserve">6、我方投标文件自开标之日起报价有效期为90日历天。                           </w:t>
      </w:r>
    </w:p>
    <w:p>
      <w:pPr>
        <w:snapToGrid w:val="0"/>
        <w:spacing w:before="60" w:after="60" w:line="360" w:lineRule="auto"/>
        <w:ind w:left="480"/>
        <w:rPr>
          <w:rFonts w:ascii="宋体" w:hAnsi="宋体" w:cs="宋体"/>
          <w:sz w:val="24"/>
          <w:szCs w:val="22"/>
        </w:rPr>
      </w:pPr>
      <w:r>
        <w:rPr>
          <w:rFonts w:hint="eastAsia" w:ascii="宋体" w:hAnsi="宋体" w:cs="宋体"/>
          <w:sz w:val="24"/>
          <w:szCs w:val="22"/>
        </w:rPr>
        <w:t>7、与本投标有关的一切正式往来通讯请寄：</w:t>
      </w:r>
    </w:p>
    <w:p>
      <w:pPr>
        <w:snapToGrid w:val="0"/>
        <w:spacing w:before="60" w:after="60" w:line="360" w:lineRule="auto"/>
        <w:ind w:left="840"/>
        <w:rPr>
          <w:rFonts w:ascii="宋体" w:hAnsi="宋体" w:cs="宋体"/>
          <w:sz w:val="24"/>
          <w:szCs w:val="22"/>
        </w:rPr>
      </w:pPr>
      <w:r>
        <w:rPr>
          <w:rFonts w:hint="eastAsia" w:ascii="宋体" w:hAnsi="宋体" w:cs="宋体"/>
          <w:sz w:val="24"/>
          <w:szCs w:val="22"/>
        </w:rPr>
        <w:t>投标人代表姓名、职务（印刷体）：</w:t>
      </w:r>
    </w:p>
    <w:p>
      <w:pPr>
        <w:snapToGrid w:val="0"/>
        <w:spacing w:before="60" w:after="60" w:line="360" w:lineRule="auto"/>
        <w:ind w:left="840"/>
        <w:rPr>
          <w:rFonts w:ascii="宋体" w:hAnsi="宋体" w:cs="宋体"/>
          <w:sz w:val="24"/>
          <w:szCs w:val="22"/>
        </w:rPr>
      </w:pPr>
      <w:r>
        <w:rPr>
          <w:rFonts w:hint="eastAsia" w:ascii="宋体" w:hAnsi="宋体" w:cs="宋体"/>
          <w:sz w:val="24"/>
          <w:szCs w:val="22"/>
        </w:rPr>
        <w:t>投标人全称（公章）：</w:t>
      </w:r>
    </w:p>
    <w:p>
      <w:pPr>
        <w:snapToGrid w:val="0"/>
        <w:spacing w:before="60" w:after="60" w:line="360" w:lineRule="auto"/>
        <w:ind w:left="840"/>
        <w:rPr>
          <w:rFonts w:ascii="宋体" w:hAnsi="宋体" w:cs="宋体"/>
          <w:sz w:val="24"/>
          <w:szCs w:val="22"/>
        </w:rPr>
      </w:pPr>
      <w:r>
        <w:rPr>
          <w:rFonts w:hint="eastAsia" w:ascii="宋体" w:hAnsi="宋体" w:cs="宋体"/>
          <w:sz w:val="24"/>
          <w:szCs w:val="22"/>
        </w:rPr>
        <w:t>地    址：</w:t>
      </w:r>
    </w:p>
    <w:p>
      <w:pPr>
        <w:snapToGrid w:val="0"/>
        <w:spacing w:before="60" w:after="60" w:line="360" w:lineRule="auto"/>
        <w:ind w:left="840"/>
        <w:rPr>
          <w:rFonts w:ascii="宋体" w:hAnsi="宋体" w:cs="宋体"/>
          <w:sz w:val="24"/>
          <w:szCs w:val="22"/>
        </w:rPr>
      </w:pPr>
      <w:r>
        <w:rPr>
          <w:rFonts w:hint="eastAsia" w:ascii="宋体" w:hAnsi="宋体" w:cs="宋体"/>
          <w:sz w:val="24"/>
          <w:szCs w:val="22"/>
        </w:rPr>
        <w:t>邮政编码：</w:t>
      </w:r>
    </w:p>
    <w:p>
      <w:pPr>
        <w:snapToGrid w:val="0"/>
        <w:spacing w:before="60" w:after="60" w:line="360" w:lineRule="auto"/>
        <w:ind w:left="840"/>
        <w:rPr>
          <w:rFonts w:ascii="宋体" w:hAnsi="宋体" w:cs="宋体"/>
          <w:sz w:val="24"/>
          <w:szCs w:val="22"/>
        </w:rPr>
      </w:pPr>
      <w:r>
        <w:rPr>
          <w:rFonts w:hint="eastAsia" w:ascii="宋体" w:hAnsi="宋体" w:cs="宋体"/>
          <w:sz w:val="24"/>
          <w:szCs w:val="22"/>
        </w:rPr>
        <w:t>电    话：</w:t>
      </w:r>
    </w:p>
    <w:p>
      <w:pPr>
        <w:snapToGrid w:val="0"/>
        <w:spacing w:before="60" w:after="60" w:line="360" w:lineRule="auto"/>
        <w:ind w:left="840"/>
        <w:rPr>
          <w:rFonts w:ascii="宋体" w:hAnsi="宋体" w:cs="宋体"/>
          <w:sz w:val="24"/>
          <w:szCs w:val="22"/>
        </w:rPr>
      </w:pPr>
      <w:r>
        <w:rPr>
          <w:rFonts w:hint="eastAsia" w:ascii="宋体" w:hAnsi="宋体" w:cs="宋体"/>
          <w:sz w:val="24"/>
          <w:szCs w:val="22"/>
        </w:rPr>
        <w:t>传    真：</w:t>
      </w:r>
    </w:p>
    <w:p>
      <w:pPr>
        <w:spacing w:line="360" w:lineRule="auto"/>
        <w:jc w:val="center"/>
        <w:outlineLvl w:val="0"/>
        <w:rPr>
          <w:rFonts w:ascii="宋体" w:hAnsi="宋体" w:cs="宋体"/>
          <w:sz w:val="24"/>
          <w:szCs w:val="22"/>
        </w:rPr>
      </w:pPr>
      <w:bookmarkStart w:id="78" w:name="_Toc19611"/>
      <w:bookmarkStart w:id="79" w:name="_Toc16426"/>
      <w:bookmarkStart w:id="80" w:name="_Toc31654"/>
      <w:r>
        <w:rPr>
          <w:rFonts w:hint="eastAsia" w:ascii="宋体" w:hAnsi="宋体" w:cs="宋体"/>
          <w:sz w:val="24"/>
          <w:szCs w:val="22"/>
        </w:rPr>
        <w:t> 年   月   日</w:t>
      </w:r>
      <w:bookmarkEnd w:id="78"/>
      <w:bookmarkEnd w:id="79"/>
      <w:bookmarkEnd w:id="80"/>
    </w:p>
    <w:p>
      <w:pPr>
        <w:spacing w:line="500" w:lineRule="exact"/>
        <w:jc w:val="center"/>
        <w:rPr>
          <w:rFonts w:ascii="宋体" w:hAnsi="宋体" w:cs="宋体"/>
          <w:b/>
          <w:sz w:val="30"/>
          <w:szCs w:val="30"/>
        </w:rPr>
      </w:pPr>
      <w:r>
        <w:rPr>
          <w:rFonts w:hint="eastAsia" w:ascii="宋体" w:hAnsi="宋体" w:cs="宋体"/>
          <w:sz w:val="24"/>
          <w:szCs w:val="22"/>
        </w:rPr>
        <w:br w:type="page"/>
      </w:r>
      <w:r>
        <w:rPr>
          <w:rFonts w:hint="eastAsia" w:ascii="宋体" w:hAnsi="宋体" w:cs="宋体"/>
          <w:b/>
          <w:sz w:val="30"/>
          <w:szCs w:val="30"/>
        </w:rPr>
        <w:t>法定代表人（负责人）身份证明</w:t>
      </w:r>
    </w:p>
    <w:p>
      <w:pPr>
        <w:spacing w:line="360" w:lineRule="auto"/>
        <w:jc w:val="center"/>
        <w:textAlignment w:val="center"/>
        <w:rPr>
          <w:rFonts w:ascii="宋体" w:hAnsi="宋体" w:cs="宋体"/>
          <w:b/>
          <w:sz w:val="24"/>
          <w:szCs w:val="22"/>
        </w:rPr>
      </w:pPr>
    </w:p>
    <w:p>
      <w:pPr>
        <w:spacing w:line="360" w:lineRule="auto"/>
        <w:jc w:val="center"/>
        <w:textAlignment w:val="center"/>
        <w:rPr>
          <w:rFonts w:ascii="宋体" w:hAnsi="宋体" w:cs="宋体"/>
          <w:sz w:val="24"/>
          <w:szCs w:val="22"/>
        </w:rPr>
      </w:pP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投标人名称：_______________________</w:t>
      </w: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单位性质：____________________________</w:t>
      </w: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地址：________________________________</w:t>
      </w: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成立时间：________年_______月________日</w:t>
      </w: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经营期限：____________________________</w:t>
      </w: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姓名：</w:t>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softHyphen/>
      </w:r>
      <w:r>
        <w:rPr>
          <w:rFonts w:hint="eastAsia" w:ascii="宋体" w:hAnsi="宋体" w:cs="宋体"/>
          <w:sz w:val="24"/>
          <w:szCs w:val="22"/>
        </w:rPr>
        <w:t xml:space="preserve"> ________性别：________年龄：________职务：________</w:t>
      </w: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系_____________________________（投标人名称）的法定代表人（负责人）。</w:t>
      </w:r>
    </w:p>
    <w:p>
      <w:pPr>
        <w:spacing w:line="360" w:lineRule="auto"/>
        <w:ind w:firstLine="600" w:firstLineChars="250"/>
        <w:textAlignment w:val="center"/>
        <w:rPr>
          <w:rFonts w:ascii="宋体" w:hAnsi="宋体" w:cs="宋体"/>
          <w:sz w:val="24"/>
          <w:szCs w:val="22"/>
        </w:rPr>
      </w:pPr>
    </w:p>
    <w:p>
      <w:pPr>
        <w:spacing w:line="360" w:lineRule="auto"/>
        <w:ind w:firstLine="600" w:firstLineChars="250"/>
        <w:textAlignment w:val="center"/>
        <w:rPr>
          <w:rFonts w:ascii="宋体" w:hAnsi="宋体" w:cs="宋体"/>
          <w:sz w:val="24"/>
          <w:szCs w:val="22"/>
        </w:rPr>
      </w:pPr>
    </w:p>
    <w:p>
      <w:pPr>
        <w:spacing w:line="360" w:lineRule="auto"/>
        <w:ind w:firstLine="600" w:firstLineChars="250"/>
        <w:textAlignment w:val="center"/>
        <w:rPr>
          <w:rFonts w:ascii="宋体" w:hAnsi="宋体" w:cs="宋体"/>
          <w:sz w:val="24"/>
          <w:szCs w:val="22"/>
        </w:rPr>
      </w:pPr>
      <w:r>
        <w:rPr>
          <w:rFonts w:hint="eastAsia" w:ascii="宋体" w:hAnsi="宋体" w:cs="宋体"/>
          <w:sz w:val="24"/>
          <w:szCs w:val="22"/>
        </w:rPr>
        <w:t>特此证明。</w:t>
      </w:r>
    </w:p>
    <w:p>
      <w:pPr>
        <w:spacing w:line="360" w:lineRule="auto"/>
        <w:ind w:right="480" w:firstLine="1440" w:firstLineChars="600"/>
        <w:textAlignment w:val="center"/>
        <w:rPr>
          <w:rFonts w:ascii="宋体" w:hAnsi="宋体" w:cs="宋体"/>
          <w:sz w:val="24"/>
          <w:szCs w:val="22"/>
        </w:rPr>
      </w:pPr>
    </w:p>
    <w:p>
      <w:pPr>
        <w:spacing w:line="360" w:lineRule="auto"/>
        <w:ind w:right="480" w:firstLine="3780" w:firstLineChars="1575"/>
        <w:textAlignment w:val="center"/>
        <w:rPr>
          <w:rFonts w:ascii="宋体" w:hAnsi="宋体" w:cs="宋体"/>
          <w:sz w:val="24"/>
          <w:szCs w:val="22"/>
        </w:rPr>
      </w:pPr>
      <w:r>
        <w:rPr>
          <w:rFonts w:hint="eastAsia" w:ascii="宋体" w:hAnsi="宋体" w:cs="宋体"/>
          <w:sz w:val="24"/>
          <w:szCs w:val="22"/>
        </w:rPr>
        <w:t>投标人单位名称（盖章）：</w:t>
      </w:r>
    </w:p>
    <w:p>
      <w:pPr>
        <w:spacing w:line="360" w:lineRule="auto"/>
        <w:ind w:right="480" w:firstLine="4680" w:firstLineChars="1950"/>
        <w:textAlignment w:val="center"/>
        <w:rPr>
          <w:rFonts w:ascii="宋体" w:hAnsi="宋体" w:cs="宋体"/>
          <w:sz w:val="24"/>
          <w:szCs w:val="22"/>
        </w:rPr>
      </w:pPr>
    </w:p>
    <w:p>
      <w:pPr>
        <w:spacing w:line="360" w:lineRule="auto"/>
        <w:ind w:right="480" w:firstLine="4680" w:firstLineChars="1950"/>
        <w:textAlignment w:val="center"/>
        <w:rPr>
          <w:rFonts w:ascii="宋体" w:hAnsi="宋体" w:cs="宋体"/>
          <w:sz w:val="24"/>
          <w:szCs w:val="22"/>
        </w:rPr>
      </w:pPr>
      <w:r>
        <w:rPr>
          <w:rFonts w:hint="eastAsia" w:ascii="宋体" w:hAnsi="宋体" w:cs="宋体"/>
          <w:sz w:val="24"/>
          <w:szCs w:val="22"/>
        </w:rPr>
        <w:t>________年______月______日</w:t>
      </w:r>
    </w:p>
    <w:p>
      <w:pPr>
        <w:spacing w:line="360" w:lineRule="auto"/>
        <w:textAlignment w:val="center"/>
        <w:rPr>
          <w:rFonts w:ascii="宋体" w:hAnsi="宋体" w:cs="宋体"/>
          <w:sz w:val="24"/>
          <w:szCs w:val="22"/>
        </w:rPr>
      </w:pPr>
    </w:p>
    <w:p>
      <w:pPr>
        <w:spacing w:line="360" w:lineRule="auto"/>
        <w:textAlignment w:val="center"/>
        <w:rPr>
          <w:rFonts w:ascii="宋体" w:hAnsi="宋体" w:cs="宋体"/>
          <w:sz w:val="24"/>
          <w:szCs w:val="22"/>
        </w:rPr>
      </w:pPr>
    </w:p>
    <w:p>
      <w:pPr>
        <w:spacing w:line="360" w:lineRule="auto"/>
        <w:jc w:val="left"/>
        <w:outlineLvl w:val="0"/>
        <w:rPr>
          <w:rFonts w:ascii="宋体" w:hAnsi="宋体" w:cs="宋体"/>
          <w:sz w:val="24"/>
          <w:szCs w:val="22"/>
          <w:vertAlign w:val="baseline"/>
        </w:rPr>
      </w:pPr>
      <w:bookmarkStart w:id="81" w:name="_Toc30734"/>
      <w:bookmarkStart w:id="82" w:name="_Toc726"/>
      <w:bookmarkStart w:id="83" w:name="_Toc10397"/>
      <w:r>
        <w:rPr>
          <w:rFonts w:hint="eastAsia" w:ascii="宋体" w:hAnsi="宋体" w:cs="宋体"/>
          <w:sz w:val="24"/>
          <w:szCs w:val="22"/>
        </w:rPr>
        <w:t>附：</w:t>
      </w:r>
      <w:bookmarkEnd w:id="81"/>
      <w:bookmarkEnd w:id="82"/>
      <w:bookmarkEnd w:id="83"/>
    </w:p>
    <w:p>
      <w:pPr>
        <w:spacing w:line="360" w:lineRule="auto"/>
        <w:jc w:val="center"/>
        <w:outlineLvl w:val="0"/>
        <w:rPr>
          <w:rFonts w:ascii="宋体" w:hAnsi="宋体" w:cs="宋体"/>
          <w:sz w:val="24"/>
          <w:szCs w:val="22"/>
        </w:rPr>
      </w:pPr>
    </w:p>
    <w:tbl>
      <w:tblPr>
        <w:tblStyle w:val="23"/>
        <w:tblpPr w:leftFromText="180" w:rightFromText="180" w:vertAnchor="text" w:horzAnchor="page" w:tblpX="2957" w:tblpY="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5820" w:type="dxa"/>
          </w:tcPr>
          <w:p>
            <w:pPr>
              <w:snapToGrid w:val="0"/>
              <w:jc w:val="center"/>
              <w:rPr>
                <w:rFonts w:hint="eastAsia" w:ascii="宋体" w:hAnsi="宋体"/>
                <w:b/>
                <w:position w:val="16"/>
              </w:rPr>
            </w:pPr>
          </w:p>
          <w:p>
            <w:pPr>
              <w:snapToGrid w:val="0"/>
              <w:jc w:val="center"/>
              <w:rPr>
                <w:rFonts w:hint="eastAsia" w:ascii="宋体" w:hAnsi="宋体" w:eastAsia="宋体"/>
                <w:b/>
                <w:position w:val="16"/>
                <w:lang w:eastAsia="zh-CN"/>
              </w:rPr>
            </w:pPr>
            <w:r>
              <w:rPr>
                <w:rFonts w:hint="eastAsia" w:ascii="宋体" w:hAnsi="宋体"/>
                <w:b/>
                <w:position w:val="16"/>
              </w:rPr>
              <w:t>法定代表人身份证</w:t>
            </w:r>
            <w:r>
              <w:rPr>
                <w:rFonts w:hint="eastAsia" w:ascii="宋体" w:hAnsi="宋体"/>
                <w:b/>
                <w:position w:val="16"/>
                <w:lang w:val="en-US" w:eastAsia="zh-CN"/>
              </w:rPr>
              <w:t>彩色扫描件</w:t>
            </w:r>
          </w:p>
          <w:p>
            <w:pPr>
              <w:snapToGrid w:val="0"/>
              <w:jc w:val="center"/>
              <w:rPr>
                <w:rFonts w:hint="eastAsia"/>
              </w:rPr>
            </w:pPr>
            <w:r>
              <w:rPr>
                <w:rFonts w:hint="eastAsia" w:ascii="宋体" w:hAnsi="宋体"/>
                <w:b/>
                <w:position w:val="16"/>
              </w:rPr>
              <w:t>（第二代身份证正反面）</w:t>
            </w:r>
          </w:p>
          <w:p>
            <w:pPr>
              <w:spacing w:line="360" w:lineRule="auto"/>
              <w:jc w:val="center"/>
              <w:outlineLvl w:val="0"/>
              <w:rPr>
                <w:rFonts w:ascii="宋体" w:hAnsi="宋体" w:cs="宋体"/>
                <w:sz w:val="24"/>
                <w:szCs w:val="22"/>
                <w:vertAlign w:val="baseline"/>
              </w:rPr>
            </w:pPr>
          </w:p>
        </w:tc>
      </w:tr>
    </w:tbl>
    <w:p>
      <w:pPr>
        <w:spacing w:line="360" w:lineRule="auto"/>
        <w:jc w:val="center"/>
        <w:rPr>
          <w:rFonts w:ascii="宋体" w:hAnsi="宋体" w:cs="宋体"/>
          <w:sz w:val="24"/>
          <w:szCs w:val="22"/>
        </w:rPr>
      </w:pPr>
      <w:r>
        <w:rPr>
          <w:rFonts w:hint="eastAsia" w:ascii="宋体" w:hAnsi="宋体" w:cs="宋体"/>
          <w:sz w:val="24"/>
          <w:szCs w:val="22"/>
        </w:rPr>
        <w:br w:type="page"/>
      </w:r>
    </w:p>
    <w:p>
      <w:pPr>
        <w:spacing w:line="360" w:lineRule="auto"/>
        <w:jc w:val="center"/>
        <w:rPr>
          <w:rFonts w:ascii="宋体" w:hAnsi="宋体" w:cs="宋体"/>
          <w:sz w:val="24"/>
          <w:szCs w:val="22"/>
        </w:rPr>
      </w:pP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法定代表人授权委托书</w:t>
      </w:r>
    </w:p>
    <w:p>
      <w:pPr>
        <w:pStyle w:val="18"/>
        <w:rPr>
          <w:rFonts w:hint="eastAsia"/>
        </w:rPr>
      </w:pPr>
    </w:p>
    <w:p>
      <w:pPr>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（采购人或采购代理机构） </w:t>
      </w:r>
    </w:p>
    <w:p>
      <w:pPr>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）名称系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（供应商全称）的法定代表人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，现授权委托我公司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（被授权人名称和职务）为授权代表，全权处理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项目（项目名称）采购活动的一切事宜，项目编号为：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。该同志代表我单位全权处理本次采购活动中的一切事宜，由他签字的一切文件，我公司均认可。</w:t>
      </w:r>
    </w:p>
    <w:p>
      <w:pPr>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p>
    <w:p>
      <w:pPr>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盖章：</w:t>
      </w:r>
    </w:p>
    <w:p>
      <w:pPr>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供应商全称(公章)：</w:t>
      </w:r>
    </w:p>
    <w:p>
      <w:pPr>
        <w:spacing w:line="48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授权委托日期：</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全权代表姓名：</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 号 码  ：</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详细通讯地址：</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 ：</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pPr>
        <w:spacing w:line="44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pPr>
        <w:spacing w:line="440" w:lineRule="exact"/>
        <w:textAlignment w:val="baseline"/>
        <w:rPr>
          <w:rFonts w:hint="eastAsia" w:ascii="宋体" w:hAnsi="宋体" w:eastAsia="宋体" w:cs="宋体"/>
          <w:color w:val="auto"/>
          <w:highlight w:val="none"/>
        </w:rPr>
      </w:pPr>
    </w:p>
    <w:tbl>
      <w:tblPr>
        <w:tblStyle w:val="23"/>
        <w:tblpPr w:leftFromText="180" w:rightFromText="180" w:vertAnchor="text" w:horzAnchor="page" w:tblpX="3122" w:tblpY="32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1" w:hRule="atLeast"/>
        </w:trPr>
        <w:tc>
          <w:tcPr>
            <w:tcW w:w="5600" w:type="dxa"/>
          </w:tcPr>
          <w:p>
            <w:pPr>
              <w:snapToGrid w:val="0"/>
              <w:jc w:val="center"/>
              <w:rPr>
                <w:rFonts w:hint="eastAsia" w:ascii="宋体" w:hAnsi="宋体"/>
                <w:b/>
                <w:position w:val="16"/>
              </w:rPr>
            </w:pPr>
          </w:p>
          <w:p>
            <w:pPr>
              <w:snapToGrid w:val="0"/>
              <w:jc w:val="center"/>
              <w:rPr>
                <w:rFonts w:hint="eastAsia" w:ascii="宋体" w:hAnsi="宋体"/>
                <w:b/>
                <w:position w:val="16"/>
              </w:rPr>
            </w:pPr>
          </w:p>
          <w:p>
            <w:pPr>
              <w:snapToGrid w:val="0"/>
              <w:jc w:val="center"/>
              <w:rPr>
                <w:rFonts w:hint="eastAsia" w:ascii="宋体" w:hAnsi="宋体"/>
                <w:b/>
                <w:position w:val="16"/>
              </w:rPr>
            </w:pPr>
            <w:r>
              <w:rPr>
                <w:rFonts w:hint="eastAsia" w:ascii="宋体" w:hAnsi="宋体"/>
                <w:b/>
                <w:position w:val="16"/>
              </w:rPr>
              <w:t>法</w:t>
            </w:r>
            <w:r>
              <w:rPr>
                <w:rFonts w:hint="eastAsia" w:ascii="宋体" w:hAnsi="宋体"/>
                <w:b/>
                <w:position w:val="16"/>
                <w:lang w:val="en-US" w:eastAsia="zh-CN"/>
              </w:rPr>
              <w:t>定代表</w:t>
            </w:r>
            <w:r>
              <w:rPr>
                <w:rFonts w:hint="eastAsia" w:ascii="宋体" w:hAnsi="宋体"/>
                <w:b/>
                <w:position w:val="16"/>
              </w:rPr>
              <w:t>人</w:t>
            </w:r>
            <w:r>
              <w:rPr>
                <w:rFonts w:hint="eastAsia" w:ascii="宋体" w:hAnsi="宋体"/>
                <w:b/>
                <w:position w:val="16"/>
                <w:lang w:eastAsia="zh-CN"/>
              </w:rPr>
              <w:t>（</w:t>
            </w:r>
            <w:r>
              <w:rPr>
                <w:rFonts w:hint="eastAsia" w:ascii="宋体" w:hAnsi="宋体"/>
                <w:b/>
                <w:position w:val="16"/>
                <w:lang w:val="en-US" w:eastAsia="zh-CN"/>
              </w:rPr>
              <w:t>负责人</w:t>
            </w:r>
            <w:r>
              <w:rPr>
                <w:rFonts w:hint="eastAsia" w:ascii="宋体" w:hAnsi="宋体"/>
                <w:b/>
                <w:position w:val="16"/>
                <w:lang w:eastAsia="zh-CN"/>
              </w:rPr>
              <w:t>）、</w:t>
            </w:r>
            <w:r>
              <w:rPr>
                <w:rFonts w:hint="eastAsia" w:ascii="宋体" w:hAnsi="宋体"/>
                <w:b/>
                <w:position w:val="16"/>
              </w:rPr>
              <w:t>授权代表身份证</w:t>
            </w:r>
            <w:r>
              <w:rPr>
                <w:rFonts w:hint="eastAsia" w:ascii="宋体" w:hAnsi="宋体"/>
                <w:b/>
                <w:position w:val="16"/>
                <w:lang w:val="en-US" w:eastAsia="zh-CN"/>
              </w:rPr>
              <w:t>彩色</w:t>
            </w:r>
            <w:r>
              <w:rPr>
                <w:rFonts w:hint="eastAsia" w:ascii="宋体" w:hAnsi="宋体"/>
                <w:b/>
                <w:position w:val="16"/>
              </w:rPr>
              <w:t>扫描件</w:t>
            </w:r>
          </w:p>
          <w:p>
            <w:pPr>
              <w:snapToGrid w:val="0"/>
              <w:jc w:val="center"/>
            </w:pPr>
            <w:r>
              <w:rPr>
                <w:rFonts w:hint="eastAsia" w:ascii="宋体" w:hAnsi="宋体"/>
                <w:b/>
                <w:position w:val="16"/>
              </w:rPr>
              <w:t>（第二代身份证正反面）</w:t>
            </w:r>
          </w:p>
          <w:p>
            <w:pPr>
              <w:spacing w:line="360" w:lineRule="auto"/>
              <w:jc w:val="center"/>
              <w:rPr>
                <w:rFonts w:hint="eastAsia" w:ascii="宋体" w:hAnsi="宋体" w:cs="宋体"/>
                <w:sz w:val="22"/>
                <w:szCs w:val="22"/>
                <w:vertAlign w:val="baseline"/>
              </w:rPr>
            </w:pPr>
          </w:p>
        </w:tc>
      </w:tr>
    </w:tbl>
    <w:p>
      <w:pPr>
        <w:spacing w:line="360" w:lineRule="auto"/>
        <w:jc w:val="both"/>
        <w:rPr>
          <w:rFonts w:ascii="宋体" w:hAnsi="宋体" w:cs="宋体"/>
          <w:sz w:val="22"/>
          <w:szCs w:val="22"/>
        </w:rPr>
      </w:pPr>
      <w:r>
        <w:rPr>
          <w:rFonts w:hint="eastAsia" w:ascii="宋体" w:hAnsi="宋体" w:cs="宋体"/>
          <w:sz w:val="22"/>
          <w:szCs w:val="22"/>
        </w:rPr>
        <w:br w:type="page"/>
      </w:r>
    </w:p>
    <w:p>
      <w:pPr>
        <w:adjustRightInd w:val="0"/>
        <w:snapToGrid w:val="0"/>
        <w:spacing w:line="240" w:lineRule="atLeas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投标承诺书</w:t>
      </w:r>
    </w:p>
    <w:p>
      <w:pPr>
        <w:adjustRightInd w:val="0"/>
        <w:snapToGrid w:val="0"/>
        <w:spacing w:line="480" w:lineRule="exact"/>
        <w:rPr>
          <w:rFonts w:hint="eastAsia" w:ascii="宋体" w:hAnsi="宋体" w:eastAsia="宋体" w:cs="宋体"/>
          <w:color w:val="auto"/>
          <w:sz w:val="24"/>
          <w:highlight w:val="none"/>
          <w:lang w:val="en-US" w:eastAsia="zh-CN"/>
        </w:rPr>
      </w:pP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聊城</w:t>
      </w:r>
      <w:r>
        <w:rPr>
          <w:rFonts w:hint="eastAsia" w:ascii="宋体" w:hAnsi="宋体" w:eastAsia="宋体" w:cs="宋体"/>
          <w:color w:val="auto"/>
          <w:sz w:val="24"/>
          <w:highlight w:val="none"/>
        </w:rPr>
        <w:t>市生态环境局、</w:t>
      </w:r>
      <w:r>
        <w:rPr>
          <w:rFonts w:hint="eastAsia" w:ascii="宋体" w:hAnsi="宋体" w:eastAsia="宋体" w:cs="宋体"/>
          <w:color w:val="auto"/>
          <w:sz w:val="24"/>
          <w:highlight w:val="none"/>
          <w:lang w:eastAsia="zh-CN"/>
        </w:rPr>
        <w:t>聊城诚亿项目管理有限公司</w:t>
      </w:r>
      <w:r>
        <w:rPr>
          <w:rFonts w:hint="eastAsia" w:ascii="宋体" w:hAnsi="宋体" w:eastAsia="宋体" w:cs="宋体"/>
          <w:color w:val="auto"/>
          <w:sz w:val="24"/>
          <w:highlight w:val="none"/>
        </w:rPr>
        <w:t>：</w:t>
      </w:r>
    </w:p>
    <w:p>
      <w:pPr>
        <w:adjustRightInd w:val="0"/>
        <w:snapToGrid w:val="0"/>
        <w:spacing w:line="480" w:lineRule="exact"/>
        <w:ind w:firstLine="480" w:firstLineChars="200"/>
        <w:rPr>
          <w:rFonts w:hint="eastAsia" w:ascii="宋体" w:hAnsi="宋体" w:eastAsia="宋体" w:cs="宋体"/>
          <w:color w:val="auto"/>
          <w:sz w:val="24"/>
          <w:highlight w:val="none"/>
          <w:u w:val="thick"/>
        </w:rPr>
      </w:pPr>
      <w:r>
        <w:rPr>
          <w:rFonts w:hint="eastAsia" w:ascii="宋体" w:hAnsi="宋体" w:eastAsia="宋体" w:cs="宋体"/>
          <w:color w:val="auto"/>
          <w:sz w:val="24"/>
          <w:highlight w:val="none"/>
        </w:rPr>
        <w:t>为维护政府采购活动的公平竞争，保障依法有序的采购秩序，我们一定严格遵循 “诚实守信”的原则，参加这次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采购活动，并承诺如下：</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一、不提供虚假材料报名、参与采购活动；</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二、不非法挂靠、借用资质参与采购活动；</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三、不组织和参与串标、围标等不正当竞争活动；</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四、不虚假应标。</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五、不采取不正当手段诋毁、排挤其他供应商的公平竞争； </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六、不向采购人、采购代理甚至评审委员会成员采取非法手段牟取中标/成交；</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七、不进行虚假、恶意和无证据的质疑或投诉；</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八、对质疑或投诉答复不满的，采取正当渠道或法律解决，不采取违反、扰乱正常秩序的行为；</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九、中标/成交后，除正当理由外，保证按采购要求及时签订合同，并做到不违法分包、转包；</w:t>
      </w:r>
    </w:p>
    <w:p>
      <w:pPr>
        <w:adjustRightInd w:val="0"/>
        <w:snapToGrid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十、不采取其他违反法律、法规及采购文件规定的行为。</w:t>
      </w:r>
    </w:p>
    <w:p>
      <w:pPr>
        <w:tabs>
          <w:tab w:val="left" w:pos="5040"/>
        </w:tabs>
        <w:adjustRightInd w:val="0"/>
        <w:snapToGrid w:val="0"/>
        <w:spacing w:line="480" w:lineRule="exact"/>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公司）若确有违反本承诺内容的行为，除承担相应法律责任外，赔偿给采购人带来的损失。并自觉接受以下所列处分条款：1、投标/报价保证金不予退还；2、列入投标企业/供应商黑名单，视违规行为程度不同给予1-3年禁止在</w:t>
      </w:r>
      <w:r>
        <w:rPr>
          <w:rFonts w:hint="eastAsia" w:ascii="宋体" w:hAnsi="宋体" w:eastAsia="宋体" w:cs="宋体"/>
          <w:color w:val="auto"/>
          <w:sz w:val="24"/>
          <w:highlight w:val="none"/>
          <w:lang w:eastAsia="zh-CN"/>
        </w:rPr>
        <w:t>聊城</w:t>
      </w:r>
      <w:r>
        <w:rPr>
          <w:rFonts w:hint="eastAsia" w:ascii="宋体" w:hAnsi="宋体" w:eastAsia="宋体" w:cs="宋体"/>
          <w:color w:val="auto"/>
          <w:sz w:val="24"/>
          <w:highlight w:val="none"/>
        </w:rPr>
        <w:t>地区的投标。3、对出借资质的企业给予列入黑名单同样的处分。</w:t>
      </w:r>
    </w:p>
    <w:p>
      <w:pPr>
        <w:tabs>
          <w:tab w:val="left" w:pos="5040"/>
        </w:tabs>
        <w:adjustRightInd w:val="0"/>
        <w:snapToGrid w:val="0"/>
        <w:spacing w:line="480" w:lineRule="exact"/>
        <w:ind w:firstLine="480" w:firstLineChars="200"/>
        <w:rPr>
          <w:rFonts w:hint="eastAsia" w:ascii="宋体" w:hAnsi="宋体" w:eastAsia="宋体" w:cs="宋体"/>
          <w:color w:val="auto"/>
          <w:sz w:val="24"/>
          <w:highlight w:val="none"/>
        </w:rPr>
      </w:pPr>
    </w:p>
    <w:p>
      <w:pPr>
        <w:tabs>
          <w:tab w:val="left" w:pos="5040"/>
        </w:tabs>
        <w:adjustRightInd w:val="0"/>
        <w:snapToGrid w:val="0"/>
        <w:spacing w:line="480" w:lineRule="exact"/>
        <w:ind w:left="4767" w:leftChars="213" w:hanging="4320" w:hangingChars="18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供应商（盖章）：            法定代表人（签字</w:t>
      </w:r>
      <w:r>
        <w:rPr>
          <w:rFonts w:hint="eastAsia" w:ascii="宋体" w:hAnsi="宋体" w:eastAsia="宋体" w:cs="宋体"/>
          <w:color w:val="auto"/>
          <w:sz w:val="24"/>
          <w:highlight w:val="none"/>
          <w:lang w:val="en-US" w:eastAsia="zh-CN"/>
        </w:rPr>
        <w:t>并</w:t>
      </w:r>
      <w:r>
        <w:rPr>
          <w:rFonts w:hint="eastAsia" w:ascii="宋体" w:hAnsi="宋体" w:eastAsia="宋体" w:cs="宋体"/>
          <w:color w:val="auto"/>
          <w:sz w:val="24"/>
          <w:highlight w:val="none"/>
        </w:rPr>
        <w:t>盖章）：</w:t>
      </w:r>
    </w:p>
    <w:p>
      <w:pPr>
        <w:tabs>
          <w:tab w:val="left" w:pos="5040"/>
        </w:tabs>
        <w:adjustRightInd w:val="0"/>
        <w:snapToGrid w:val="0"/>
        <w:spacing w:line="480" w:lineRule="exact"/>
        <w:ind w:left="4767" w:leftChars="213" w:hanging="4320" w:hangingChars="1800"/>
        <w:rPr>
          <w:rFonts w:hint="eastAsia" w:ascii="宋体" w:hAnsi="宋体" w:eastAsia="宋体" w:cs="宋体"/>
          <w:color w:val="auto"/>
          <w:sz w:val="24"/>
          <w:highlight w:val="none"/>
        </w:rPr>
      </w:pPr>
    </w:p>
    <w:p>
      <w:pPr>
        <w:tabs>
          <w:tab w:val="left" w:pos="5040"/>
        </w:tabs>
        <w:adjustRightInd w:val="0"/>
        <w:snapToGrid w:val="0"/>
        <w:spacing w:line="480" w:lineRule="exact"/>
        <w:ind w:left="5309" w:leftChars="2014" w:hanging="1080" w:hangingChars="4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月    日</w:t>
      </w:r>
    </w:p>
    <w:p>
      <w:pPr>
        <w:rPr>
          <w:rFonts w:hint="eastAsia" w:ascii="宋体" w:hAnsi="宋体" w:eastAsia="宋体" w:cs="宋体"/>
          <w:b/>
          <w:bCs/>
          <w:color w:val="auto"/>
          <w:szCs w:val="21"/>
          <w:highlight w:val="none"/>
        </w:rPr>
      </w:pP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注：供应商不按上述要求提供投标承诺书，视为无效</w:t>
      </w:r>
      <w:r>
        <w:rPr>
          <w:rFonts w:hint="eastAsia" w:ascii="宋体" w:hAnsi="宋体" w:eastAsia="宋体" w:cs="宋体"/>
          <w:b/>
          <w:bCs/>
          <w:color w:val="auto"/>
          <w:szCs w:val="21"/>
          <w:highlight w:val="none"/>
          <w:lang w:val="en-US" w:eastAsia="zh-CN"/>
        </w:rPr>
        <w:t>响应文件</w:t>
      </w:r>
      <w:r>
        <w:rPr>
          <w:rFonts w:hint="eastAsia" w:ascii="宋体" w:hAnsi="宋体" w:eastAsia="宋体" w:cs="宋体"/>
          <w:b/>
          <w:bCs/>
          <w:color w:val="auto"/>
          <w:szCs w:val="21"/>
          <w:highlight w:val="none"/>
        </w:rPr>
        <w:t>。</w:t>
      </w:r>
    </w:p>
    <w:p>
      <w:pPr>
        <w:rPr>
          <w:rFonts w:hint="eastAsia" w:ascii="宋体" w:hAnsi="宋体" w:eastAsia="宋体" w:cs="宋体"/>
          <w:b/>
          <w:bCs/>
          <w:color w:val="auto"/>
          <w:sz w:val="28"/>
          <w:szCs w:val="28"/>
          <w:highlight w:val="none"/>
        </w:rPr>
      </w:pPr>
    </w:p>
    <w:p>
      <w:pPr>
        <w:spacing w:line="360" w:lineRule="auto"/>
        <w:jc w:val="center"/>
        <w:rPr>
          <w:rFonts w:ascii="宋体" w:hAnsi="宋体" w:cs="宋体"/>
          <w:sz w:val="22"/>
          <w:szCs w:val="22"/>
        </w:rPr>
      </w:pPr>
    </w:p>
    <w:p>
      <w:pPr>
        <w:spacing w:line="360" w:lineRule="auto"/>
        <w:jc w:val="center"/>
        <w:rPr>
          <w:rFonts w:ascii="宋体" w:hAnsi="宋体" w:cs="宋体"/>
          <w:sz w:val="22"/>
          <w:szCs w:val="22"/>
        </w:rPr>
      </w:pPr>
    </w:p>
    <w:p>
      <w:pPr>
        <w:spacing w:line="360" w:lineRule="auto"/>
        <w:jc w:val="center"/>
        <w:rPr>
          <w:rFonts w:ascii="宋体" w:hAnsi="宋体" w:cs="宋体"/>
          <w:sz w:val="22"/>
          <w:szCs w:val="22"/>
        </w:rPr>
      </w:pPr>
    </w:p>
    <w:p>
      <w:pPr>
        <w:spacing w:line="360" w:lineRule="auto"/>
        <w:jc w:val="center"/>
        <w:rPr>
          <w:rFonts w:ascii="宋体" w:hAnsi="宋体" w:cs="宋体"/>
          <w:sz w:val="22"/>
          <w:szCs w:val="22"/>
        </w:rPr>
      </w:pPr>
    </w:p>
    <w:p>
      <w:pPr>
        <w:pStyle w:val="18"/>
        <w:rPr>
          <w:rFonts w:ascii="宋体" w:hAnsi="宋体" w:cs="宋体"/>
          <w:sz w:val="22"/>
          <w:szCs w:val="22"/>
        </w:rPr>
      </w:pPr>
    </w:p>
    <w:p>
      <w:pPr>
        <w:rPr>
          <w:rFonts w:ascii="宋体" w:hAnsi="宋体" w:cs="宋体"/>
          <w:sz w:val="22"/>
          <w:szCs w:val="22"/>
        </w:rPr>
      </w:pPr>
    </w:p>
    <w:p>
      <w:pPr>
        <w:pStyle w:val="18"/>
        <w:rPr>
          <w:rFonts w:ascii="宋体" w:hAnsi="宋体" w:cs="宋体"/>
          <w:sz w:val="22"/>
          <w:szCs w:val="22"/>
        </w:rPr>
      </w:pPr>
    </w:p>
    <w:p>
      <w:pPr>
        <w:rPr>
          <w:rFonts w:ascii="宋体" w:hAnsi="宋体" w:cs="宋体"/>
          <w:sz w:val="22"/>
          <w:szCs w:val="22"/>
        </w:rPr>
      </w:pPr>
    </w:p>
    <w:p>
      <w:pPr>
        <w:pStyle w:val="18"/>
        <w:rPr>
          <w:rFonts w:ascii="宋体" w:hAnsi="宋体" w:cs="宋体"/>
          <w:sz w:val="22"/>
          <w:szCs w:val="22"/>
        </w:rPr>
      </w:pPr>
    </w:p>
    <w:p>
      <w:pPr>
        <w:rPr>
          <w:rFonts w:ascii="宋体" w:hAnsi="宋体" w:cs="宋体"/>
          <w:sz w:val="22"/>
          <w:szCs w:val="22"/>
        </w:rPr>
      </w:pPr>
    </w:p>
    <w:p>
      <w:pPr>
        <w:pStyle w:val="18"/>
        <w:rPr>
          <w:rFonts w:ascii="宋体" w:hAnsi="宋体" w:cs="宋体"/>
          <w:sz w:val="22"/>
          <w:szCs w:val="22"/>
        </w:rPr>
      </w:pPr>
    </w:p>
    <w:p>
      <w:pPr>
        <w:rPr>
          <w:rFonts w:ascii="宋体" w:hAnsi="宋体" w:cs="宋体"/>
          <w:sz w:val="22"/>
          <w:szCs w:val="22"/>
        </w:rPr>
      </w:pPr>
    </w:p>
    <w:p>
      <w:pPr>
        <w:pStyle w:val="18"/>
        <w:rPr>
          <w:rFonts w:ascii="宋体" w:hAnsi="宋体" w:cs="宋体"/>
          <w:sz w:val="22"/>
          <w:szCs w:val="22"/>
        </w:rPr>
      </w:pPr>
    </w:p>
    <w:p>
      <w:pPr>
        <w:rPr>
          <w:rFonts w:ascii="宋体" w:hAnsi="宋体" w:cs="宋体"/>
          <w:sz w:val="22"/>
          <w:szCs w:val="22"/>
        </w:rPr>
      </w:pPr>
    </w:p>
    <w:p>
      <w:pPr>
        <w:pStyle w:val="18"/>
      </w:pPr>
    </w:p>
    <w:p/>
    <w:p>
      <w:pPr>
        <w:spacing w:line="360" w:lineRule="auto"/>
        <w:jc w:val="center"/>
        <w:rPr>
          <w:rFonts w:ascii="宋体" w:hAnsi="宋体" w:cs="宋体"/>
          <w:b/>
          <w:sz w:val="30"/>
          <w:szCs w:val="22"/>
        </w:rPr>
      </w:pPr>
      <w:r>
        <w:rPr>
          <w:rFonts w:hint="eastAsia" w:ascii="宋体" w:hAnsi="宋体" w:cs="宋体"/>
          <w:b/>
          <w:sz w:val="30"/>
          <w:szCs w:val="22"/>
        </w:rPr>
        <w:t>联合体协议书（本项目不适用）</w:t>
      </w: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rPr>
          <w:rFonts w:hint="eastAsia" w:ascii="宋体" w:hAnsi="宋体" w:cs="宋体"/>
          <w:b/>
          <w:sz w:val="30"/>
          <w:szCs w:val="22"/>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904" w:firstLineChars="300"/>
        <w:jc w:val="left"/>
        <w:rPr>
          <w:rFonts w:hint="eastAsia" w:ascii="宋体" w:hAnsi="宋体" w:cs="宋体"/>
          <w:b/>
          <w:sz w:val="30"/>
          <w:szCs w:val="22"/>
          <w:lang w:val="en-US" w:eastAsia="zh-CN"/>
        </w:rPr>
      </w:pPr>
    </w:p>
    <w:p>
      <w:pPr>
        <w:widowControl/>
        <w:shd w:val="clear" w:color="auto" w:fill="FFFFFF"/>
        <w:spacing w:line="315" w:lineRule="atLeast"/>
        <w:ind w:firstLine="3313" w:firstLineChars="1100"/>
        <w:jc w:val="left"/>
        <w:rPr>
          <w:rFonts w:hint="eastAsia" w:ascii="宋体" w:hAnsi="宋体" w:eastAsia="宋体" w:cs="宋体"/>
          <w:b/>
          <w:bCs/>
          <w:kern w:val="0"/>
          <w:sz w:val="32"/>
          <w:szCs w:val="32"/>
          <w:highlight w:val="none"/>
        </w:rPr>
      </w:pPr>
      <w:r>
        <w:rPr>
          <w:rFonts w:hint="eastAsia" w:ascii="宋体" w:hAnsi="宋体" w:cs="宋体"/>
          <w:b/>
          <w:sz w:val="30"/>
          <w:szCs w:val="22"/>
          <w:lang w:val="en-US" w:eastAsia="zh-CN"/>
        </w:rPr>
        <w:t xml:space="preserve">    </w:t>
      </w:r>
      <w:r>
        <w:rPr>
          <w:rFonts w:hint="eastAsia" w:ascii="宋体" w:hAnsi="宋体" w:eastAsia="宋体" w:cs="宋体"/>
          <w:b/>
          <w:bCs/>
          <w:kern w:val="0"/>
          <w:sz w:val="32"/>
          <w:szCs w:val="32"/>
          <w:highlight w:val="none"/>
        </w:rPr>
        <w:t>基本存款账户承诺书</w:t>
      </w:r>
    </w:p>
    <w:p>
      <w:pPr>
        <w:pStyle w:val="18"/>
        <w:tabs>
          <w:tab w:val="right" w:leader="dot" w:pos="9628"/>
        </w:tabs>
        <w:rPr>
          <w:rFonts w:hint="eastAsia"/>
        </w:rPr>
      </w:pP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聊城市公共资源交易中心：</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银发【2019】41号文件《中国人民银行关于取消企业银行账户许可的通知》，我单位已无法办理银行开户许可证证件，特使用加盖开户行有关印章的银行账户管理系统内打印的《基本存款账户信息》及本承诺书作为法律效力的同等替代。</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我公司保证基本存款账户信息的准确性，同意承担基本存款账户变更后仍虚假使用此账户作为基本存款账户参与招投标项目评审的违法违规行为的法律后果，并对因更新不及时产生的其他法律后果负责。</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638" w:firstLineChars="266"/>
        <w:textAlignment w:val="auto"/>
        <w:rPr>
          <w:rFonts w:hint="eastAsia" w:ascii="宋体" w:hAnsi="宋体" w:eastAsia="宋体" w:cs="宋体"/>
          <w:sz w:val="24"/>
          <w:szCs w:val="24"/>
        </w:rPr>
      </w:pPr>
      <w:r>
        <w:rPr>
          <w:rFonts w:hint="eastAsia" w:ascii="宋体" w:hAnsi="宋体" w:eastAsia="宋体" w:cs="宋体"/>
          <w:sz w:val="24"/>
          <w:szCs w:val="24"/>
        </w:rPr>
        <w:t>账户名称：</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638" w:firstLineChars="266"/>
        <w:textAlignment w:val="auto"/>
        <w:rPr>
          <w:rFonts w:hint="eastAsia" w:ascii="宋体" w:hAnsi="宋体" w:eastAsia="宋体" w:cs="宋体"/>
          <w:sz w:val="24"/>
          <w:szCs w:val="24"/>
        </w:rPr>
      </w:pPr>
      <w:r>
        <w:rPr>
          <w:rFonts w:hint="eastAsia" w:ascii="宋体" w:hAnsi="宋体" w:eastAsia="宋体" w:cs="宋体"/>
          <w:sz w:val="24"/>
          <w:szCs w:val="24"/>
        </w:rPr>
        <w:t>账户号码：</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638" w:firstLineChars="266"/>
        <w:textAlignment w:val="auto"/>
        <w:rPr>
          <w:rFonts w:hint="eastAsia" w:ascii="宋体" w:hAnsi="宋体" w:eastAsia="宋体" w:cs="宋体"/>
          <w:sz w:val="24"/>
          <w:szCs w:val="24"/>
        </w:rPr>
      </w:pPr>
      <w:r>
        <w:rPr>
          <w:rFonts w:hint="eastAsia" w:ascii="宋体" w:hAnsi="宋体" w:eastAsia="宋体" w:cs="宋体"/>
          <w:sz w:val="24"/>
          <w:szCs w:val="24"/>
        </w:rPr>
        <w:t>开户银行：</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638" w:firstLineChars="266"/>
        <w:textAlignment w:val="auto"/>
        <w:rPr>
          <w:rFonts w:hint="eastAsia" w:ascii="宋体" w:hAnsi="宋体" w:eastAsia="宋体" w:cs="宋体"/>
          <w:sz w:val="24"/>
          <w:szCs w:val="24"/>
        </w:rPr>
      </w:pPr>
      <w:r>
        <w:rPr>
          <w:rFonts w:hint="eastAsia" w:ascii="宋体" w:hAnsi="宋体" w:eastAsia="宋体" w:cs="宋体"/>
          <w:sz w:val="24"/>
          <w:szCs w:val="24"/>
        </w:rPr>
        <w:t>基本存款账户编号：</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3998" w:firstLineChars="1666"/>
        <w:textAlignment w:val="auto"/>
        <w:rPr>
          <w:rFonts w:hint="eastAsia" w:ascii="宋体" w:hAnsi="宋体" w:eastAsia="宋体" w:cs="宋体"/>
          <w:sz w:val="24"/>
          <w:szCs w:val="24"/>
        </w:rPr>
      </w:pP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3998" w:firstLineChars="1666"/>
        <w:textAlignment w:val="auto"/>
        <w:rPr>
          <w:rFonts w:hint="eastAsia" w:ascii="宋体" w:hAnsi="宋体" w:eastAsia="宋体" w:cs="宋体"/>
          <w:sz w:val="24"/>
          <w:szCs w:val="24"/>
        </w:rPr>
      </w:pPr>
      <w:r>
        <w:rPr>
          <w:rFonts w:hint="eastAsia" w:ascii="宋体" w:hAnsi="宋体" w:eastAsia="宋体" w:cs="宋体"/>
          <w:sz w:val="24"/>
          <w:szCs w:val="24"/>
        </w:rPr>
        <w:t>法定代表人（签字或盖章）：</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3998" w:firstLineChars="1666"/>
        <w:textAlignment w:val="auto"/>
        <w:rPr>
          <w:rFonts w:hint="eastAsia" w:ascii="宋体" w:hAnsi="宋体" w:eastAsia="宋体" w:cs="宋体"/>
          <w:sz w:val="24"/>
          <w:szCs w:val="24"/>
        </w:rPr>
      </w:pPr>
      <w:r>
        <w:rPr>
          <w:rFonts w:hint="eastAsia" w:ascii="宋体" w:hAnsi="宋体" w:eastAsia="宋体" w:cs="宋体"/>
          <w:sz w:val="24"/>
          <w:szCs w:val="24"/>
        </w:rPr>
        <w:t xml:space="preserve">承诺公司（盖章）：                                 </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left="0" w:leftChars="0" w:firstLine="3998" w:firstLineChars="1666"/>
        <w:textAlignment w:val="auto"/>
        <w:rPr>
          <w:rFonts w:hint="eastAsia" w:ascii="宋体" w:hAnsi="宋体" w:eastAsia="宋体" w:cs="宋体"/>
          <w:sz w:val="24"/>
          <w:szCs w:val="24"/>
        </w:rPr>
      </w:pPr>
      <w:r>
        <w:rPr>
          <w:rFonts w:hint="eastAsia" w:ascii="宋体" w:hAnsi="宋体" w:eastAsia="宋体" w:cs="宋体"/>
          <w:sz w:val="24"/>
          <w:szCs w:val="24"/>
        </w:rPr>
        <w:t>年    月    日</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textAlignment w:val="auto"/>
        <w:rPr>
          <w:rFonts w:hint="eastAsia"/>
        </w:rPr>
      </w:pP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textAlignment w:val="auto"/>
        <w:rPr>
          <w:rFonts w:hint="eastAsia"/>
        </w:rPr>
      </w:pP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另附：加盖开户行有关印章</w:t>
      </w:r>
      <w:r>
        <w:rPr>
          <w:rFonts w:hint="eastAsia"/>
          <w:sz w:val="24"/>
          <w:szCs w:val="24"/>
          <w:lang w:val="en-US" w:eastAsia="zh-CN"/>
        </w:rPr>
        <w:t>的</w:t>
      </w:r>
      <w:r>
        <w:rPr>
          <w:rFonts w:hint="eastAsia"/>
          <w:sz w:val="24"/>
          <w:szCs w:val="24"/>
        </w:rPr>
        <w:t>银行账户信息系统打印的《基本存款账户信息》。</w:t>
      </w:r>
    </w:p>
    <w:p>
      <w:pPr>
        <w:pStyle w:val="18"/>
        <w:keepNext w:val="0"/>
        <w:keepLines w:val="0"/>
        <w:pageBreakBefore w:val="0"/>
        <w:widowControl w:val="0"/>
        <w:tabs>
          <w:tab w:val="right" w:leader="dot" w:pos="9628"/>
        </w:tabs>
        <w:kinsoku/>
        <w:wordWrap/>
        <w:overflowPunct/>
        <w:topLinePunct w:val="0"/>
        <w:autoSpaceDE/>
        <w:autoSpaceDN/>
        <w:bidi w:val="0"/>
        <w:adjustRightInd/>
        <w:snapToGrid/>
        <w:spacing w:line="360" w:lineRule="auto"/>
        <w:textAlignment w:val="auto"/>
        <w:rPr>
          <w:rFonts w:hint="eastAsia"/>
          <w:sz w:val="24"/>
          <w:szCs w:val="24"/>
        </w:rPr>
      </w:pPr>
    </w:p>
    <w:p>
      <w:pPr>
        <w:pStyle w:val="2"/>
        <w:ind w:left="0" w:leftChars="0" w:firstLine="0" w:firstLineChars="0"/>
        <w:rPr>
          <w:rFonts w:hint="eastAsia" w:ascii="宋体" w:hAnsi="宋体" w:cs="宋体"/>
          <w:sz w:val="22"/>
          <w:szCs w:val="22"/>
        </w:rPr>
      </w:pPr>
    </w:p>
    <w:p>
      <w:pPr>
        <w:pStyle w:val="2"/>
        <w:ind w:left="0" w:leftChars="0" w:firstLine="0" w:firstLineChars="0"/>
        <w:rPr>
          <w:rFonts w:hint="eastAsia" w:ascii="宋体" w:hAnsi="宋体" w:cs="宋体"/>
          <w:sz w:val="22"/>
          <w:szCs w:val="22"/>
        </w:rPr>
      </w:pPr>
    </w:p>
    <w:p>
      <w:pPr>
        <w:pStyle w:val="2"/>
        <w:ind w:left="0" w:leftChars="0" w:firstLine="0" w:firstLineChars="0"/>
        <w:rPr>
          <w:rFonts w:hint="eastAsia" w:ascii="宋体" w:hAnsi="宋体" w:cs="宋体"/>
          <w:sz w:val="22"/>
          <w:szCs w:val="22"/>
        </w:rPr>
      </w:pPr>
    </w:p>
    <w:p>
      <w:pPr>
        <w:pStyle w:val="2"/>
        <w:ind w:left="0" w:leftChars="0" w:firstLine="0" w:firstLineChars="0"/>
        <w:rPr>
          <w:rFonts w:hint="eastAsia" w:ascii="宋体" w:hAnsi="宋体" w:cs="宋体"/>
          <w:sz w:val="22"/>
          <w:szCs w:val="22"/>
        </w:rPr>
      </w:pPr>
    </w:p>
    <w:p>
      <w:pPr>
        <w:rPr>
          <w:rFonts w:hint="eastAsia" w:ascii="宋体" w:hAnsi="宋体" w:cs="宋体"/>
          <w:sz w:val="22"/>
          <w:szCs w:val="22"/>
        </w:rPr>
      </w:pPr>
    </w:p>
    <w:p>
      <w:pPr>
        <w:pStyle w:val="18"/>
        <w:rPr>
          <w:rFonts w:hint="eastAsia" w:ascii="宋体" w:hAnsi="宋体" w:cs="宋体"/>
          <w:sz w:val="22"/>
          <w:szCs w:val="22"/>
        </w:rPr>
      </w:pPr>
    </w:p>
    <w:p>
      <w:pPr>
        <w:rPr>
          <w:rFonts w:hint="eastAsia" w:ascii="宋体" w:hAnsi="宋体" w:cs="宋体"/>
          <w:sz w:val="22"/>
          <w:szCs w:val="22"/>
        </w:rPr>
      </w:pPr>
    </w:p>
    <w:p>
      <w:pPr>
        <w:pStyle w:val="18"/>
        <w:rPr>
          <w:rFonts w:hint="eastAsia" w:ascii="宋体" w:hAnsi="宋体" w:cs="宋体"/>
          <w:sz w:val="22"/>
          <w:szCs w:val="22"/>
        </w:rPr>
      </w:pPr>
    </w:p>
    <w:p>
      <w:pPr>
        <w:rPr>
          <w:rFonts w:hint="eastAsia" w:ascii="宋体" w:hAnsi="宋体" w:cs="宋体"/>
          <w:sz w:val="22"/>
          <w:szCs w:val="22"/>
        </w:rPr>
      </w:pPr>
    </w:p>
    <w:p>
      <w:pPr>
        <w:rPr>
          <w:rFonts w:ascii="宋体" w:hAnsi="宋体" w:cs="宋体"/>
          <w:b/>
          <w:sz w:val="30"/>
          <w:szCs w:val="22"/>
        </w:rPr>
      </w:pPr>
      <w:r>
        <w:rPr>
          <w:rFonts w:hint="eastAsia" w:ascii="宋体" w:hAnsi="宋体" w:cs="宋体"/>
          <w:b/>
          <w:sz w:val="30"/>
          <w:szCs w:val="22"/>
        </w:rPr>
        <w:br w:type="page"/>
      </w:r>
      <w:r>
        <w:rPr>
          <w:rFonts w:hint="eastAsia" w:ascii="宋体" w:hAnsi="宋体" w:cs="宋体"/>
          <w:b/>
          <w:sz w:val="30"/>
          <w:szCs w:val="22"/>
        </w:rPr>
        <w:t>附件：</w:t>
      </w:r>
    </w:p>
    <w:p>
      <w:pPr>
        <w:numPr>
          <w:ilvl w:val="0"/>
          <w:numId w:val="6"/>
        </w:numPr>
        <w:rPr>
          <w:rFonts w:ascii="宋体" w:hAnsi="宋体" w:cs="宋体"/>
          <w:sz w:val="22"/>
          <w:szCs w:val="22"/>
        </w:rPr>
      </w:pPr>
      <w:r>
        <w:rPr>
          <w:rFonts w:hint="eastAsia" w:ascii="宋体" w:hAnsi="宋体" w:cs="宋体"/>
          <w:sz w:val="22"/>
          <w:szCs w:val="22"/>
        </w:rPr>
        <w:t>投标人基本情况表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456"/>
        <w:gridCol w:w="6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1</w:t>
            </w:r>
          </w:p>
        </w:tc>
        <w:tc>
          <w:tcPr>
            <w:tcW w:w="2456" w:type="dxa"/>
            <w:vAlign w:val="center"/>
          </w:tcPr>
          <w:p>
            <w:pPr>
              <w:jc w:val="center"/>
              <w:rPr>
                <w:rFonts w:ascii="宋体" w:hAnsi="宋体" w:cs="宋体"/>
              </w:rPr>
            </w:pPr>
            <w:r>
              <w:rPr>
                <w:rFonts w:hint="eastAsia" w:ascii="宋体" w:hAnsi="宋体" w:cs="宋体"/>
              </w:rPr>
              <w:t>企业名称</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2</w:t>
            </w:r>
          </w:p>
        </w:tc>
        <w:tc>
          <w:tcPr>
            <w:tcW w:w="2456" w:type="dxa"/>
            <w:vAlign w:val="center"/>
          </w:tcPr>
          <w:p>
            <w:pPr>
              <w:jc w:val="center"/>
              <w:rPr>
                <w:rFonts w:ascii="宋体" w:hAnsi="宋体" w:cs="宋体"/>
              </w:rPr>
            </w:pPr>
            <w:r>
              <w:rPr>
                <w:rFonts w:hint="eastAsia" w:ascii="宋体" w:hAnsi="宋体" w:cs="宋体"/>
              </w:rPr>
              <w:t>总部地址</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3</w:t>
            </w:r>
          </w:p>
        </w:tc>
        <w:tc>
          <w:tcPr>
            <w:tcW w:w="2456" w:type="dxa"/>
            <w:vAlign w:val="center"/>
          </w:tcPr>
          <w:p>
            <w:pPr>
              <w:jc w:val="center"/>
              <w:rPr>
                <w:rFonts w:ascii="宋体" w:hAnsi="宋体" w:cs="宋体"/>
              </w:rPr>
            </w:pPr>
            <w:r>
              <w:rPr>
                <w:rFonts w:hint="eastAsia" w:ascii="宋体" w:hAnsi="宋体" w:cs="宋体"/>
              </w:rPr>
              <w:t>当地代表处地址</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4</w:t>
            </w:r>
          </w:p>
        </w:tc>
        <w:tc>
          <w:tcPr>
            <w:tcW w:w="2456" w:type="dxa"/>
            <w:vAlign w:val="center"/>
          </w:tcPr>
          <w:p>
            <w:pPr>
              <w:jc w:val="center"/>
              <w:rPr>
                <w:rFonts w:ascii="宋体" w:hAnsi="宋体" w:cs="宋体"/>
              </w:rPr>
            </w:pPr>
            <w:r>
              <w:rPr>
                <w:rFonts w:hint="eastAsia" w:ascii="宋体" w:hAnsi="宋体" w:cs="宋体"/>
              </w:rPr>
              <w:t>电话</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5</w:t>
            </w:r>
          </w:p>
        </w:tc>
        <w:tc>
          <w:tcPr>
            <w:tcW w:w="2456" w:type="dxa"/>
            <w:vAlign w:val="center"/>
          </w:tcPr>
          <w:p>
            <w:pPr>
              <w:jc w:val="center"/>
              <w:rPr>
                <w:rFonts w:ascii="宋体" w:hAnsi="宋体" w:cs="宋体"/>
              </w:rPr>
            </w:pPr>
            <w:r>
              <w:rPr>
                <w:rFonts w:hint="eastAsia" w:ascii="宋体" w:hAnsi="宋体" w:cs="宋体"/>
              </w:rPr>
              <w:t>传真</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6</w:t>
            </w:r>
          </w:p>
        </w:tc>
        <w:tc>
          <w:tcPr>
            <w:tcW w:w="2456" w:type="dxa"/>
            <w:vAlign w:val="center"/>
          </w:tcPr>
          <w:p>
            <w:pPr>
              <w:jc w:val="center"/>
              <w:rPr>
                <w:rFonts w:ascii="宋体" w:hAnsi="宋体" w:cs="宋体"/>
              </w:rPr>
            </w:pPr>
            <w:r>
              <w:rPr>
                <w:rFonts w:hint="eastAsia" w:ascii="宋体" w:hAnsi="宋体" w:cs="宋体"/>
              </w:rPr>
              <w:t>法定代表人</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7</w:t>
            </w:r>
          </w:p>
        </w:tc>
        <w:tc>
          <w:tcPr>
            <w:tcW w:w="2456" w:type="dxa"/>
            <w:vAlign w:val="center"/>
          </w:tcPr>
          <w:p>
            <w:pPr>
              <w:jc w:val="center"/>
              <w:rPr>
                <w:rFonts w:ascii="宋体" w:hAnsi="宋体" w:cs="宋体"/>
              </w:rPr>
            </w:pPr>
            <w:r>
              <w:rPr>
                <w:rFonts w:hint="eastAsia" w:ascii="宋体" w:hAnsi="宋体" w:cs="宋体"/>
              </w:rPr>
              <w:t>法人授权代表</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8</w:t>
            </w:r>
          </w:p>
        </w:tc>
        <w:tc>
          <w:tcPr>
            <w:tcW w:w="2456" w:type="dxa"/>
            <w:vAlign w:val="center"/>
          </w:tcPr>
          <w:p>
            <w:pPr>
              <w:jc w:val="center"/>
              <w:rPr>
                <w:rFonts w:ascii="宋体" w:hAnsi="宋体" w:cs="宋体"/>
              </w:rPr>
            </w:pPr>
            <w:r>
              <w:rPr>
                <w:rFonts w:hint="eastAsia" w:ascii="宋体" w:hAnsi="宋体" w:cs="宋体"/>
              </w:rPr>
              <w:t>电子邮箱</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9</w:t>
            </w:r>
          </w:p>
        </w:tc>
        <w:tc>
          <w:tcPr>
            <w:tcW w:w="2456" w:type="dxa"/>
            <w:vAlign w:val="center"/>
          </w:tcPr>
          <w:p>
            <w:pPr>
              <w:jc w:val="center"/>
              <w:rPr>
                <w:rFonts w:ascii="宋体" w:hAnsi="宋体" w:cs="宋体"/>
              </w:rPr>
            </w:pPr>
            <w:r>
              <w:rPr>
                <w:rFonts w:hint="eastAsia" w:ascii="宋体" w:hAnsi="宋体" w:cs="宋体"/>
              </w:rPr>
              <w:t>注册地</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10</w:t>
            </w:r>
          </w:p>
        </w:tc>
        <w:tc>
          <w:tcPr>
            <w:tcW w:w="2456" w:type="dxa"/>
            <w:vAlign w:val="center"/>
          </w:tcPr>
          <w:p>
            <w:pPr>
              <w:jc w:val="center"/>
              <w:rPr>
                <w:rFonts w:ascii="宋体" w:hAnsi="宋体" w:cs="宋体"/>
              </w:rPr>
            </w:pPr>
            <w:r>
              <w:rPr>
                <w:rFonts w:hint="eastAsia" w:ascii="宋体" w:hAnsi="宋体" w:cs="宋体"/>
              </w:rPr>
              <w:t>注册年份</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11</w:t>
            </w:r>
          </w:p>
        </w:tc>
        <w:tc>
          <w:tcPr>
            <w:tcW w:w="2456" w:type="dxa"/>
            <w:vAlign w:val="center"/>
          </w:tcPr>
          <w:p>
            <w:pPr>
              <w:jc w:val="center"/>
              <w:rPr>
                <w:rFonts w:ascii="宋体" w:hAnsi="宋体" w:cs="宋体"/>
              </w:rPr>
            </w:pPr>
            <w:r>
              <w:rPr>
                <w:rFonts w:hint="eastAsia" w:ascii="宋体" w:hAnsi="宋体" w:cs="宋体"/>
              </w:rPr>
              <w:t>主营范围</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12</w:t>
            </w:r>
          </w:p>
        </w:tc>
        <w:tc>
          <w:tcPr>
            <w:tcW w:w="2456" w:type="dxa"/>
            <w:vAlign w:val="center"/>
          </w:tcPr>
          <w:p>
            <w:pPr>
              <w:jc w:val="center"/>
              <w:rPr>
                <w:rFonts w:ascii="宋体" w:hAnsi="宋体" w:cs="宋体"/>
              </w:rPr>
            </w:pPr>
            <w:r>
              <w:rPr>
                <w:rFonts w:hint="eastAsia" w:ascii="宋体" w:hAnsi="宋体" w:cs="宋体"/>
              </w:rPr>
              <w:t>公司资质证书编号</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13</w:t>
            </w:r>
          </w:p>
        </w:tc>
        <w:tc>
          <w:tcPr>
            <w:tcW w:w="2456" w:type="dxa"/>
            <w:vAlign w:val="center"/>
          </w:tcPr>
          <w:p>
            <w:pPr>
              <w:jc w:val="center"/>
              <w:rPr>
                <w:rFonts w:ascii="宋体" w:hAnsi="宋体" w:cs="宋体"/>
              </w:rPr>
            </w:pPr>
            <w:r>
              <w:rPr>
                <w:rFonts w:hint="eastAsia" w:ascii="宋体" w:hAnsi="宋体" w:cs="宋体"/>
              </w:rPr>
              <w:t>开户行名称</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14</w:t>
            </w:r>
          </w:p>
        </w:tc>
        <w:tc>
          <w:tcPr>
            <w:tcW w:w="2456" w:type="dxa"/>
            <w:vAlign w:val="center"/>
          </w:tcPr>
          <w:p>
            <w:pPr>
              <w:jc w:val="center"/>
              <w:rPr>
                <w:rFonts w:ascii="宋体" w:hAnsi="宋体" w:cs="宋体"/>
              </w:rPr>
            </w:pPr>
            <w:r>
              <w:rPr>
                <w:rFonts w:hint="eastAsia" w:ascii="宋体" w:hAnsi="宋体" w:cs="宋体"/>
              </w:rPr>
              <w:t>开户行账号</w:t>
            </w:r>
          </w:p>
        </w:tc>
        <w:tc>
          <w:tcPr>
            <w:tcW w:w="6182" w:type="dxa"/>
            <w:vAlign w:val="center"/>
          </w:tcPr>
          <w:p>
            <w:pPr>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05" w:type="dxa"/>
            <w:vAlign w:val="center"/>
          </w:tcPr>
          <w:p>
            <w:pPr>
              <w:jc w:val="center"/>
              <w:rPr>
                <w:rFonts w:ascii="宋体" w:hAnsi="宋体" w:cs="宋体"/>
              </w:rPr>
            </w:pPr>
            <w:r>
              <w:rPr>
                <w:rFonts w:hint="eastAsia" w:ascii="宋体" w:hAnsi="宋体" w:cs="宋体"/>
              </w:rPr>
              <w:t>15</w:t>
            </w:r>
          </w:p>
        </w:tc>
        <w:tc>
          <w:tcPr>
            <w:tcW w:w="2456" w:type="dxa"/>
            <w:vAlign w:val="center"/>
          </w:tcPr>
          <w:p>
            <w:pPr>
              <w:jc w:val="center"/>
              <w:rPr>
                <w:rFonts w:ascii="宋体" w:hAnsi="宋体" w:cs="宋体"/>
              </w:rPr>
            </w:pPr>
            <w:r>
              <w:rPr>
                <w:rFonts w:hint="eastAsia" w:ascii="宋体" w:hAnsi="宋体" w:cs="宋体"/>
              </w:rPr>
              <w:t>其他需要说明的情况</w:t>
            </w:r>
          </w:p>
        </w:tc>
        <w:tc>
          <w:tcPr>
            <w:tcW w:w="6182" w:type="dxa"/>
            <w:vAlign w:val="center"/>
          </w:tcPr>
          <w:p>
            <w:pPr>
              <w:jc w:val="center"/>
              <w:rPr>
                <w:rFonts w:ascii="宋体" w:hAnsi="宋体" w:cs="宋体"/>
              </w:rPr>
            </w:pPr>
          </w:p>
        </w:tc>
      </w:tr>
    </w:tbl>
    <w:p>
      <w:pPr>
        <w:pStyle w:val="55"/>
        <w:snapToGrid w:val="0"/>
        <w:spacing w:before="100" w:beforeAutospacing="1" w:after="100" w:afterAutospacing="1" w:line="384" w:lineRule="auto"/>
        <w:jc w:val="center"/>
        <w:rPr>
          <w:rFonts w:hint="default" w:ascii="宋体" w:hAnsi="宋体" w:cs="宋体"/>
        </w:rPr>
      </w:pPr>
      <w:r>
        <w:rPr>
          <w:rFonts w:ascii="宋体" w:hAnsi="宋体" w:cs="宋体"/>
          <w:snapToGrid w:val="0"/>
          <w:sz w:val="27"/>
          <w:szCs w:val="27"/>
        </w:rPr>
        <w:t> </w:t>
      </w:r>
    </w:p>
    <w:p>
      <w:pPr>
        <w:pStyle w:val="55"/>
        <w:snapToGrid w:val="0"/>
        <w:spacing w:before="100" w:beforeAutospacing="1" w:after="100" w:afterAutospacing="1" w:line="384" w:lineRule="auto"/>
        <w:jc w:val="center"/>
        <w:rPr>
          <w:rFonts w:hint="default" w:ascii="宋体" w:hAnsi="宋体" w:cs="宋体"/>
        </w:rPr>
      </w:pPr>
      <w:r>
        <w:rPr>
          <w:rFonts w:ascii="宋体" w:hAnsi="宋体" w:cs="宋体"/>
          <w:snapToGrid w:val="0"/>
          <w:sz w:val="27"/>
          <w:szCs w:val="27"/>
        </w:rPr>
        <w:t> </w:t>
      </w:r>
    </w:p>
    <w:p>
      <w:pPr>
        <w:pStyle w:val="55"/>
        <w:snapToGrid w:val="0"/>
        <w:spacing w:before="100" w:beforeAutospacing="1" w:after="100" w:afterAutospacing="1" w:line="384" w:lineRule="auto"/>
        <w:jc w:val="center"/>
        <w:rPr>
          <w:rFonts w:hint="default" w:ascii="宋体" w:hAnsi="宋体" w:cs="宋体"/>
        </w:rPr>
      </w:pPr>
      <w:r>
        <w:rPr>
          <w:rFonts w:ascii="宋体" w:hAnsi="宋体" w:cs="宋体"/>
          <w:snapToGrid w:val="0"/>
          <w:sz w:val="27"/>
          <w:szCs w:val="27"/>
        </w:rPr>
        <w:t> </w:t>
      </w:r>
    </w:p>
    <w:p>
      <w:pPr>
        <w:pStyle w:val="2"/>
        <w:ind w:left="0" w:leftChars="0" w:firstLine="0" w:firstLineChars="0"/>
        <w:rPr>
          <w:rFonts w:hint="eastAsia"/>
        </w:rPr>
      </w:pPr>
      <w:r>
        <w:rPr>
          <w:rFonts w:hint="eastAsia" w:ascii="宋体" w:hAnsi="宋体" w:cs="宋体"/>
          <w:sz w:val="22"/>
          <w:szCs w:val="22"/>
        </w:rPr>
        <w:br w:type="page"/>
      </w:r>
    </w:p>
    <w:p>
      <w:pPr>
        <w:pStyle w:val="2"/>
        <w:ind w:left="0" w:leftChars="0" w:firstLine="0" w:firstLineChars="0"/>
        <w:rPr>
          <w:rFonts w:ascii="宋体" w:hAnsi="宋体" w:cs="宋体"/>
          <w:sz w:val="24"/>
        </w:rPr>
      </w:pPr>
      <w:r>
        <w:rPr>
          <w:rFonts w:hint="eastAsia" w:ascii="宋体" w:hAnsi="宋体" w:cs="宋体"/>
          <w:sz w:val="22"/>
          <w:szCs w:val="22"/>
        </w:rPr>
        <w:t>（二）</w:t>
      </w:r>
      <w:r>
        <w:rPr>
          <w:rFonts w:hint="eastAsia" w:ascii="宋体" w:hAnsi="宋体" w:cs="宋体"/>
          <w:sz w:val="24"/>
        </w:rPr>
        <w:t>近年财务状况表</w:t>
      </w:r>
    </w:p>
    <w:tbl>
      <w:tblPr>
        <w:tblStyle w:val="22"/>
        <w:tblW w:w="9654"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544"/>
        <w:gridCol w:w="3271"/>
        <w:gridCol w:w="4839"/>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1544"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年度</w:t>
            </w:r>
          </w:p>
        </w:tc>
        <w:tc>
          <w:tcPr>
            <w:tcW w:w="3271"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说明</w:t>
            </w:r>
          </w:p>
        </w:tc>
        <w:tc>
          <w:tcPr>
            <w:tcW w:w="4839"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查看</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1544"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7"/>
                <w:szCs w:val="27"/>
              </w:rPr>
            </w:pPr>
          </w:p>
        </w:tc>
        <w:tc>
          <w:tcPr>
            <w:tcW w:w="3271"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7"/>
                <w:szCs w:val="27"/>
              </w:rPr>
            </w:pPr>
          </w:p>
        </w:tc>
        <w:tc>
          <w:tcPr>
            <w:tcW w:w="4839"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7"/>
                <w:szCs w:val="27"/>
              </w:rPr>
            </w:pPr>
          </w:p>
        </w:tc>
      </w:tr>
    </w:tbl>
    <w:p>
      <w:pPr>
        <w:pStyle w:val="2"/>
        <w:ind w:left="420" w:firstLine="440"/>
        <w:jc w:val="center"/>
        <w:rPr>
          <w:rFonts w:ascii="宋体" w:hAnsi="宋体" w:cs="宋体"/>
          <w:sz w:val="22"/>
          <w:szCs w:val="22"/>
        </w:rPr>
      </w:pPr>
    </w:p>
    <w:p>
      <w:pPr>
        <w:pStyle w:val="2"/>
        <w:ind w:left="0" w:leftChars="0" w:firstLine="0" w:firstLineChars="0"/>
        <w:rPr>
          <w:rFonts w:ascii="宋体" w:hAnsi="宋体" w:cs="宋体"/>
          <w:sz w:val="22"/>
          <w:szCs w:val="22"/>
        </w:rPr>
      </w:pPr>
      <w:r>
        <w:rPr>
          <w:rFonts w:hint="eastAsia" w:ascii="宋体" w:hAnsi="宋体" w:cs="宋体"/>
          <w:sz w:val="22"/>
          <w:szCs w:val="22"/>
        </w:rPr>
        <w:t>（三）</w:t>
      </w:r>
      <w:r>
        <w:rPr>
          <w:rFonts w:hint="eastAsia" w:ascii="宋体" w:hAnsi="宋体" w:cs="宋体"/>
          <w:sz w:val="24"/>
        </w:rPr>
        <w:t>投标需要说明的其它材料</w:t>
      </w:r>
    </w:p>
    <w:tbl>
      <w:tblPr>
        <w:tblStyle w:val="22"/>
        <w:tblW w:w="9656"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4801"/>
        <w:gridCol w:w="4855"/>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801"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0" w:firstLineChars="0"/>
              <w:jc w:val="center"/>
              <w:rPr>
                <w:rFonts w:ascii="宋体" w:hAnsi="宋体" w:cs="宋体"/>
                <w:sz w:val="24"/>
              </w:rPr>
            </w:pPr>
            <w:r>
              <w:rPr>
                <w:rFonts w:hint="eastAsia" w:ascii="宋体" w:hAnsi="宋体" w:cs="宋体"/>
                <w:sz w:val="24"/>
              </w:rPr>
              <w:t>材料名称</w:t>
            </w:r>
          </w:p>
        </w:tc>
        <w:tc>
          <w:tcPr>
            <w:tcW w:w="4855"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0" w:firstLineChars="0"/>
              <w:jc w:val="center"/>
              <w:rPr>
                <w:rFonts w:ascii="宋体" w:hAnsi="宋体" w:cs="宋体"/>
                <w:sz w:val="24"/>
              </w:rPr>
            </w:pPr>
            <w:r>
              <w:rPr>
                <w:rFonts w:hint="eastAsia" w:ascii="宋体" w:hAnsi="宋体" w:cs="宋体"/>
                <w:sz w:val="24"/>
              </w:rPr>
              <w:t>查看</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801"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440"/>
              <w:jc w:val="center"/>
              <w:rPr>
                <w:rFonts w:ascii="宋体" w:hAnsi="宋体" w:cs="宋体"/>
                <w:sz w:val="22"/>
                <w:szCs w:val="22"/>
              </w:rPr>
            </w:pPr>
          </w:p>
        </w:tc>
        <w:tc>
          <w:tcPr>
            <w:tcW w:w="4855"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440"/>
              <w:jc w:val="center"/>
              <w:rPr>
                <w:rFonts w:ascii="宋体" w:hAnsi="宋体" w:cs="宋体"/>
                <w:sz w:val="22"/>
                <w:szCs w:val="22"/>
              </w:rPr>
            </w:pPr>
          </w:p>
        </w:tc>
      </w:tr>
    </w:tbl>
    <w:p>
      <w:pPr>
        <w:pStyle w:val="21"/>
        <w:spacing w:line="384" w:lineRule="auto"/>
      </w:pPr>
      <w:r>
        <w:rPr>
          <w:rFonts w:hint="eastAsia"/>
        </w:rPr>
        <w:t>（四）依法缴纳税收的证明</w:t>
      </w:r>
    </w:p>
    <w:tbl>
      <w:tblPr>
        <w:tblStyle w:val="22"/>
        <w:tblW w:w="9656"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4801"/>
        <w:gridCol w:w="4855"/>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PrEx>
        <w:trPr>
          <w:jc w:val="center"/>
        </w:trPr>
        <w:tc>
          <w:tcPr>
            <w:tcW w:w="4801"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0" w:firstLineChars="0"/>
              <w:jc w:val="center"/>
              <w:rPr>
                <w:rFonts w:ascii="宋体" w:hAnsi="宋体" w:cs="宋体"/>
                <w:sz w:val="24"/>
              </w:rPr>
            </w:pPr>
            <w:r>
              <w:rPr>
                <w:rFonts w:hint="eastAsia" w:ascii="宋体" w:hAnsi="宋体" w:cs="宋体"/>
                <w:sz w:val="24"/>
              </w:rPr>
              <w:t>证书名称</w:t>
            </w:r>
          </w:p>
        </w:tc>
        <w:tc>
          <w:tcPr>
            <w:tcW w:w="4855"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0" w:firstLineChars="0"/>
              <w:jc w:val="center"/>
              <w:rPr>
                <w:rFonts w:ascii="宋体" w:hAnsi="宋体" w:cs="宋体"/>
                <w:sz w:val="24"/>
              </w:rPr>
            </w:pPr>
            <w:r>
              <w:rPr>
                <w:rFonts w:hint="eastAsia" w:ascii="宋体" w:hAnsi="宋体" w:cs="宋体"/>
                <w:sz w:val="24"/>
              </w:rPr>
              <w:t>查看</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801"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440"/>
              <w:jc w:val="center"/>
              <w:rPr>
                <w:rFonts w:ascii="宋体" w:hAnsi="宋体" w:cs="宋体"/>
                <w:sz w:val="22"/>
                <w:szCs w:val="22"/>
              </w:rPr>
            </w:pPr>
          </w:p>
        </w:tc>
        <w:tc>
          <w:tcPr>
            <w:tcW w:w="4855"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440"/>
              <w:jc w:val="center"/>
              <w:rPr>
                <w:rFonts w:ascii="宋体" w:hAnsi="宋体" w:cs="宋体"/>
                <w:sz w:val="22"/>
                <w:szCs w:val="22"/>
              </w:rPr>
            </w:pPr>
          </w:p>
        </w:tc>
      </w:tr>
    </w:tbl>
    <w:p>
      <w:pPr>
        <w:pStyle w:val="21"/>
        <w:spacing w:line="384" w:lineRule="auto"/>
      </w:pPr>
    </w:p>
    <w:p>
      <w:pPr>
        <w:pStyle w:val="21"/>
        <w:spacing w:line="384" w:lineRule="auto"/>
      </w:pPr>
      <w:r>
        <w:rPr>
          <w:rFonts w:hint="eastAsia"/>
        </w:rPr>
        <w:t>（五）依法缴纳社会保障资金证明</w:t>
      </w:r>
    </w:p>
    <w:tbl>
      <w:tblPr>
        <w:tblStyle w:val="22"/>
        <w:tblW w:w="9656"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4801"/>
        <w:gridCol w:w="4855"/>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PrEx>
        <w:trPr>
          <w:jc w:val="center"/>
        </w:trPr>
        <w:tc>
          <w:tcPr>
            <w:tcW w:w="4801"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0" w:firstLineChars="0"/>
              <w:jc w:val="center"/>
              <w:rPr>
                <w:rFonts w:ascii="宋体" w:hAnsi="宋体" w:cs="宋体"/>
                <w:sz w:val="24"/>
              </w:rPr>
            </w:pPr>
            <w:r>
              <w:rPr>
                <w:rFonts w:hint="eastAsia" w:ascii="宋体" w:hAnsi="宋体" w:cs="宋体"/>
                <w:sz w:val="24"/>
              </w:rPr>
              <w:t>材料名称</w:t>
            </w:r>
          </w:p>
        </w:tc>
        <w:tc>
          <w:tcPr>
            <w:tcW w:w="4855"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0" w:firstLineChars="0"/>
              <w:jc w:val="center"/>
              <w:rPr>
                <w:rFonts w:ascii="宋体" w:hAnsi="宋体" w:cs="宋体"/>
                <w:sz w:val="24"/>
              </w:rPr>
            </w:pPr>
            <w:r>
              <w:rPr>
                <w:rFonts w:hint="eastAsia" w:ascii="宋体" w:hAnsi="宋体" w:cs="宋体"/>
                <w:sz w:val="24"/>
              </w:rPr>
              <w:t>查看</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801"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440"/>
              <w:jc w:val="center"/>
              <w:rPr>
                <w:rFonts w:ascii="宋体" w:hAnsi="宋体" w:cs="宋体"/>
                <w:sz w:val="22"/>
                <w:szCs w:val="22"/>
              </w:rPr>
            </w:pPr>
          </w:p>
        </w:tc>
        <w:tc>
          <w:tcPr>
            <w:tcW w:w="4855" w:type="dxa"/>
            <w:tcBorders>
              <w:top w:val="outset" w:color="auto" w:sz="6" w:space="0"/>
              <w:left w:val="outset" w:color="auto" w:sz="6" w:space="0"/>
              <w:bottom w:val="outset" w:color="auto" w:sz="6" w:space="0"/>
              <w:right w:val="outset" w:color="auto" w:sz="6" w:space="0"/>
              <w:tl2br w:val="nil"/>
              <w:tr2bl w:val="nil"/>
            </w:tcBorders>
            <w:vAlign w:val="center"/>
          </w:tcPr>
          <w:p>
            <w:pPr>
              <w:pStyle w:val="2"/>
              <w:ind w:left="420" w:firstLine="440"/>
              <w:jc w:val="center"/>
              <w:rPr>
                <w:rFonts w:ascii="宋体" w:hAnsi="宋体" w:cs="宋体"/>
                <w:sz w:val="22"/>
                <w:szCs w:val="22"/>
              </w:rPr>
            </w:pPr>
          </w:p>
        </w:tc>
      </w:tr>
    </w:tbl>
    <w:p>
      <w:pPr>
        <w:rPr>
          <w:rFonts w:ascii="宋体" w:hAnsi="宋体" w:cs="宋体"/>
          <w:sz w:val="22"/>
          <w:szCs w:val="22"/>
        </w:rPr>
      </w:pPr>
      <w:r>
        <w:rPr>
          <w:rFonts w:hint="eastAsia" w:ascii="宋体" w:hAnsi="宋体" w:cs="宋体"/>
          <w:sz w:val="24"/>
          <w:szCs w:val="22"/>
        </w:rPr>
        <w:br w:type="page"/>
      </w:r>
      <w:r>
        <w:rPr>
          <w:rFonts w:hint="eastAsia" w:ascii="宋体" w:hAnsi="宋体" w:cs="宋体"/>
          <w:sz w:val="24"/>
          <w:szCs w:val="22"/>
        </w:rPr>
        <w:t>（六）具备履行合同所必需的设备和专业技术能力的证明材料，是指提供《履行合同的设备技术能力证明表》。</w:t>
      </w:r>
      <w:r>
        <w:rPr>
          <w:rFonts w:hint="eastAsia" w:ascii="宋体" w:hAnsi="宋体" w:cs="宋体"/>
          <w:vanish/>
          <w:sz w:val="27"/>
          <w:szCs w:val="27"/>
        </w:rPr>
        <w:t> </w:t>
      </w:r>
      <w:bookmarkStart w:id="84" w:name="_Hlk28885922"/>
    </w:p>
    <w:p>
      <w:pPr>
        <w:pStyle w:val="9"/>
        <w:jc w:val="center"/>
        <w:rPr>
          <w:rFonts w:ascii="宋体" w:hAnsi="宋体" w:eastAsia="宋体" w:cs="宋体"/>
          <w:sz w:val="30"/>
          <w:szCs w:val="30"/>
          <w:lang w:val="zh-CN"/>
        </w:rPr>
      </w:pPr>
      <w:r>
        <w:rPr>
          <w:rFonts w:hint="eastAsia" w:ascii="宋体" w:hAnsi="宋体" w:eastAsia="宋体" w:cs="宋体"/>
          <w:sz w:val="30"/>
          <w:szCs w:val="30"/>
          <w:lang w:val="zh-CN"/>
        </w:rPr>
        <w:t>履行合同的设备及技术能力证明表</w:t>
      </w:r>
    </w:p>
    <w:tbl>
      <w:tblPr>
        <w:tblStyle w:val="22"/>
        <w:tblW w:w="0" w:type="auto"/>
        <w:jc w:val="center"/>
        <w:tblLayout w:type="fixed"/>
        <w:tblCellMar>
          <w:top w:w="0" w:type="dxa"/>
          <w:left w:w="108" w:type="dxa"/>
          <w:bottom w:w="0" w:type="dxa"/>
          <w:right w:w="108" w:type="dxa"/>
        </w:tblCellMar>
      </w:tblPr>
      <w:tblGrid>
        <w:gridCol w:w="823"/>
        <w:gridCol w:w="1142"/>
        <w:gridCol w:w="1160"/>
        <w:gridCol w:w="1720"/>
        <w:gridCol w:w="1262"/>
        <w:gridCol w:w="1787"/>
        <w:gridCol w:w="1213"/>
      </w:tblGrid>
      <w:tr>
        <w:tblPrEx>
          <w:tblCellMar>
            <w:top w:w="0" w:type="dxa"/>
            <w:left w:w="108" w:type="dxa"/>
            <w:bottom w:w="0" w:type="dxa"/>
            <w:right w:w="108" w:type="dxa"/>
          </w:tblCellMar>
        </w:tblPrEx>
        <w:trPr>
          <w:trHeight w:val="843" w:hRule="atLeast"/>
          <w:jc w:val="center"/>
        </w:trPr>
        <w:tc>
          <w:tcPr>
            <w:tcW w:w="196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单位名称</w:t>
            </w:r>
          </w:p>
        </w:tc>
        <w:tc>
          <w:tcPr>
            <w:tcW w:w="7142" w:type="dxa"/>
            <w:gridSpan w:val="5"/>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r>
              <w:rPr>
                <w:rFonts w:hint="eastAsia" w:ascii="宋体" w:hAnsi="宋体" w:cs="宋体"/>
                <w:color w:val="000000"/>
                <w:sz w:val="24"/>
                <w:szCs w:val="22"/>
              </w:rPr>
              <w:t>（盖公章）</w:t>
            </w:r>
          </w:p>
        </w:tc>
      </w:tr>
      <w:tr>
        <w:tblPrEx>
          <w:tblCellMar>
            <w:top w:w="0" w:type="dxa"/>
            <w:left w:w="108" w:type="dxa"/>
            <w:bottom w:w="0" w:type="dxa"/>
            <w:right w:w="108" w:type="dxa"/>
          </w:tblCellMar>
        </w:tblPrEx>
        <w:trPr>
          <w:trHeight w:val="843" w:hRule="atLeast"/>
          <w:jc w:val="center"/>
        </w:trPr>
        <w:tc>
          <w:tcPr>
            <w:tcW w:w="196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技术人员数量</w:t>
            </w:r>
          </w:p>
        </w:tc>
        <w:tc>
          <w:tcPr>
            <w:tcW w:w="1160"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1720"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管理人员数量</w:t>
            </w:r>
          </w:p>
        </w:tc>
        <w:tc>
          <w:tcPr>
            <w:tcW w:w="1262"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1787"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生产人员数量</w:t>
            </w: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r>
      <w:tr>
        <w:tblPrEx>
          <w:tblCellMar>
            <w:top w:w="0" w:type="dxa"/>
            <w:left w:w="108" w:type="dxa"/>
            <w:bottom w:w="0" w:type="dxa"/>
            <w:right w:w="108" w:type="dxa"/>
          </w:tblCellMar>
        </w:tblPrEx>
        <w:trPr>
          <w:trHeight w:val="843" w:hRule="atLeast"/>
          <w:jc w:val="center"/>
        </w:trPr>
        <w:tc>
          <w:tcPr>
            <w:tcW w:w="9107" w:type="dxa"/>
            <w:gridSpan w:val="7"/>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设备</w:t>
            </w:r>
            <w:r>
              <w:rPr>
                <w:rFonts w:hint="eastAsia" w:ascii="宋体" w:hAnsi="宋体" w:cs="宋体"/>
                <w:color w:val="000000"/>
                <w:sz w:val="24"/>
                <w:szCs w:val="22"/>
                <w:lang w:val="en-US" w:eastAsia="zh-CN"/>
              </w:rPr>
              <w:t>仪器</w:t>
            </w:r>
            <w:r>
              <w:rPr>
                <w:rFonts w:hint="eastAsia" w:ascii="宋体" w:hAnsi="宋体" w:cs="宋体"/>
                <w:color w:val="000000"/>
                <w:sz w:val="24"/>
                <w:szCs w:val="22"/>
              </w:rPr>
              <w:t>情况</w:t>
            </w:r>
          </w:p>
        </w:tc>
      </w:tr>
      <w:tr>
        <w:tblPrEx>
          <w:tblCellMar>
            <w:top w:w="0" w:type="dxa"/>
            <w:left w:w="108" w:type="dxa"/>
            <w:bottom w:w="0" w:type="dxa"/>
            <w:right w:w="108" w:type="dxa"/>
          </w:tblCellMar>
        </w:tblPrEx>
        <w:trPr>
          <w:trHeight w:val="843" w:hRule="atLeast"/>
          <w:jc w:val="center"/>
        </w:trPr>
        <w:tc>
          <w:tcPr>
            <w:tcW w:w="82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r>
              <w:rPr>
                <w:rFonts w:hint="eastAsia" w:ascii="宋体" w:hAnsi="宋体" w:cs="宋体"/>
                <w:color w:val="000000"/>
                <w:sz w:val="24"/>
                <w:szCs w:val="22"/>
              </w:rPr>
              <w:t>序号</w:t>
            </w:r>
          </w:p>
        </w:tc>
        <w:tc>
          <w:tcPr>
            <w:tcW w:w="2302"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设备名称</w:t>
            </w:r>
          </w:p>
        </w:tc>
        <w:tc>
          <w:tcPr>
            <w:tcW w:w="4769" w:type="dxa"/>
            <w:gridSpan w:val="3"/>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设备规格</w:t>
            </w: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r>
              <w:rPr>
                <w:rFonts w:hint="eastAsia" w:ascii="宋体" w:hAnsi="宋体" w:cs="宋体"/>
                <w:color w:val="000000"/>
                <w:sz w:val="24"/>
                <w:szCs w:val="22"/>
              </w:rPr>
              <w:t>设备数量</w:t>
            </w:r>
          </w:p>
        </w:tc>
      </w:tr>
      <w:tr>
        <w:tblPrEx>
          <w:tblCellMar>
            <w:top w:w="0" w:type="dxa"/>
            <w:left w:w="108" w:type="dxa"/>
            <w:bottom w:w="0" w:type="dxa"/>
            <w:right w:w="108" w:type="dxa"/>
          </w:tblCellMar>
        </w:tblPrEx>
        <w:trPr>
          <w:trHeight w:val="843" w:hRule="atLeast"/>
          <w:jc w:val="center"/>
        </w:trPr>
        <w:tc>
          <w:tcPr>
            <w:tcW w:w="82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2302"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4769" w:type="dxa"/>
            <w:gridSpan w:val="3"/>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r>
      <w:tr>
        <w:tblPrEx>
          <w:tblCellMar>
            <w:top w:w="0" w:type="dxa"/>
            <w:left w:w="108" w:type="dxa"/>
            <w:bottom w:w="0" w:type="dxa"/>
            <w:right w:w="108" w:type="dxa"/>
          </w:tblCellMar>
        </w:tblPrEx>
        <w:trPr>
          <w:trHeight w:val="843" w:hRule="atLeast"/>
          <w:jc w:val="center"/>
        </w:trPr>
        <w:tc>
          <w:tcPr>
            <w:tcW w:w="82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2302"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4769" w:type="dxa"/>
            <w:gridSpan w:val="3"/>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r>
      <w:tr>
        <w:tblPrEx>
          <w:tblCellMar>
            <w:top w:w="0" w:type="dxa"/>
            <w:left w:w="108" w:type="dxa"/>
            <w:bottom w:w="0" w:type="dxa"/>
            <w:right w:w="108" w:type="dxa"/>
          </w:tblCellMar>
        </w:tblPrEx>
        <w:trPr>
          <w:trHeight w:val="843" w:hRule="atLeast"/>
          <w:jc w:val="center"/>
        </w:trPr>
        <w:tc>
          <w:tcPr>
            <w:tcW w:w="82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2302"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4769" w:type="dxa"/>
            <w:gridSpan w:val="3"/>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r>
      <w:tr>
        <w:tblPrEx>
          <w:tblCellMar>
            <w:top w:w="0" w:type="dxa"/>
            <w:left w:w="108" w:type="dxa"/>
            <w:bottom w:w="0" w:type="dxa"/>
            <w:right w:w="108" w:type="dxa"/>
          </w:tblCellMar>
        </w:tblPrEx>
        <w:trPr>
          <w:trHeight w:val="843" w:hRule="atLeast"/>
          <w:jc w:val="center"/>
        </w:trPr>
        <w:tc>
          <w:tcPr>
            <w:tcW w:w="82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2302"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4769" w:type="dxa"/>
            <w:gridSpan w:val="3"/>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r>
      <w:tr>
        <w:tblPrEx>
          <w:tblCellMar>
            <w:top w:w="0" w:type="dxa"/>
            <w:left w:w="108" w:type="dxa"/>
            <w:bottom w:w="0" w:type="dxa"/>
            <w:right w:w="108" w:type="dxa"/>
          </w:tblCellMar>
        </w:tblPrEx>
        <w:trPr>
          <w:trHeight w:val="843" w:hRule="atLeast"/>
          <w:jc w:val="center"/>
        </w:trPr>
        <w:tc>
          <w:tcPr>
            <w:tcW w:w="9107" w:type="dxa"/>
            <w:gridSpan w:val="7"/>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检验设备情况</w:t>
            </w:r>
          </w:p>
        </w:tc>
      </w:tr>
      <w:tr>
        <w:tblPrEx>
          <w:tblCellMar>
            <w:top w:w="0" w:type="dxa"/>
            <w:left w:w="108" w:type="dxa"/>
            <w:bottom w:w="0" w:type="dxa"/>
            <w:right w:w="108" w:type="dxa"/>
          </w:tblCellMar>
        </w:tblPrEx>
        <w:trPr>
          <w:trHeight w:val="843" w:hRule="atLeast"/>
          <w:jc w:val="center"/>
        </w:trPr>
        <w:tc>
          <w:tcPr>
            <w:tcW w:w="82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r>
              <w:rPr>
                <w:rFonts w:hint="eastAsia" w:ascii="宋体" w:hAnsi="宋体" w:cs="宋体"/>
                <w:color w:val="000000"/>
                <w:sz w:val="24"/>
                <w:szCs w:val="22"/>
              </w:rPr>
              <w:t>序号</w:t>
            </w:r>
          </w:p>
        </w:tc>
        <w:tc>
          <w:tcPr>
            <w:tcW w:w="2302"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设备名称</w:t>
            </w:r>
          </w:p>
        </w:tc>
        <w:tc>
          <w:tcPr>
            <w:tcW w:w="4769" w:type="dxa"/>
            <w:gridSpan w:val="3"/>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jc w:val="center"/>
              <w:rPr>
                <w:rFonts w:ascii="宋体" w:hAnsi="宋体" w:cs="宋体"/>
                <w:color w:val="000000"/>
                <w:sz w:val="24"/>
                <w:szCs w:val="22"/>
              </w:rPr>
            </w:pPr>
            <w:r>
              <w:rPr>
                <w:rFonts w:hint="eastAsia" w:ascii="宋体" w:hAnsi="宋体" w:cs="宋体"/>
                <w:color w:val="000000"/>
                <w:sz w:val="24"/>
                <w:szCs w:val="22"/>
              </w:rPr>
              <w:t>设备规格</w:t>
            </w: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r>
              <w:rPr>
                <w:rFonts w:hint="eastAsia" w:ascii="宋体" w:hAnsi="宋体" w:cs="宋体"/>
                <w:color w:val="000000"/>
                <w:sz w:val="24"/>
                <w:szCs w:val="22"/>
              </w:rPr>
              <w:t>设备数量</w:t>
            </w:r>
          </w:p>
        </w:tc>
      </w:tr>
      <w:tr>
        <w:tblPrEx>
          <w:tblCellMar>
            <w:top w:w="0" w:type="dxa"/>
            <w:left w:w="108" w:type="dxa"/>
            <w:bottom w:w="0" w:type="dxa"/>
            <w:right w:w="108" w:type="dxa"/>
          </w:tblCellMar>
        </w:tblPrEx>
        <w:trPr>
          <w:trHeight w:val="843" w:hRule="atLeast"/>
          <w:jc w:val="center"/>
        </w:trPr>
        <w:tc>
          <w:tcPr>
            <w:tcW w:w="82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2302" w:type="dxa"/>
            <w:gridSpan w:val="2"/>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4769" w:type="dxa"/>
            <w:gridSpan w:val="3"/>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c>
          <w:tcPr>
            <w:tcW w:w="1213" w:type="dxa"/>
            <w:tcBorders>
              <w:top w:val="single" w:color="auto" w:sz="6" w:space="0"/>
              <w:left w:val="single" w:color="auto" w:sz="6" w:space="0"/>
              <w:bottom w:val="single" w:color="auto" w:sz="6" w:space="0"/>
              <w:right w:val="single" w:color="auto" w:sz="6" w:space="0"/>
              <w:tl2br w:val="nil"/>
              <w:tr2bl w:val="nil"/>
            </w:tcBorders>
            <w:vAlign w:val="center"/>
          </w:tcPr>
          <w:p>
            <w:pPr>
              <w:adjustRightInd w:val="0"/>
              <w:spacing w:line="360" w:lineRule="auto"/>
              <w:rPr>
                <w:rFonts w:ascii="宋体" w:hAnsi="宋体" w:cs="宋体"/>
                <w:color w:val="000000"/>
                <w:sz w:val="24"/>
                <w:szCs w:val="22"/>
              </w:rPr>
            </w:pPr>
          </w:p>
        </w:tc>
      </w:tr>
    </w:tbl>
    <w:p>
      <w:pPr>
        <w:spacing w:line="360" w:lineRule="auto"/>
        <w:rPr>
          <w:rFonts w:ascii="宋体" w:hAnsi="宋体" w:cs="宋体"/>
          <w:sz w:val="22"/>
        </w:rPr>
      </w:pPr>
      <w:r>
        <w:rPr>
          <w:rFonts w:hint="eastAsia" w:ascii="宋体" w:hAnsi="宋体" w:cs="宋体"/>
          <w:sz w:val="22"/>
          <w:szCs w:val="22"/>
        </w:rPr>
        <w:t>1、本表由供应商（供应商）填写，不填写本表报价无效；</w:t>
      </w:r>
    </w:p>
    <w:p>
      <w:pPr>
        <w:spacing w:line="360" w:lineRule="auto"/>
        <w:rPr>
          <w:rFonts w:ascii="宋体" w:hAnsi="宋体" w:cs="宋体"/>
          <w:sz w:val="22"/>
          <w:szCs w:val="22"/>
        </w:rPr>
      </w:pPr>
      <w:r>
        <w:rPr>
          <w:rFonts w:hint="eastAsia" w:ascii="宋体" w:hAnsi="宋体" w:cs="宋体"/>
          <w:sz w:val="22"/>
          <w:szCs w:val="22"/>
        </w:rPr>
        <w:t>2、供应商为生产企业时填写具有履行合同所必需的设备和专业技术能力说明；</w:t>
      </w:r>
    </w:p>
    <w:p>
      <w:pPr>
        <w:spacing w:line="360" w:lineRule="auto"/>
        <w:rPr>
          <w:rFonts w:ascii="宋体" w:hAnsi="宋体" w:cs="宋体"/>
          <w:sz w:val="24"/>
          <w:szCs w:val="22"/>
        </w:rPr>
      </w:pPr>
      <w:r>
        <w:rPr>
          <w:rFonts w:hint="eastAsia" w:ascii="宋体" w:hAnsi="宋体" w:cs="宋体"/>
          <w:sz w:val="22"/>
          <w:szCs w:val="22"/>
        </w:rPr>
        <w:t>3、供应商为代理商时，根据实际情况无需设备的可只填写人员情况；</w:t>
      </w:r>
      <w:bookmarkEnd w:id="84"/>
    </w:p>
    <w:p>
      <w:pPr>
        <w:pStyle w:val="21"/>
        <w:spacing w:line="384" w:lineRule="auto"/>
      </w:pPr>
      <w:r>
        <w:rPr>
          <w:rFonts w:hint="eastAsia"/>
          <w:vanish/>
          <w:sz w:val="27"/>
          <w:szCs w:val="27"/>
        </w:rPr>
        <w:t> </w:t>
      </w:r>
    </w:p>
    <w:p>
      <w:pPr>
        <w:pStyle w:val="21"/>
        <w:spacing w:line="384" w:lineRule="auto"/>
      </w:pPr>
      <w:r>
        <w:rPr>
          <w:rFonts w:hint="eastAsia"/>
        </w:rPr>
        <w:br w:type="page"/>
      </w:r>
      <w:r>
        <w:rPr>
          <w:rFonts w:hint="eastAsia"/>
        </w:rPr>
        <w:t>（七）参加本次政府采购活动近3年内在经营活动中没有重大违法记录的书面声明</w:t>
      </w:r>
    </w:p>
    <w:p>
      <w:pPr>
        <w:pStyle w:val="21"/>
        <w:spacing w:line="384" w:lineRule="auto"/>
        <w:jc w:val="center"/>
        <w:rPr>
          <w:b/>
          <w:sz w:val="30"/>
          <w:szCs w:val="30"/>
        </w:rPr>
      </w:pPr>
      <w:r>
        <w:rPr>
          <w:rFonts w:hint="eastAsia"/>
          <w:b/>
          <w:sz w:val="30"/>
          <w:szCs w:val="30"/>
        </w:rPr>
        <w:t>无重大违规违法声明</w:t>
      </w:r>
    </w:p>
    <w:p>
      <w:pPr>
        <w:widowControl/>
        <w:spacing w:line="480" w:lineRule="atLeast"/>
        <w:jc w:val="center"/>
        <w:rPr>
          <w:rFonts w:ascii="宋体" w:hAnsi="宋体" w:cs="宋体"/>
          <w:color w:val="000000"/>
          <w:sz w:val="22"/>
        </w:rPr>
      </w:pPr>
    </w:p>
    <w:p>
      <w:pPr>
        <w:widowControl/>
        <w:tabs>
          <w:tab w:val="center" w:pos="4678"/>
        </w:tabs>
        <w:spacing w:line="700" w:lineRule="atLeast"/>
        <w:rPr>
          <w:rFonts w:ascii="宋体" w:hAnsi="宋体" w:cs="宋体"/>
          <w:color w:val="000000"/>
          <w:sz w:val="22"/>
        </w:rPr>
      </w:pPr>
      <w:r>
        <w:rPr>
          <w:rFonts w:hint="eastAsia" w:ascii="宋体" w:hAnsi="宋体" w:cs="宋体"/>
          <w:color w:val="000000"/>
          <w:sz w:val="24"/>
          <w:szCs w:val="22"/>
        </w:rPr>
        <w:t>致：</w:t>
      </w:r>
      <w:r>
        <w:rPr>
          <w:rFonts w:hint="eastAsia" w:ascii="宋体" w:hAnsi="宋体" w:cs="宋体"/>
          <w:color w:val="000000"/>
          <w:sz w:val="24"/>
          <w:szCs w:val="22"/>
          <w:u w:val="single"/>
        </w:rPr>
        <w:t xml:space="preserve">           （招标人）</w:t>
      </w:r>
      <w:r>
        <w:rPr>
          <w:rFonts w:hint="eastAsia" w:ascii="宋体" w:hAnsi="宋体" w:cs="宋体"/>
          <w:color w:val="FF0000"/>
          <w:sz w:val="24"/>
          <w:szCs w:val="22"/>
        </w:rPr>
        <w:tab/>
      </w:r>
    </w:p>
    <w:p>
      <w:pPr>
        <w:widowControl/>
        <w:spacing w:line="700" w:lineRule="atLeast"/>
        <w:ind w:firstLine="566" w:firstLineChars="236"/>
        <w:rPr>
          <w:rFonts w:ascii="宋体" w:hAnsi="宋体" w:cs="宋体"/>
          <w:color w:val="000000"/>
          <w:sz w:val="22"/>
        </w:rPr>
      </w:pPr>
      <w:r>
        <w:rPr>
          <w:rFonts w:hint="eastAsia" w:ascii="宋体" w:hAnsi="宋体" w:cs="宋体"/>
          <w:color w:val="000000"/>
          <w:sz w:val="24"/>
          <w:szCs w:val="22"/>
        </w:rPr>
        <w:t>我方在参加本次政府采购活动近3年内，在经营活动中没有重大违法记录。</w:t>
      </w:r>
    </w:p>
    <w:p>
      <w:pPr>
        <w:widowControl/>
        <w:spacing w:line="700" w:lineRule="atLeast"/>
        <w:ind w:firstLine="566" w:firstLineChars="236"/>
        <w:rPr>
          <w:rFonts w:ascii="宋体" w:hAnsi="宋体" w:cs="宋体"/>
          <w:color w:val="000000"/>
          <w:sz w:val="22"/>
        </w:rPr>
      </w:pPr>
      <w:r>
        <w:rPr>
          <w:rFonts w:hint="eastAsia" w:ascii="宋体" w:hAnsi="宋体" w:cs="宋体"/>
          <w:color w:val="000000"/>
          <w:sz w:val="24"/>
          <w:szCs w:val="22"/>
        </w:rPr>
        <w:t>特此声明。</w:t>
      </w:r>
    </w:p>
    <w:p>
      <w:pPr>
        <w:widowControl/>
        <w:spacing w:line="700" w:lineRule="atLeast"/>
        <w:ind w:firstLine="566" w:firstLineChars="236"/>
        <w:rPr>
          <w:rFonts w:ascii="宋体" w:hAnsi="宋体" w:cs="宋体"/>
          <w:color w:val="000000"/>
          <w:sz w:val="22"/>
        </w:rPr>
      </w:pPr>
      <w:r>
        <w:rPr>
          <w:rFonts w:hint="eastAsia" w:ascii="宋体" w:hAnsi="宋体" w:cs="宋体"/>
          <w:color w:val="000000"/>
          <w:sz w:val="24"/>
          <w:szCs w:val="22"/>
        </w:rPr>
        <w:t>如果以上声明不真实，我方全部承担虚假响应（投标）的责任，并接受依法施行的处罚。</w:t>
      </w:r>
    </w:p>
    <w:p>
      <w:pPr>
        <w:widowControl/>
        <w:spacing w:line="700" w:lineRule="atLeast"/>
        <w:rPr>
          <w:rFonts w:ascii="宋体" w:hAnsi="宋体" w:cs="宋体"/>
          <w:color w:val="000000"/>
          <w:sz w:val="24"/>
          <w:szCs w:val="22"/>
        </w:rPr>
      </w:pPr>
    </w:p>
    <w:p>
      <w:pPr>
        <w:widowControl/>
        <w:spacing w:line="700" w:lineRule="atLeast"/>
        <w:rPr>
          <w:rFonts w:ascii="宋体" w:hAnsi="宋体" w:cs="宋体"/>
          <w:color w:val="000000"/>
          <w:sz w:val="22"/>
        </w:rPr>
      </w:pPr>
      <w:r>
        <w:rPr>
          <w:rFonts w:hint="eastAsia" w:ascii="宋体" w:hAnsi="宋体" w:cs="宋体"/>
          <w:sz w:val="24"/>
          <w:szCs w:val="22"/>
        </w:rPr>
        <w:t>投标人</w:t>
      </w:r>
      <w:r>
        <w:rPr>
          <w:rFonts w:hint="eastAsia" w:ascii="宋体" w:hAnsi="宋体" w:cs="宋体"/>
          <w:color w:val="000000"/>
          <w:sz w:val="24"/>
          <w:szCs w:val="22"/>
        </w:rPr>
        <w:t>（供应商）全称：</w:t>
      </w:r>
      <w:r>
        <w:rPr>
          <w:rFonts w:hint="eastAsia" w:ascii="宋体" w:hAnsi="宋体" w:cs="宋体"/>
          <w:color w:val="000000"/>
          <w:sz w:val="24"/>
          <w:szCs w:val="22"/>
          <w:u w:val="single"/>
        </w:rPr>
        <w:t>    </w:t>
      </w:r>
      <w:r>
        <w:rPr>
          <w:rFonts w:hint="eastAsia" w:ascii="宋体" w:hAnsi="宋体" w:cs="宋体"/>
          <w:color w:val="000000"/>
          <w:sz w:val="24"/>
          <w:szCs w:val="22"/>
        </w:rPr>
        <w:t>（盖单位公章）</w:t>
      </w:r>
    </w:p>
    <w:p>
      <w:pPr>
        <w:widowControl/>
        <w:spacing w:line="700" w:lineRule="atLeast"/>
        <w:jc w:val="right"/>
        <w:rPr>
          <w:rFonts w:ascii="宋体" w:hAnsi="宋体" w:cs="宋体"/>
          <w:color w:val="000000"/>
          <w:sz w:val="22"/>
        </w:rPr>
      </w:pPr>
      <w:r>
        <w:rPr>
          <w:rFonts w:hint="eastAsia" w:ascii="宋体" w:hAnsi="宋体" w:cs="宋体"/>
          <w:color w:val="000000"/>
          <w:sz w:val="24"/>
          <w:szCs w:val="22"/>
        </w:rPr>
        <w:t>年  月  日</w:t>
      </w:r>
    </w:p>
    <w:p>
      <w:pPr>
        <w:widowControl/>
        <w:spacing w:line="700" w:lineRule="atLeast"/>
        <w:rPr>
          <w:rFonts w:ascii="宋体" w:hAnsi="宋体" w:cs="宋体"/>
          <w:color w:val="000000"/>
          <w:sz w:val="22"/>
        </w:rPr>
      </w:pPr>
      <w:r>
        <w:rPr>
          <w:rFonts w:hint="eastAsia" w:ascii="宋体" w:hAnsi="宋体" w:cs="宋体"/>
          <w:color w:val="000000"/>
          <w:sz w:val="24"/>
          <w:szCs w:val="22"/>
        </w:rPr>
        <w:t> </w:t>
      </w:r>
    </w:p>
    <w:p>
      <w:pPr>
        <w:widowControl/>
        <w:spacing w:line="700" w:lineRule="atLeast"/>
        <w:rPr>
          <w:rFonts w:ascii="宋体" w:hAnsi="宋体" w:cs="宋体"/>
          <w:color w:val="000000"/>
          <w:sz w:val="22"/>
        </w:rPr>
      </w:pPr>
      <w:r>
        <w:rPr>
          <w:rFonts w:hint="eastAsia" w:ascii="宋体" w:hAnsi="宋体" w:cs="宋体"/>
          <w:color w:val="000000"/>
          <w:sz w:val="24"/>
          <w:szCs w:val="22"/>
        </w:rPr>
        <w:t>注：重大违法记录，是指</w:t>
      </w:r>
      <w:r>
        <w:rPr>
          <w:rFonts w:hint="eastAsia" w:ascii="宋体" w:hAnsi="宋体" w:cs="宋体"/>
          <w:sz w:val="24"/>
          <w:szCs w:val="22"/>
        </w:rPr>
        <w:t>投标人</w:t>
      </w:r>
      <w:r>
        <w:rPr>
          <w:rFonts w:hint="eastAsia" w:ascii="宋体" w:hAnsi="宋体" w:cs="宋体"/>
          <w:color w:val="000000"/>
          <w:sz w:val="24"/>
          <w:szCs w:val="22"/>
        </w:rPr>
        <w:t>因违法经营受到刑事处罚或者责令停产停业、吊销许可证或者执照、较大数额罚款等行政处罚。</w:t>
      </w:r>
    </w:p>
    <w:p>
      <w:pPr>
        <w:widowControl/>
        <w:spacing w:line="700" w:lineRule="atLeast"/>
        <w:ind w:firstLine="480" w:firstLineChars="200"/>
        <w:rPr>
          <w:rFonts w:ascii="宋体" w:hAnsi="宋体" w:cs="宋体"/>
        </w:rPr>
      </w:pPr>
      <w:r>
        <w:rPr>
          <w:rFonts w:hint="eastAsia" w:ascii="宋体" w:hAnsi="宋体" w:cs="宋体"/>
          <w:sz w:val="24"/>
          <w:szCs w:val="22"/>
        </w:rPr>
        <w:t>投标人</w:t>
      </w:r>
      <w:r>
        <w:rPr>
          <w:rFonts w:hint="eastAsia" w:ascii="宋体" w:hAnsi="宋体" w:cs="宋体"/>
          <w:color w:val="000000"/>
          <w:sz w:val="24"/>
          <w:szCs w:val="22"/>
        </w:rPr>
        <w:t>在参加本次政府采购活动近3年内因违法经营被禁止在一定期限内参加政府采购活动，期限届满的，可以参加政府采购活动。</w:t>
      </w:r>
    </w:p>
    <w:p>
      <w:pPr>
        <w:pStyle w:val="21"/>
        <w:spacing w:line="384" w:lineRule="auto"/>
      </w:pPr>
      <w:r>
        <w:rPr>
          <w:rFonts w:hint="eastAsia"/>
        </w:rPr>
        <w:br w:type="page"/>
      </w:r>
      <w:r>
        <w:rPr>
          <w:rFonts w:hint="eastAsia"/>
        </w:rPr>
        <w:t>（八）信用记录承诺</w:t>
      </w:r>
    </w:p>
    <w:p>
      <w:pPr>
        <w:shd w:val="clear" w:color="auto" w:fill="FFFFFF"/>
        <w:spacing w:line="560" w:lineRule="exact"/>
        <w:jc w:val="center"/>
        <w:outlineLvl w:val="0"/>
        <w:rPr>
          <w:rFonts w:ascii="宋体" w:hAnsi="宋体" w:cs="宋体"/>
          <w:b/>
          <w:color w:val="000000"/>
          <w:sz w:val="32"/>
          <w:szCs w:val="32"/>
        </w:rPr>
      </w:pPr>
      <w:bookmarkStart w:id="85" w:name="_Toc2158"/>
      <w:bookmarkStart w:id="86" w:name="_Toc5346"/>
      <w:bookmarkStart w:id="87" w:name="_Toc12348"/>
      <w:r>
        <w:rPr>
          <w:rFonts w:hint="eastAsia" w:ascii="宋体" w:hAnsi="宋体" w:cs="宋体"/>
          <w:b/>
          <w:color w:val="000000"/>
          <w:sz w:val="32"/>
          <w:szCs w:val="32"/>
        </w:rPr>
        <w:t>信用记录承诺</w:t>
      </w:r>
      <w:bookmarkEnd w:id="85"/>
      <w:bookmarkEnd w:id="86"/>
      <w:bookmarkEnd w:id="87"/>
    </w:p>
    <w:p>
      <w:pPr>
        <w:shd w:val="clear" w:color="auto" w:fill="FFFFFF"/>
        <w:spacing w:line="520" w:lineRule="exact"/>
        <w:rPr>
          <w:rFonts w:ascii="宋体" w:hAnsi="宋体" w:cs="宋体"/>
          <w:sz w:val="24"/>
          <w:szCs w:val="22"/>
        </w:rPr>
      </w:pPr>
      <w:r>
        <w:rPr>
          <w:rFonts w:hint="eastAsia" w:ascii="宋体" w:hAnsi="宋体" w:cs="宋体"/>
          <w:sz w:val="24"/>
          <w:szCs w:val="22"/>
        </w:rPr>
        <w:t>致：</w:t>
      </w:r>
      <w:r>
        <w:rPr>
          <w:rFonts w:hint="eastAsia" w:ascii="宋体" w:hAnsi="宋体" w:cs="宋体"/>
          <w:sz w:val="24"/>
          <w:szCs w:val="22"/>
          <w:u w:val="single"/>
        </w:rPr>
        <w:t xml:space="preserve">     （招标人）</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color w:val="auto"/>
          <w:sz w:val="24"/>
          <w:szCs w:val="24"/>
          <w:highlight w:val="none"/>
        </w:rPr>
      </w:pP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我方郑重承诺，在参与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）采购期间，未被列入“信用中国”网站（www.creditchina.gov.cn）失信被执行人、经营异常名录、税收违法黑名单及中国政府采购网（www.ccgp.gov.cn）“政府采购严重违法失信行为信息记录”。</w:t>
      </w:r>
    </w:p>
    <w:p>
      <w:pPr>
        <w:widowControl/>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（后附我方在上述网站四个查询结果截图）</w:t>
      </w:r>
    </w:p>
    <w:p>
      <w:pPr>
        <w:shd w:val="clear" w:color="auto" w:fill="FFFFFF"/>
        <w:spacing w:line="520" w:lineRule="exact"/>
        <w:rPr>
          <w:rFonts w:ascii="宋体" w:hAnsi="宋体" w:cs="宋体"/>
          <w:sz w:val="24"/>
          <w:szCs w:val="22"/>
        </w:rPr>
      </w:pPr>
      <w:r>
        <w:rPr>
          <w:rFonts w:hint="eastAsia" w:ascii="宋体" w:hAnsi="宋体" w:cs="宋体"/>
          <w:sz w:val="24"/>
          <w:szCs w:val="22"/>
        </w:rPr>
        <w:t>投标人全称：（盖单位公章）</w:t>
      </w:r>
    </w:p>
    <w:p>
      <w:pPr>
        <w:shd w:val="clear" w:color="auto" w:fill="FFFFFF"/>
        <w:spacing w:line="520" w:lineRule="exact"/>
        <w:jc w:val="right"/>
        <w:rPr>
          <w:rFonts w:ascii="宋体" w:hAnsi="宋体" w:cs="宋体"/>
          <w:sz w:val="24"/>
          <w:szCs w:val="22"/>
        </w:rPr>
      </w:pPr>
      <w:r>
        <w:rPr>
          <w:rFonts w:hint="eastAsia" w:ascii="宋体" w:hAnsi="宋体" w:cs="宋体"/>
          <w:sz w:val="24"/>
          <w:szCs w:val="22"/>
        </w:rPr>
        <w:t>年月日</w:t>
      </w:r>
    </w:p>
    <w:p>
      <w:pPr>
        <w:spacing w:line="340" w:lineRule="exact"/>
        <w:rPr>
          <w:rFonts w:ascii="宋体" w:hAnsi="宋体" w:cs="宋体"/>
          <w:b/>
          <w:sz w:val="24"/>
          <w:szCs w:val="22"/>
        </w:rPr>
      </w:pPr>
      <w:r>
        <w:rPr>
          <w:rFonts w:hint="eastAsia" w:ascii="宋体" w:hAnsi="宋体" w:cs="宋体"/>
          <w:b/>
          <w:sz w:val="24"/>
          <w:szCs w:val="22"/>
        </w:rPr>
        <w:t>注：1、网站截图为《信用中国》网站（</w:t>
      </w:r>
      <w:r>
        <w:rPr>
          <w:rFonts w:hint="eastAsia" w:ascii="宋体" w:hAnsi="宋体" w:cs="宋体"/>
          <w:b/>
          <w:color w:val="000000"/>
          <w:kern w:val="0"/>
          <w:sz w:val="24"/>
          <w:szCs w:val="24"/>
        </w:rPr>
        <w:t>www.creditchina.gov.cn</w:t>
      </w:r>
      <w:r>
        <w:rPr>
          <w:rFonts w:hint="eastAsia" w:ascii="宋体" w:hAnsi="宋体" w:cs="宋体"/>
          <w:b/>
          <w:sz w:val="24"/>
          <w:szCs w:val="22"/>
        </w:rPr>
        <w:t>）首页“信用信息”搜索一栏输入企业全称后得出的查询结果页面（失信被执行人、经营异常名录、税收违法黑名单）。</w:t>
      </w:r>
    </w:p>
    <w:p>
      <w:pPr>
        <w:spacing w:line="340" w:lineRule="exact"/>
        <w:rPr>
          <w:rFonts w:ascii="宋体" w:hAnsi="宋体" w:cs="宋体"/>
          <w:b/>
          <w:sz w:val="24"/>
          <w:szCs w:val="22"/>
        </w:rPr>
      </w:pPr>
      <w:r>
        <w:rPr>
          <w:rFonts w:hint="eastAsia" w:ascii="宋体" w:hAnsi="宋体" w:cs="宋体"/>
          <w:b/>
          <w:sz w:val="24"/>
          <w:szCs w:val="22"/>
        </w:rPr>
        <w:t>2、中国政府采购网（www.ccgp.gov.cn）首页点开“政府采购严重违法失信行为信息记录名单”输入企业全称后得出的查询结果页面。</w:t>
      </w:r>
    </w:p>
    <w:p>
      <w:pPr>
        <w:spacing w:line="340" w:lineRule="exact"/>
        <w:rPr>
          <w:rFonts w:hint="eastAsia" w:ascii="宋体" w:hAnsi="宋体" w:cs="宋体"/>
          <w:b/>
          <w:sz w:val="24"/>
          <w:szCs w:val="22"/>
        </w:rPr>
      </w:pPr>
      <w:r>
        <w:rPr>
          <w:rFonts w:hint="eastAsia" w:ascii="宋体" w:hAnsi="宋体" w:cs="宋体"/>
          <w:b/>
          <w:sz w:val="24"/>
          <w:szCs w:val="22"/>
        </w:rPr>
        <w:t>3、截图中应显示网站域名，页面信息必须明确显示参与本项目企业全称。</w:t>
      </w:r>
    </w:p>
    <w:p>
      <w:pPr>
        <w:spacing w:line="340" w:lineRule="exact"/>
        <w:rPr>
          <w:rFonts w:hint="eastAsia" w:ascii="宋体" w:hAnsi="宋体" w:eastAsia="宋体" w:cs="宋体"/>
          <w:b/>
          <w:sz w:val="24"/>
          <w:szCs w:val="22"/>
          <w:lang w:val="en-US" w:eastAsia="zh-CN"/>
        </w:rPr>
      </w:pPr>
      <w:r>
        <w:rPr>
          <w:rFonts w:hint="eastAsia" w:ascii="宋体" w:hAnsi="宋体" w:cs="宋体"/>
          <w:b/>
          <w:sz w:val="24"/>
          <w:szCs w:val="22"/>
          <w:highlight w:val="none"/>
          <w:lang w:val="en-US" w:eastAsia="zh-CN"/>
        </w:rPr>
        <w:t>4、</w:t>
      </w:r>
      <w:r>
        <w:rPr>
          <w:rFonts w:hint="eastAsia" w:ascii="宋体" w:hAnsi="宋体" w:cs="宋体"/>
          <w:b/>
          <w:sz w:val="24"/>
          <w:szCs w:val="22"/>
          <w:lang w:val="en-US" w:eastAsia="zh-CN"/>
        </w:rPr>
        <w:t>查询时间为本项目递交投标截止之日起前一天，不符合要求的按无效投标处理。</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00"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ind w:firstLine="560" w:firstLineChars="200"/>
              <w:jc w:val="center"/>
              <w:rPr>
                <w:rFonts w:ascii="宋体" w:hAnsi="宋体" w:cs="宋体"/>
                <w:sz w:val="28"/>
                <w:szCs w:val="28"/>
              </w:rPr>
            </w:pPr>
            <w:r>
              <w:rPr>
                <w:rFonts w:hint="eastAsia" w:ascii="宋体" w:hAnsi="宋体" w:cs="宋体"/>
                <w:sz w:val="28"/>
                <w:szCs w:val="28"/>
              </w:rPr>
              <w:t>《信用中国》网站查询结果截图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00"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ind w:firstLine="560" w:firstLineChars="200"/>
              <w:jc w:val="center"/>
              <w:rPr>
                <w:rFonts w:ascii="宋体" w:hAnsi="宋体" w:cs="宋体"/>
                <w:sz w:val="28"/>
                <w:szCs w:val="28"/>
              </w:rPr>
            </w:pPr>
            <w:r>
              <w:rPr>
                <w:rFonts w:hint="eastAsia" w:ascii="宋体" w:hAnsi="宋体" w:cs="宋体"/>
                <w:sz w:val="28"/>
                <w:szCs w:val="28"/>
              </w:rPr>
              <w:t>《中国政府采购网》网站查询结果截图</w:t>
            </w:r>
          </w:p>
        </w:tc>
      </w:tr>
    </w:tbl>
    <w:p>
      <w:pPr>
        <w:rPr>
          <w:rFonts w:ascii="宋体" w:hAnsi="宋体" w:cs="宋体"/>
          <w:b/>
          <w:sz w:val="24"/>
          <w:szCs w:val="22"/>
        </w:rPr>
      </w:pPr>
    </w:p>
    <w:p>
      <w:pPr>
        <w:pStyle w:val="21"/>
        <w:shd w:val="clear" w:color="auto" w:fill="FFFFFF"/>
        <w:ind w:firstLine="5" w:firstLineChars="2"/>
      </w:pPr>
      <w:r>
        <w:rPr>
          <w:rFonts w:hint="eastAsia"/>
          <w:b/>
        </w:rPr>
        <w:t>“信用中国”网站（www.creditchina.gov.cn）截图</w:t>
      </w:r>
      <w:r>
        <w:rPr>
          <w:rFonts w:hint="eastAsia"/>
          <w:b/>
          <w:lang w:eastAsia="zh-CN"/>
        </w:rPr>
        <w:t>（</w:t>
      </w:r>
      <w:r>
        <w:rPr>
          <w:rFonts w:hint="eastAsia"/>
          <w:b/>
          <w:lang w:val="en-US" w:eastAsia="zh-CN"/>
        </w:rPr>
        <w:t>共四个</w:t>
      </w:r>
      <w:r>
        <w:rPr>
          <w:rFonts w:hint="eastAsia"/>
          <w:b/>
          <w:lang w:eastAsia="zh-CN"/>
        </w:rPr>
        <w:t>）</w:t>
      </w:r>
      <w:r>
        <w:rPr>
          <w:rFonts w:hint="eastAsia"/>
          <w:b/>
        </w:rPr>
        <w:t>，具体步骤如下</w:t>
      </w:r>
      <w:r>
        <w:rPr>
          <w:rFonts w:hint="eastAsia"/>
        </w:rPr>
        <w:t>：</w:t>
      </w:r>
    </w:p>
    <w:p>
      <w:pPr>
        <w:pStyle w:val="21"/>
      </w:pPr>
      <w:r>
        <w:rPr>
          <w:rFonts w:hint="eastAsia"/>
          <w:b/>
        </w:rPr>
        <w:t>第一步：“信用中国”网站（www.creditchina.gov.cn）首页信用信息搜索栏输入投标人（供应商）名称（如图）</w:t>
      </w:r>
    </w:p>
    <w:p>
      <w:pPr>
        <w:pStyle w:val="21"/>
        <w:jc w:val="center"/>
      </w:pPr>
      <w:r>
        <w:rPr>
          <w:rFonts w:hint="eastAsia"/>
        </w:rPr>
        <w:drawing>
          <wp:inline distT="0" distB="0" distL="114300" distR="114300">
            <wp:extent cx="5902325" cy="1757680"/>
            <wp:effectExtent l="0" t="0" r="3175" b="1397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5" cstate="print"/>
                    <a:stretch>
                      <a:fillRect/>
                    </a:stretch>
                  </pic:blipFill>
                  <pic:spPr>
                    <a:xfrm>
                      <a:off x="0" y="0"/>
                      <a:ext cx="5902325" cy="1757680"/>
                    </a:xfrm>
                    <a:prstGeom prst="rect">
                      <a:avLst/>
                    </a:prstGeom>
                    <a:noFill/>
                    <a:ln>
                      <a:noFill/>
                    </a:ln>
                  </pic:spPr>
                </pic:pic>
              </a:graphicData>
            </a:graphic>
          </wp:inline>
        </w:drawing>
      </w:r>
    </w:p>
    <w:p>
      <w:pPr>
        <w:pStyle w:val="21"/>
        <w:jc w:val="both"/>
        <w:rPr>
          <w:b/>
        </w:rPr>
      </w:pPr>
      <w:r>
        <w:rPr>
          <w:rFonts w:hint="eastAsia"/>
          <w:b/>
        </w:rPr>
        <w:t>第二步：分别点击“失信被执行人”、“经营异常名录”、“税收违法黑名单”，将三个页面进行截图（每个搜索栏均需显示投标人（供应商）名称）</w:t>
      </w:r>
    </w:p>
    <w:p>
      <w:pPr>
        <w:jc w:val="center"/>
        <w:rPr>
          <w:rFonts w:ascii="宋体" w:hAnsi="宋体" w:cs="宋体"/>
        </w:rPr>
      </w:pPr>
      <w:r>
        <w:rPr>
          <w:rFonts w:hint="eastAsia" w:ascii="宋体" w:hAnsi="宋体" w:cs="宋体"/>
        </w:rPr>
        <w:drawing>
          <wp:inline distT="0" distB="0" distL="0" distR="0">
            <wp:extent cx="6120130" cy="4110355"/>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4110355"/>
                    </a:xfrm>
                    <a:prstGeom prst="rect">
                      <a:avLst/>
                    </a:prstGeom>
                  </pic:spPr>
                </pic:pic>
              </a:graphicData>
            </a:graphic>
          </wp:inline>
        </w:drawing>
      </w:r>
    </w:p>
    <w:p>
      <w:pPr>
        <w:pStyle w:val="18"/>
        <w:jc w:val="center"/>
        <w:rPr>
          <w:rFonts w:ascii="宋体" w:hAnsi="宋体" w:cs="宋体"/>
        </w:rPr>
      </w:pPr>
      <w:r>
        <w:rPr>
          <w:rFonts w:hint="eastAsia" w:ascii="宋体" w:hAnsi="宋体" w:cs="宋体"/>
        </w:rPr>
        <w:drawing>
          <wp:inline distT="0" distB="0" distL="0" distR="0">
            <wp:extent cx="6120130" cy="4227195"/>
            <wp:effectExtent l="0" t="0" r="0" b="19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4227195"/>
                    </a:xfrm>
                    <a:prstGeom prst="rect">
                      <a:avLst/>
                    </a:prstGeom>
                  </pic:spPr>
                </pic:pic>
              </a:graphicData>
            </a:graphic>
          </wp:inline>
        </w:drawing>
      </w:r>
      <w:r>
        <w:rPr>
          <w:rFonts w:hint="eastAsia" w:ascii="宋体" w:hAnsi="宋体" w:cs="宋体"/>
        </w:rPr>
        <w:drawing>
          <wp:inline distT="0" distB="0" distL="0" distR="0">
            <wp:extent cx="6120130" cy="4190365"/>
            <wp:effectExtent l="0" t="0" r="0"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0130" cy="4190365"/>
                    </a:xfrm>
                    <a:prstGeom prst="rect">
                      <a:avLst/>
                    </a:prstGeom>
                  </pic:spPr>
                </pic:pic>
              </a:graphicData>
            </a:graphic>
          </wp:inline>
        </w:drawing>
      </w:r>
    </w:p>
    <w:tbl>
      <w:tblPr>
        <w:tblStyle w:val="22"/>
        <w:tblW w:w="0" w:type="auto"/>
        <w:jc w:val="center"/>
        <w:tblLayout w:type="fixed"/>
        <w:tblCellMar>
          <w:top w:w="0" w:type="dxa"/>
          <w:left w:w="0" w:type="dxa"/>
          <w:bottom w:w="0" w:type="dxa"/>
          <w:right w:w="0" w:type="dxa"/>
        </w:tblCellMar>
      </w:tblPr>
      <w:tblGrid>
        <w:gridCol w:w="9500"/>
      </w:tblGrid>
      <w:tr>
        <w:tblPrEx>
          <w:tblCellMar>
            <w:top w:w="0" w:type="dxa"/>
            <w:left w:w="0" w:type="dxa"/>
            <w:bottom w:w="0" w:type="dxa"/>
            <w:right w:w="0" w:type="dxa"/>
          </w:tblCellMar>
        </w:tblPrEx>
        <w:trPr>
          <w:trHeight w:val="4908" w:hRule="atLeast"/>
          <w:jc w:val="center"/>
        </w:trPr>
        <w:tc>
          <w:tcPr>
            <w:tcW w:w="9500" w:type="dxa"/>
            <w:tcBorders>
              <w:top w:val="single" w:color="auto" w:sz="8" w:space="0"/>
              <w:left w:val="single" w:color="auto" w:sz="8" w:space="0"/>
              <w:bottom w:val="single" w:color="auto" w:sz="8" w:space="0"/>
              <w:right w:val="single" w:color="auto" w:sz="8" w:space="0"/>
              <w:tl2br w:val="nil"/>
              <w:tr2bl w:val="nil"/>
            </w:tcBorders>
            <w:tcMar>
              <w:top w:w="0" w:type="dxa"/>
              <w:left w:w="108" w:type="dxa"/>
              <w:bottom w:w="0" w:type="dxa"/>
              <w:right w:w="108" w:type="dxa"/>
            </w:tcMar>
            <w:vAlign w:val="center"/>
          </w:tcPr>
          <w:p>
            <w:pPr>
              <w:pStyle w:val="21"/>
              <w:shd w:val="clear" w:color="auto" w:fill="FFFFFF"/>
              <w:ind w:firstLine="19" w:firstLineChars="8"/>
              <w:rPr>
                <w:b/>
              </w:rPr>
            </w:pPr>
            <w:r>
              <w:rPr>
                <w:rFonts w:hint="eastAsia"/>
                <w:b/>
              </w:rPr>
              <w:t>中国政府采购网（www.ccgp.gov.cn）截图，具体步骤如下：</w:t>
            </w:r>
          </w:p>
          <w:p>
            <w:pPr>
              <w:pStyle w:val="21"/>
              <w:shd w:val="clear" w:color="auto" w:fill="FFFFFF"/>
              <w:ind w:firstLine="19" w:firstLineChars="8"/>
            </w:pPr>
            <w:r>
              <w:rPr>
                <w:rFonts w:hint="eastAsia"/>
              </w:rPr>
              <w:t>中国政府采购网首页→政府采购严重违法失信行为信息记录→输入投标人（供应商）名称所得截图</w:t>
            </w:r>
          </w:p>
          <w:p>
            <w:pPr>
              <w:pStyle w:val="21"/>
              <w:shd w:val="clear" w:color="auto" w:fill="FFFFFF"/>
              <w:ind w:firstLine="19" w:firstLineChars="8"/>
            </w:pPr>
            <w:r>
              <w:rPr>
                <w:rFonts w:hint="eastAsia"/>
              </w:rPr>
              <w:drawing>
                <wp:anchor distT="0" distB="0" distL="114300" distR="114300" simplePos="0" relativeHeight="251660288" behindDoc="1" locked="0" layoutInCell="1" allowOverlap="1">
                  <wp:simplePos x="0" y="0"/>
                  <wp:positionH relativeFrom="column">
                    <wp:posOffset>899795</wp:posOffset>
                  </wp:positionH>
                  <wp:positionV relativeFrom="paragraph">
                    <wp:posOffset>99060</wp:posOffset>
                  </wp:positionV>
                  <wp:extent cx="4089400" cy="2300605"/>
                  <wp:effectExtent l="0" t="0" r="0" b="0"/>
                  <wp:wrapTight wrapText="bothSides">
                    <wp:wrapPolygon>
                      <wp:start x="0" y="0"/>
                      <wp:lineTo x="0" y="21463"/>
                      <wp:lineTo x="21533" y="21463"/>
                      <wp:lineTo x="21533" y="0"/>
                      <wp:lineTo x="0" y="0"/>
                    </wp:wrapPolygon>
                  </wp:wrapTight>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9" cstate="print"/>
                          <a:stretch>
                            <a:fillRect/>
                          </a:stretch>
                        </pic:blipFill>
                        <pic:spPr>
                          <a:xfrm>
                            <a:off x="0" y="0"/>
                            <a:ext cx="4089400" cy="2300605"/>
                          </a:xfrm>
                          <a:prstGeom prst="rect">
                            <a:avLst/>
                          </a:prstGeom>
                          <a:noFill/>
                          <a:ln>
                            <a:noFill/>
                          </a:ln>
                        </pic:spPr>
                      </pic:pic>
                    </a:graphicData>
                  </a:graphic>
                </wp:anchor>
              </w:drawing>
            </w:r>
          </w:p>
        </w:tc>
      </w:tr>
    </w:tbl>
    <w:p>
      <w:pPr>
        <w:pStyle w:val="21"/>
        <w:rPr>
          <w:b/>
        </w:rPr>
      </w:pPr>
    </w:p>
    <w:p>
      <w:pPr>
        <w:pStyle w:val="21"/>
        <w:rPr>
          <w:b/>
        </w:rPr>
      </w:pPr>
      <w:r>
        <w:rPr>
          <w:rFonts w:hint="eastAsia"/>
          <w:b/>
        </w:rPr>
        <w:t>注：①截图中应包括浏览器地址栏及网址，页面信息必须明确显示参与本项目企业全称。</w:t>
      </w:r>
    </w:p>
    <w:p>
      <w:pPr>
        <w:pStyle w:val="21"/>
        <w:ind w:firstLine="482" w:firstLineChars="200"/>
        <w:rPr>
          <w:b/>
        </w:rPr>
      </w:pPr>
      <w:r>
        <w:rPr>
          <w:rFonts w:hint="eastAsia"/>
          <w:b/>
        </w:rPr>
        <w:t>②招标人或者招标代理机构应当对投标人（供应商）信用记录进行甄别，对列入失信被执行人、重大税收违法案件当事人名单、政府采购严重违法失信行为记录名单及其他不符合《中华人民共和国政府采购法》第二十二条规定条件的投标人（供应商），作无效投标处理。</w:t>
      </w:r>
    </w:p>
    <w:p>
      <w:pPr>
        <w:rPr>
          <w:rFonts w:ascii="宋体" w:hAnsi="宋体" w:cs="宋体"/>
          <w:color w:val="000000"/>
          <w:kern w:val="0"/>
          <w:sz w:val="24"/>
          <w:szCs w:val="24"/>
        </w:rPr>
      </w:pPr>
      <w:r>
        <w:rPr>
          <w:rFonts w:hint="eastAsia" w:ascii="宋体" w:hAnsi="宋体" w:cs="宋体"/>
          <w:color w:val="000000"/>
          <w:kern w:val="0"/>
          <w:sz w:val="24"/>
          <w:szCs w:val="24"/>
        </w:rPr>
        <w:br w:type="page"/>
      </w:r>
    </w:p>
    <w:p>
      <w:pPr>
        <w:rPr>
          <w:rFonts w:ascii="宋体" w:hAnsi="宋体" w:cs="宋体"/>
          <w:b/>
          <w:color w:val="000000"/>
          <w:sz w:val="36"/>
          <w:szCs w:val="36"/>
        </w:rPr>
      </w:pPr>
      <w:r>
        <w:rPr>
          <w:rFonts w:hint="eastAsia" w:ascii="宋体" w:hAnsi="宋体" w:cs="宋体"/>
          <w:color w:val="000000"/>
          <w:kern w:val="0"/>
          <w:sz w:val="28"/>
          <w:szCs w:val="28"/>
        </w:rPr>
        <w:t>（九）依法缴纳税收和社会保障资金承诺函</w:t>
      </w:r>
    </w:p>
    <w:p>
      <w:pPr>
        <w:adjustRightInd w:val="0"/>
        <w:snapToGrid w:val="0"/>
        <w:spacing w:line="480" w:lineRule="exact"/>
        <w:rPr>
          <w:rFonts w:ascii="宋体" w:hAnsi="宋体" w:cs="宋体"/>
          <w:sz w:val="24"/>
          <w:szCs w:val="24"/>
        </w:rPr>
      </w:pPr>
    </w:p>
    <w:p>
      <w:pPr>
        <w:adjustRightInd w:val="0"/>
        <w:snapToGrid w:val="0"/>
        <w:spacing w:line="480" w:lineRule="exact"/>
        <w:rPr>
          <w:rFonts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(采购人名称)</w:t>
      </w:r>
    </w:p>
    <w:p>
      <w:pPr>
        <w:adjustRightInd w:val="0"/>
        <w:snapToGrid w:val="0"/>
        <w:spacing w:line="480" w:lineRule="exact"/>
        <w:ind w:firstLine="480" w:firstLineChars="200"/>
        <w:rPr>
          <w:rFonts w:ascii="宋体" w:hAnsi="宋体" w:cs="宋体"/>
          <w:sz w:val="24"/>
          <w:szCs w:val="24"/>
        </w:rPr>
      </w:pPr>
      <w:r>
        <w:rPr>
          <w:rFonts w:hint="eastAsia" w:ascii="宋体" w:hAnsi="宋体" w:cs="宋体"/>
          <w:sz w:val="24"/>
          <w:szCs w:val="24"/>
        </w:rPr>
        <w:t>我方在参加</w:t>
      </w:r>
      <w:r>
        <w:rPr>
          <w:rFonts w:hint="eastAsia" w:ascii="宋体" w:hAnsi="宋体" w:cs="宋体"/>
          <w:sz w:val="24"/>
          <w:szCs w:val="24"/>
          <w:u w:val="single"/>
        </w:rPr>
        <w:t>项目名称：             (项目编号：       )</w:t>
      </w:r>
      <w:r>
        <w:rPr>
          <w:rFonts w:hint="eastAsia" w:ascii="宋体" w:hAnsi="宋体" w:cs="宋体"/>
          <w:sz w:val="24"/>
          <w:szCs w:val="24"/>
        </w:rPr>
        <w:t xml:space="preserve"> 政府采购活动前，已依法缴纳税收和社会保障资金，符合《中华人民共和国政府采购法实施条例》第十七条第一款第二项规定和采购文件关于缴纳税收和社会保障资金的资格要求。</w:t>
      </w:r>
    </w:p>
    <w:p>
      <w:pPr>
        <w:adjustRightInd w:val="0"/>
        <w:snapToGrid w:val="0"/>
        <w:spacing w:line="480" w:lineRule="exact"/>
        <w:rPr>
          <w:rFonts w:ascii="宋体" w:hAnsi="宋体" w:cs="宋体"/>
          <w:sz w:val="24"/>
          <w:szCs w:val="24"/>
        </w:rPr>
      </w:pPr>
      <w:r>
        <w:rPr>
          <w:rFonts w:hint="eastAsia" w:ascii="宋体" w:hAnsi="宋体" w:cs="宋体"/>
          <w:sz w:val="24"/>
          <w:szCs w:val="24"/>
        </w:rPr>
        <w:t>特此承诺。</w:t>
      </w:r>
    </w:p>
    <w:p>
      <w:pPr>
        <w:adjustRightInd w:val="0"/>
        <w:snapToGrid w:val="0"/>
        <w:spacing w:line="480" w:lineRule="exact"/>
        <w:ind w:firstLine="480" w:firstLineChars="200"/>
        <w:rPr>
          <w:rFonts w:ascii="宋体" w:hAnsi="宋体" w:cs="宋体"/>
          <w:sz w:val="24"/>
          <w:szCs w:val="24"/>
        </w:rPr>
      </w:pPr>
      <w:r>
        <w:rPr>
          <w:rFonts w:hint="eastAsia" w:ascii="宋体" w:hAnsi="宋体" w:cs="宋体"/>
          <w:sz w:val="24"/>
          <w:szCs w:val="24"/>
        </w:rPr>
        <w:t>我方对上述承诺真实性、合法性、有效性负责，如有虚假承诺，依法承担相应责任并接受处罚。</w:t>
      </w:r>
    </w:p>
    <w:p>
      <w:pPr>
        <w:adjustRightInd w:val="0"/>
        <w:snapToGrid w:val="0"/>
        <w:spacing w:line="480" w:lineRule="exact"/>
        <w:rPr>
          <w:rFonts w:ascii="宋体" w:hAnsi="宋体" w:cs="宋体"/>
          <w:sz w:val="24"/>
          <w:szCs w:val="24"/>
        </w:rPr>
      </w:pPr>
    </w:p>
    <w:p>
      <w:pPr>
        <w:adjustRightInd w:val="0"/>
        <w:snapToGrid w:val="0"/>
        <w:spacing w:line="480" w:lineRule="exact"/>
        <w:rPr>
          <w:rFonts w:ascii="宋体" w:hAnsi="宋体" w:cs="宋体"/>
          <w:sz w:val="24"/>
          <w:szCs w:val="24"/>
        </w:rPr>
      </w:pPr>
    </w:p>
    <w:p>
      <w:pPr>
        <w:adjustRightInd w:val="0"/>
        <w:snapToGrid w:val="0"/>
        <w:spacing w:line="480" w:lineRule="exact"/>
        <w:jc w:val="right"/>
        <w:rPr>
          <w:rFonts w:ascii="宋体" w:hAnsi="宋体" w:cs="宋体"/>
          <w:sz w:val="24"/>
          <w:szCs w:val="24"/>
        </w:rPr>
      </w:pPr>
      <w:r>
        <w:rPr>
          <w:rFonts w:hint="eastAsia" w:ascii="宋体" w:hAnsi="宋体" w:cs="宋体"/>
          <w:sz w:val="24"/>
          <w:szCs w:val="24"/>
        </w:rPr>
        <w:t>投标人全称：(盖公司公章)</w:t>
      </w:r>
    </w:p>
    <w:p>
      <w:pPr>
        <w:adjustRightInd w:val="0"/>
        <w:snapToGrid w:val="0"/>
        <w:spacing w:line="480" w:lineRule="exact"/>
        <w:jc w:val="center"/>
        <w:rPr>
          <w:rFonts w:ascii="宋体" w:hAnsi="宋体" w:cs="宋体"/>
          <w:sz w:val="24"/>
          <w:szCs w:val="24"/>
        </w:rPr>
      </w:pPr>
      <w:r>
        <w:rPr>
          <w:rFonts w:hint="eastAsia" w:ascii="宋体" w:hAnsi="宋体" w:cs="宋体"/>
          <w:sz w:val="24"/>
          <w:szCs w:val="24"/>
        </w:rPr>
        <w:t xml:space="preserve">                                                   日期：  年  月  日</w:t>
      </w:r>
    </w:p>
    <w:p>
      <w:pPr>
        <w:pStyle w:val="18"/>
        <w:rPr>
          <w:rFonts w:ascii="宋体" w:hAnsi="宋体" w:cs="宋体"/>
          <w:sz w:val="24"/>
          <w:szCs w:val="24"/>
        </w:rPr>
      </w:pPr>
    </w:p>
    <w:p>
      <w:pPr>
        <w:rPr>
          <w:rFonts w:ascii="宋体" w:hAnsi="宋体" w:cs="宋体"/>
          <w:sz w:val="24"/>
          <w:szCs w:val="24"/>
        </w:rPr>
      </w:pPr>
    </w:p>
    <w:p>
      <w:pPr>
        <w:rPr>
          <w:rFonts w:hint="eastAsia" w:ascii="宋体" w:hAnsi="宋体" w:cs="宋体"/>
          <w:color w:val="000000"/>
          <w:kern w:val="0"/>
          <w:sz w:val="24"/>
          <w:szCs w:val="24"/>
        </w:rPr>
      </w:pPr>
      <w:r>
        <w:rPr>
          <w:rFonts w:hint="eastAsia" w:ascii="宋体" w:hAnsi="宋体" w:cs="宋体"/>
          <w:color w:val="000000"/>
          <w:kern w:val="0"/>
          <w:sz w:val="24"/>
          <w:szCs w:val="24"/>
        </w:rPr>
        <w:br w:type="page"/>
      </w:r>
    </w:p>
    <w:p>
      <w:pPr>
        <w:pStyle w:val="18"/>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lang w:eastAsia="zh-CN"/>
        </w:rPr>
        <w:t>（</w:t>
      </w:r>
      <w:r>
        <w:rPr>
          <w:rFonts w:hint="eastAsia" w:ascii="宋体" w:hAnsi="宋体" w:cs="宋体"/>
          <w:color w:val="000000"/>
          <w:kern w:val="0"/>
          <w:sz w:val="28"/>
          <w:szCs w:val="28"/>
          <w:lang w:val="en-US" w:eastAsia="zh-CN"/>
        </w:rPr>
        <w:t>十</w:t>
      </w:r>
      <w:r>
        <w:rPr>
          <w:rFonts w:hint="eastAsia" w:ascii="宋体" w:hAnsi="宋体" w:cs="宋体"/>
          <w:color w:val="000000"/>
          <w:kern w:val="0"/>
          <w:sz w:val="28"/>
          <w:szCs w:val="28"/>
          <w:lang w:eastAsia="zh-CN"/>
        </w:rPr>
        <w:t>）</w:t>
      </w:r>
    </w:p>
    <w:p>
      <w:pPr>
        <w:rPr>
          <w:rFonts w:hint="eastAsia" w:ascii="宋体" w:hAnsi="宋体" w:cs="宋体"/>
          <w:color w:val="000000"/>
          <w:kern w:val="0"/>
          <w:sz w:val="24"/>
          <w:szCs w:val="24"/>
        </w:rPr>
      </w:pPr>
    </w:p>
    <w:p>
      <w:pPr>
        <w:kinsoku w:val="0"/>
        <w:overflowPunct w:val="0"/>
        <w:autoSpaceDE w:val="0"/>
        <w:autoSpaceDN w:val="0"/>
        <w:adjustRightInd w:val="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供应商与采购人无利害关系声明</w:t>
      </w:r>
    </w:p>
    <w:p>
      <w:pPr>
        <w:kinsoku w:val="0"/>
        <w:overflowPunct w:val="0"/>
        <w:autoSpaceDE w:val="0"/>
        <w:autoSpaceDN w:val="0"/>
        <w:adjustRightInd w:val="0"/>
        <w:jc w:val="center"/>
        <w:rPr>
          <w:rFonts w:hint="eastAsia" w:ascii="宋体" w:hAnsi="宋体" w:eastAsia="宋体" w:cs="宋体"/>
          <w:b/>
          <w:bCs/>
          <w:color w:val="auto"/>
          <w:sz w:val="24"/>
          <w:szCs w:val="24"/>
          <w:highlight w:val="none"/>
        </w:rPr>
      </w:pPr>
    </w:p>
    <w:p>
      <w:pPr>
        <w:kinsoku w:val="0"/>
        <w:overflowPunct w:val="0"/>
        <w:autoSpaceDE w:val="0"/>
        <w:autoSpaceDN w:val="0"/>
        <w:adjustRightIn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聊城诚亿项目管理有限公司</w:t>
      </w:r>
      <w:r>
        <w:rPr>
          <w:rFonts w:hint="eastAsia" w:ascii="宋体" w:hAnsi="宋体" w:eastAsia="宋体" w:cs="宋体"/>
          <w:bCs/>
          <w:color w:val="auto"/>
          <w:sz w:val="24"/>
          <w:szCs w:val="24"/>
          <w:highlight w:val="none"/>
        </w:rPr>
        <w:t>：</w:t>
      </w:r>
    </w:p>
    <w:p>
      <w:pPr>
        <w:kinsoku w:val="0"/>
        <w:overflowPunct w:val="0"/>
        <w:autoSpaceDE w:val="0"/>
        <w:autoSpaceDN w:val="0"/>
        <w:adjustRightInd w:val="0"/>
        <w:spacing w:line="360" w:lineRule="auto"/>
        <w:ind w:firstLine="480" w:firstLineChars="200"/>
        <w:rPr>
          <w:rStyle w:val="25"/>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我公司声明在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none"/>
        </w:rPr>
        <w:t>（项目名称）</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none"/>
        </w:rPr>
        <w:t>（项目编号）</w:t>
      </w:r>
      <w:r>
        <w:rPr>
          <w:rFonts w:hint="eastAsia" w:ascii="宋体" w:hAnsi="宋体" w:eastAsia="宋体" w:cs="宋体"/>
          <w:bCs/>
          <w:color w:val="auto"/>
          <w:sz w:val="24"/>
          <w:szCs w:val="24"/>
          <w:highlight w:val="none"/>
        </w:rPr>
        <w:t>政府采购活动中，与</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（采购人）及相关人员无利害关系，满足《</w:t>
      </w:r>
      <w:r>
        <w:rPr>
          <w:rFonts w:hint="eastAsia" w:ascii="宋体" w:hAnsi="宋体" w:eastAsia="宋体" w:cs="宋体"/>
          <w:bCs/>
          <w:color w:val="auto"/>
          <w:sz w:val="24"/>
          <w:szCs w:val="24"/>
          <w:highlight w:val="none"/>
          <w:lang w:val="en-US" w:eastAsia="zh-CN"/>
        </w:rPr>
        <w:t>中华人民共和国政府采购法</w:t>
      </w:r>
      <w:r>
        <w:rPr>
          <w:rFonts w:hint="eastAsia" w:ascii="宋体" w:hAnsi="宋体" w:eastAsia="宋体" w:cs="宋体"/>
          <w:bCs/>
          <w:color w:val="auto"/>
          <w:sz w:val="24"/>
          <w:szCs w:val="24"/>
          <w:highlight w:val="none"/>
        </w:rPr>
        <w:t>》</w:t>
      </w:r>
      <w:r>
        <w:rPr>
          <w:rStyle w:val="25"/>
          <w:rFonts w:hint="eastAsia" w:ascii="宋体" w:hAnsi="宋体" w:eastAsia="宋体" w:cs="宋体"/>
          <w:color w:val="auto"/>
          <w:sz w:val="24"/>
          <w:szCs w:val="24"/>
          <w:highlight w:val="none"/>
        </w:rPr>
        <w:t>第十二条规定：</w:t>
      </w:r>
      <w:r>
        <w:rPr>
          <w:rStyle w:val="25"/>
          <w:rFonts w:hint="eastAsia" w:ascii="宋体" w:hAnsi="宋体" w:eastAsia="宋体" w:cs="宋体"/>
          <w:color w:val="auto"/>
          <w:sz w:val="24"/>
          <w:szCs w:val="24"/>
          <w:highlight w:val="none"/>
          <w:lang w:eastAsia="zh-CN"/>
        </w:rPr>
        <w:t>“</w:t>
      </w:r>
      <w:r>
        <w:rPr>
          <w:rStyle w:val="25"/>
          <w:rFonts w:hint="eastAsia" w:ascii="宋体" w:hAnsi="宋体" w:eastAsia="宋体" w:cs="宋体"/>
          <w:color w:val="auto"/>
          <w:sz w:val="24"/>
          <w:szCs w:val="24"/>
          <w:highlight w:val="none"/>
        </w:rPr>
        <w:t>在政府采购活动中，采购人员及相关人员与供应商有利害关系的，必须回避。供应商认为采购人员及相关人员与其他供应商有利害关系的，可以申请其回避。</w:t>
      </w:r>
      <w:r>
        <w:rPr>
          <w:rStyle w:val="25"/>
          <w:rFonts w:hint="eastAsia" w:ascii="宋体" w:hAnsi="宋体" w:eastAsia="宋体" w:cs="宋体"/>
          <w:color w:val="auto"/>
          <w:sz w:val="24"/>
          <w:szCs w:val="24"/>
          <w:highlight w:val="none"/>
          <w:lang w:eastAsia="zh-CN"/>
        </w:rPr>
        <w:t>”</w:t>
      </w:r>
    </w:p>
    <w:p>
      <w:pPr>
        <w:kinsoku w:val="0"/>
        <w:overflowPunct w:val="0"/>
        <w:autoSpaceDE w:val="0"/>
        <w:autoSpaceDN w:val="0"/>
        <w:adjustRightInd w:val="0"/>
        <w:spacing w:line="360" w:lineRule="auto"/>
        <w:ind w:firstLine="482" w:firstLineChars="200"/>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违反规定的，相关投标均无效。</w:t>
      </w:r>
    </w:p>
    <w:p>
      <w:pPr>
        <w:kinsoku w:val="0"/>
        <w:overflowPunct w:val="0"/>
        <w:autoSpaceDE w:val="0"/>
        <w:autoSpaceDN w:val="0"/>
        <w:adjustRightIn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特此声明！</w:t>
      </w:r>
    </w:p>
    <w:p>
      <w:pPr>
        <w:kinsoku w:val="0"/>
        <w:overflowPunct w:val="0"/>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如果以上声明不真实，我方承担虚假投标（响应）的责任，中标（成交）无效，并按法律、法规的规定接受处罚。</w:t>
      </w:r>
    </w:p>
    <w:p>
      <w:pPr>
        <w:kinsoku w:val="0"/>
        <w:overflowPunct w:val="0"/>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p>
    <w:p>
      <w:pPr>
        <w:kinsoku w:val="0"/>
        <w:overflowPunct w:val="0"/>
        <w:autoSpaceDE w:val="0"/>
        <w:autoSpaceDN w:val="0"/>
        <w:adjustRightInd w:val="0"/>
        <w:ind w:firstLine="600" w:firstLineChars="250"/>
        <w:rPr>
          <w:rFonts w:hint="eastAsia" w:ascii="宋体" w:hAnsi="宋体" w:eastAsia="宋体" w:cs="宋体"/>
          <w:bCs/>
          <w:color w:val="auto"/>
          <w:sz w:val="24"/>
          <w:szCs w:val="24"/>
          <w:highlight w:val="none"/>
        </w:rPr>
      </w:pPr>
    </w:p>
    <w:p>
      <w:pPr>
        <w:kinsoku w:val="0"/>
        <w:overflowPunct w:val="0"/>
        <w:autoSpaceDE w:val="0"/>
        <w:autoSpaceDN w:val="0"/>
        <w:adjustRightInd w:val="0"/>
        <w:ind w:firstLine="600" w:firstLineChars="250"/>
        <w:rPr>
          <w:rFonts w:hint="eastAsia" w:ascii="宋体" w:hAnsi="宋体" w:eastAsia="宋体" w:cs="宋体"/>
          <w:bCs/>
          <w:color w:val="auto"/>
          <w:sz w:val="24"/>
          <w:szCs w:val="24"/>
          <w:highlight w:val="none"/>
        </w:rPr>
      </w:pPr>
    </w:p>
    <w:p>
      <w:pPr>
        <w:kinsoku w:val="0"/>
        <w:overflowPunct w:val="0"/>
        <w:autoSpaceDE w:val="0"/>
        <w:autoSpaceDN w:val="0"/>
        <w:adjustRightInd w:val="0"/>
        <w:ind w:firstLine="600" w:firstLineChars="250"/>
        <w:rPr>
          <w:rFonts w:hint="eastAsia" w:ascii="宋体" w:hAnsi="宋体" w:eastAsia="宋体" w:cs="宋体"/>
          <w:bCs/>
          <w:color w:val="auto"/>
          <w:sz w:val="24"/>
          <w:szCs w:val="24"/>
          <w:highlight w:val="none"/>
        </w:rPr>
      </w:pPr>
    </w:p>
    <w:p>
      <w:pPr>
        <w:kinsoku w:val="0"/>
        <w:overflowPunct w:val="0"/>
        <w:autoSpaceDE w:val="0"/>
        <w:autoSpaceDN w:val="0"/>
        <w:adjustRightInd w:val="0"/>
        <w:spacing w:line="360" w:lineRule="auto"/>
        <w:ind w:firstLine="600" w:firstLineChars="250"/>
        <w:jc w:val="righ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声明人：</w:t>
      </w:r>
      <w:r>
        <w:rPr>
          <w:rFonts w:hint="eastAsia" w:ascii="宋体" w:hAnsi="宋体" w:eastAsia="宋体" w:cs="宋体"/>
          <w:bCs/>
          <w:color w:val="auto"/>
          <w:sz w:val="24"/>
          <w:szCs w:val="24"/>
          <w:highlight w:val="none"/>
          <w:u w:val="single"/>
        </w:rPr>
        <w:t xml:space="preserve">（供应商名称）               </w:t>
      </w:r>
    </w:p>
    <w:p>
      <w:pPr>
        <w:kinsoku w:val="0"/>
        <w:overflowPunct w:val="0"/>
        <w:autoSpaceDE w:val="0"/>
        <w:autoSpaceDN w:val="0"/>
        <w:adjustRightInd w:val="0"/>
        <w:spacing w:line="360" w:lineRule="auto"/>
        <w:ind w:firstLine="600" w:firstLineChars="250"/>
        <w:jc w:val="cente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                                                         法定代表人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（盖章）                   </w:t>
      </w:r>
    </w:p>
    <w:p>
      <w:pPr>
        <w:kinsoku w:val="0"/>
        <w:overflowPunct w:val="0"/>
        <w:autoSpaceDE w:val="0"/>
        <w:autoSpaceDN w:val="0"/>
        <w:adjustRightInd w:val="0"/>
        <w:spacing w:line="360" w:lineRule="auto"/>
        <w:ind w:firstLine="600" w:firstLineChars="250"/>
        <w:jc w:val="center"/>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日期：</w:t>
      </w:r>
      <w:r>
        <w:rPr>
          <w:rFonts w:hint="eastAsia" w:ascii="宋体" w:hAnsi="宋体" w:eastAsia="宋体" w:cs="宋体"/>
          <w:bCs/>
          <w:color w:val="auto"/>
          <w:szCs w:val="24"/>
          <w:highlight w:val="none"/>
        </w:rPr>
        <w:t xml:space="preserve"> </w:t>
      </w:r>
      <w:r>
        <w:rPr>
          <w:rFonts w:hint="eastAsia" w:ascii="宋体" w:hAnsi="宋体" w:eastAsia="宋体" w:cs="宋体"/>
          <w:bCs/>
          <w:color w:val="auto"/>
          <w:szCs w:val="24"/>
          <w:highlight w:val="none"/>
          <w:lang w:val="en-US" w:eastAsia="zh-CN"/>
        </w:rPr>
        <w:t>年  月  日</w:t>
      </w:r>
      <w:r>
        <w:rPr>
          <w:rFonts w:hint="eastAsia" w:ascii="宋体" w:hAnsi="宋体" w:eastAsia="宋体" w:cs="宋体"/>
          <w:bCs/>
          <w:color w:val="auto"/>
          <w:szCs w:val="24"/>
          <w:highlight w:val="none"/>
        </w:rPr>
        <w:t xml:space="preserve">                             </w:t>
      </w:r>
    </w:p>
    <w:p>
      <w:pPr>
        <w:kinsoku w:val="0"/>
        <w:overflowPunct w:val="0"/>
        <w:autoSpaceDE w:val="0"/>
        <w:autoSpaceDN w:val="0"/>
        <w:adjustRightInd w:val="0"/>
        <w:spacing w:line="360" w:lineRule="auto"/>
        <w:jc w:val="center"/>
        <w:rPr>
          <w:rFonts w:hint="eastAsia" w:ascii="宋体" w:hAnsi="宋体" w:eastAsia="宋体" w:cs="宋体"/>
          <w:b/>
          <w:bCs/>
          <w:color w:val="auto"/>
          <w:szCs w:val="24"/>
          <w:highlight w:val="none"/>
        </w:rPr>
      </w:pPr>
    </w:p>
    <w:p>
      <w:pPr>
        <w:pStyle w:val="18"/>
      </w:pPr>
    </w:p>
    <w:p/>
    <w:p>
      <w:pPr>
        <w:pStyle w:val="18"/>
      </w:pPr>
    </w:p>
    <w:p/>
    <w:p>
      <w:pPr>
        <w:pStyle w:val="18"/>
      </w:pPr>
    </w:p>
    <w:p/>
    <w:p>
      <w:pPr>
        <w:pStyle w:val="18"/>
      </w:pPr>
    </w:p>
    <w:p/>
    <w:p>
      <w:pPr>
        <w:pStyle w:val="18"/>
      </w:pPr>
    </w:p>
    <w:p/>
    <w:p>
      <w:pPr>
        <w:pStyle w:val="18"/>
      </w:pPr>
    </w:p>
    <w:p/>
    <w:p>
      <w:pPr>
        <w:pStyle w:val="18"/>
      </w:pPr>
    </w:p>
    <w:p/>
    <w:p>
      <w:pPr>
        <w:pStyle w:val="18"/>
      </w:pPr>
    </w:p>
    <w:p/>
    <w:p>
      <w:pPr>
        <w:pStyle w:val="18"/>
      </w:pPr>
    </w:p>
    <w:p/>
    <w:p>
      <w:pPr>
        <w:ind w:firstLine="562" w:firstLineChars="200"/>
        <w:rPr>
          <w:rFonts w:ascii="宋体" w:hAnsi="宋体" w:cs="宋体"/>
          <w:sz w:val="28"/>
          <w:szCs w:val="28"/>
        </w:rPr>
      </w:pPr>
      <w:r>
        <w:rPr>
          <w:rFonts w:hint="eastAsia" w:ascii="宋体" w:hAnsi="宋体" w:cs="宋体"/>
          <w:b/>
          <w:sz w:val="28"/>
          <w:szCs w:val="28"/>
        </w:rPr>
        <w:t>近年来完成业绩</w:t>
      </w:r>
    </w:p>
    <w:tbl>
      <w:tblPr>
        <w:tblStyle w:val="22"/>
        <w:tblW w:w="0" w:type="auto"/>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2575"/>
        <w:gridCol w:w="7083"/>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项目名称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项目所在地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采购人名称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采购人地址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采购人联系人及电话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合同价格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开工日期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完成日期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承担的工作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完成情况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技术负责人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项目描述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2575"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备注 </w:t>
            </w:r>
          </w:p>
        </w:tc>
        <w:tc>
          <w:tcPr>
            <w:tcW w:w="7083"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rPr>
                <w:rFonts w:ascii="宋体" w:hAnsi="宋体" w:cs="宋体"/>
                <w:sz w:val="27"/>
                <w:szCs w:val="27"/>
              </w:rPr>
            </w:pPr>
          </w:p>
        </w:tc>
      </w:tr>
    </w:tbl>
    <w:p>
      <w:pPr>
        <w:pStyle w:val="21"/>
        <w:spacing w:line="360" w:lineRule="auto"/>
        <w:rPr>
          <w:b/>
        </w:rPr>
      </w:pPr>
      <w:r>
        <w:rPr>
          <w:rFonts w:hint="eastAsia"/>
          <w:b/>
        </w:rPr>
        <w:br w:type="page"/>
      </w:r>
      <w:r>
        <w:rPr>
          <w:rFonts w:hint="eastAsia"/>
          <w:b/>
        </w:rPr>
        <w:t xml:space="preserve">附： </w:t>
      </w:r>
    </w:p>
    <w:p>
      <w:pPr>
        <w:ind w:right="480"/>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项目负责人简历</w:t>
      </w:r>
    </w:p>
    <w:p>
      <w:pPr>
        <w:pStyle w:val="21"/>
        <w:spacing w:line="360" w:lineRule="auto"/>
        <w:rPr>
          <w:sz w:val="27"/>
          <w:szCs w:val="27"/>
        </w:rPr>
      </w:pPr>
      <w:r>
        <w:rPr>
          <w:rFonts w:hint="eastAsia"/>
        </w:rPr>
        <w:t>供应商名称（公章）：</w:t>
      </w:r>
      <w:r>
        <w:rPr>
          <w:rFonts w:hint="eastAsia"/>
          <w:u w:val="single"/>
        </w:rPr>
        <w:t xml:space="preserve">            </w:t>
      </w:r>
      <w:r>
        <w:rPr>
          <w:rFonts w:hint="eastAsia"/>
        </w:rPr>
        <w:t xml:space="preserve">   </w:t>
      </w:r>
    </w:p>
    <w:tbl>
      <w:tblPr>
        <w:tblStyle w:val="22"/>
        <w:tblW w:w="0" w:type="auto"/>
        <w:jc w:val="center"/>
        <w:tblLayout w:type="fixed"/>
        <w:tblCellMar>
          <w:top w:w="0" w:type="dxa"/>
          <w:left w:w="0" w:type="dxa"/>
          <w:bottom w:w="0" w:type="dxa"/>
          <w:right w:w="0" w:type="dxa"/>
        </w:tblCellMar>
      </w:tblPr>
      <w:tblGrid>
        <w:gridCol w:w="1451"/>
        <w:gridCol w:w="642"/>
        <w:gridCol w:w="1045"/>
        <w:gridCol w:w="728"/>
        <w:gridCol w:w="939"/>
        <w:gridCol w:w="1466"/>
        <w:gridCol w:w="211"/>
        <w:gridCol w:w="2822"/>
      </w:tblGrid>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姓  名</w:t>
            </w:r>
          </w:p>
        </w:tc>
        <w:tc>
          <w:tcPr>
            <w:tcW w:w="1687"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728"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性别</w:t>
            </w:r>
          </w:p>
        </w:tc>
        <w:tc>
          <w:tcPr>
            <w:tcW w:w="939"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677"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出生日期</w:t>
            </w:r>
          </w:p>
        </w:tc>
        <w:tc>
          <w:tcPr>
            <w:tcW w:w="282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年  月  日</w:t>
            </w:r>
          </w:p>
        </w:tc>
      </w:tr>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毕业院校及专业</w:t>
            </w:r>
          </w:p>
        </w:tc>
        <w:tc>
          <w:tcPr>
            <w:tcW w:w="3354" w:type="dxa"/>
            <w:gridSpan w:val="4"/>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677"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毕业时间</w:t>
            </w:r>
          </w:p>
        </w:tc>
        <w:tc>
          <w:tcPr>
            <w:tcW w:w="282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年  月  日</w:t>
            </w:r>
          </w:p>
        </w:tc>
      </w:tr>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从事本专业时间</w:t>
            </w:r>
          </w:p>
        </w:tc>
        <w:tc>
          <w:tcPr>
            <w:tcW w:w="3354" w:type="dxa"/>
            <w:gridSpan w:val="4"/>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677"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服务时间</w:t>
            </w:r>
          </w:p>
        </w:tc>
        <w:tc>
          <w:tcPr>
            <w:tcW w:w="282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执业注册</w:t>
            </w:r>
          </w:p>
        </w:tc>
        <w:tc>
          <w:tcPr>
            <w:tcW w:w="3354" w:type="dxa"/>
            <w:gridSpan w:val="4"/>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677"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职称</w:t>
            </w:r>
          </w:p>
        </w:tc>
        <w:tc>
          <w:tcPr>
            <w:tcW w:w="282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kern w:val="0"/>
                <w:sz w:val="24"/>
                <w:szCs w:val="24"/>
              </w:rPr>
            </w:pPr>
            <w:r>
              <w:rPr>
                <w:rFonts w:hint="eastAsia" w:ascii="宋体" w:hAnsi="宋体" w:cs="宋体"/>
                <w:color w:val="000000"/>
                <w:kern w:val="0"/>
                <w:sz w:val="24"/>
                <w:szCs w:val="24"/>
              </w:rPr>
              <w:t>手机号</w:t>
            </w:r>
          </w:p>
        </w:tc>
        <w:tc>
          <w:tcPr>
            <w:tcW w:w="3354" w:type="dxa"/>
            <w:gridSpan w:val="4"/>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677"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kern w:val="0"/>
                <w:sz w:val="24"/>
                <w:szCs w:val="24"/>
              </w:rPr>
            </w:pPr>
            <w:r>
              <w:rPr>
                <w:rFonts w:hint="eastAsia" w:ascii="宋体" w:hAnsi="宋体" w:cs="宋体"/>
                <w:color w:val="000000"/>
                <w:kern w:val="0"/>
                <w:sz w:val="24"/>
                <w:szCs w:val="24"/>
              </w:rPr>
              <w:t>邮箱</w:t>
            </w:r>
          </w:p>
        </w:tc>
        <w:tc>
          <w:tcPr>
            <w:tcW w:w="282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在本项目中担任任务</w:t>
            </w:r>
          </w:p>
        </w:tc>
        <w:tc>
          <w:tcPr>
            <w:tcW w:w="7853" w:type="dxa"/>
            <w:gridSpan w:val="7"/>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vMerge w:val="restart"/>
            <w:tcBorders>
              <w:top w:val="single" w:color="auto" w:sz="8" w:space="0"/>
              <w:left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本人主要业绩</w:t>
            </w: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1</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工程项目名称及规模</w:t>
            </w: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完成年月</w:t>
            </w: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left"/>
              <w:rPr>
                <w:rFonts w:ascii="宋体" w:hAnsi="宋体" w:cs="宋体"/>
                <w:color w:val="000000"/>
                <w:sz w:val="24"/>
                <w:szCs w:val="24"/>
              </w:rPr>
            </w:pPr>
            <w:r>
              <w:rPr>
                <w:rFonts w:hint="eastAsia" w:ascii="宋体" w:hAnsi="宋体" w:cs="宋体"/>
                <w:color w:val="000000"/>
                <w:kern w:val="0"/>
                <w:sz w:val="24"/>
                <w:szCs w:val="24"/>
              </w:rPr>
              <w:t>在该项目中任何职位</w:t>
            </w:r>
          </w:p>
        </w:tc>
      </w:tr>
      <w:tr>
        <w:tblPrEx>
          <w:tblCellMar>
            <w:top w:w="0" w:type="dxa"/>
            <w:left w:w="0" w:type="dxa"/>
            <w:bottom w:w="0" w:type="dxa"/>
            <w:right w:w="0" w:type="dxa"/>
          </w:tblCellMar>
        </w:tblPrEx>
        <w:trPr>
          <w:trHeight w:val="620" w:hRule="atLeast"/>
          <w:jc w:val="center"/>
        </w:trPr>
        <w:tc>
          <w:tcPr>
            <w:tcW w:w="1451" w:type="dxa"/>
            <w:vMerge w:val="continue"/>
            <w:tcBorders>
              <w:left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2</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vMerge w:val="continue"/>
            <w:tcBorders>
              <w:left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3</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vMerge w:val="continue"/>
            <w:tcBorders>
              <w:left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4</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vMerge w:val="continue"/>
            <w:tcBorders>
              <w:left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5</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vMerge w:val="continue"/>
            <w:tcBorders>
              <w:left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6</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vMerge w:val="continue"/>
            <w:tcBorders>
              <w:left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7</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vMerge w:val="continue"/>
            <w:tcBorders>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642"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8</w:t>
            </w:r>
          </w:p>
        </w:tc>
        <w:tc>
          <w:tcPr>
            <w:tcW w:w="2712" w:type="dxa"/>
            <w:gridSpan w:val="3"/>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1466"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c>
          <w:tcPr>
            <w:tcW w:w="3033" w:type="dxa"/>
            <w:gridSpan w:val="2"/>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本人主要获奖情况</w:t>
            </w:r>
          </w:p>
        </w:tc>
        <w:tc>
          <w:tcPr>
            <w:tcW w:w="7853" w:type="dxa"/>
            <w:gridSpan w:val="7"/>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r>
        <w:tblPrEx>
          <w:tblCellMar>
            <w:top w:w="0" w:type="dxa"/>
            <w:left w:w="0" w:type="dxa"/>
            <w:bottom w:w="0" w:type="dxa"/>
            <w:right w:w="0" w:type="dxa"/>
          </w:tblCellMar>
        </w:tblPrEx>
        <w:trPr>
          <w:trHeight w:val="620" w:hRule="atLeast"/>
          <w:jc w:val="center"/>
        </w:trPr>
        <w:tc>
          <w:tcPr>
            <w:tcW w:w="1451" w:type="dxa"/>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r>
              <w:rPr>
                <w:rFonts w:hint="eastAsia" w:ascii="宋体" w:hAnsi="宋体" w:cs="宋体"/>
                <w:color w:val="000000"/>
                <w:kern w:val="0"/>
                <w:sz w:val="24"/>
                <w:szCs w:val="24"/>
              </w:rPr>
              <w:t>其它需补充的情况</w:t>
            </w:r>
          </w:p>
        </w:tc>
        <w:tc>
          <w:tcPr>
            <w:tcW w:w="7853" w:type="dxa"/>
            <w:gridSpan w:val="7"/>
            <w:tcBorders>
              <w:top w:val="single" w:color="auto" w:sz="8" w:space="0"/>
              <w:left w:val="single" w:color="auto" w:sz="8" w:space="0"/>
              <w:bottom w:val="single" w:color="auto" w:sz="8" w:space="0"/>
              <w:right w:val="single" w:color="auto" w:sz="8" w:space="0"/>
            </w:tcBorders>
            <w:vAlign w:val="center"/>
          </w:tcPr>
          <w:p>
            <w:pPr>
              <w:adjustRightInd w:val="0"/>
              <w:snapToGrid w:val="0"/>
              <w:jc w:val="center"/>
              <w:rPr>
                <w:rFonts w:ascii="宋体" w:hAnsi="宋体" w:cs="宋体"/>
                <w:color w:val="000000"/>
                <w:sz w:val="24"/>
                <w:szCs w:val="24"/>
              </w:rPr>
            </w:pPr>
          </w:p>
        </w:tc>
      </w:tr>
    </w:tbl>
    <w:p>
      <w:pPr>
        <w:spacing w:line="360" w:lineRule="auto"/>
        <w:ind w:firstLine="482" w:firstLineChars="200"/>
        <w:rPr>
          <w:rFonts w:ascii="宋体" w:hAnsi="宋体" w:cs="宋体"/>
          <w:b/>
          <w:bCs/>
          <w:sz w:val="24"/>
        </w:rPr>
      </w:pPr>
      <w:r>
        <w:rPr>
          <w:rFonts w:hint="eastAsia" w:ascii="宋体" w:hAnsi="宋体" w:cs="宋体"/>
          <w:b/>
          <w:bCs/>
          <w:sz w:val="24"/>
        </w:rPr>
        <w:t>注：本表后附所提供项目负责人人员职称/职业资格证书扫描件、社会保障部门出具并盖章的技术人员社保缴纳证明扫描件。</w:t>
      </w:r>
    </w:p>
    <w:p>
      <w:pPr>
        <w:spacing w:line="360" w:lineRule="auto"/>
        <w:ind w:firstLine="480" w:firstLineChars="200"/>
        <w:rPr>
          <w:rFonts w:ascii="宋体" w:hAnsi="宋体" w:cs="宋体"/>
          <w:kern w:val="0"/>
          <w:sz w:val="24"/>
        </w:rPr>
      </w:pPr>
      <w:r>
        <w:rPr>
          <w:rFonts w:hint="eastAsia" w:ascii="宋体" w:hAnsi="宋体" w:cs="宋体"/>
          <w:sz w:val="24"/>
        </w:rPr>
        <w:t>供应商（公章）</w:t>
      </w:r>
      <w:r>
        <w:rPr>
          <w:rFonts w:hint="eastAsia" w:ascii="宋体" w:hAnsi="宋体" w:cs="宋体"/>
          <w:kern w:val="0"/>
          <w:sz w:val="24"/>
        </w:rPr>
        <w:t xml:space="preserve">： </w:t>
      </w:r>
    </w:p>
    <w:p>
      <w:pPr>
        <w:spacing w:line="360" w:lineRule="auto"/>
        <w:ind w:firstLine="480" w:firstLineChars="200"/>
        <w:rPr>
          <w:rFonts w:ascii="宋体" w:hAnsi="宋体" w:cs="宋体"/>
          <w:sz w:val="24"/>
        </w:rPr>
      </w:pPr>
      <w:r>
        <w:rPr>
          <w:rFonts w:hint="eastAsia" w:ascii="宋体" w:hAnsi="宋体" w:cs="宋体"/>
          <w:sz w:val="24"/>
        </w:rPr>
        <w:t>全权代表（签字或盖章）：</w:t>
      </w:r>
    </w:p>
    <w:p>
      <w:pPr>
        <w:spacing w:line="360" w:lineRule="auto"/>
        <w:ind w:firstLine="480" w:firstLineChars="200"/>
        <w:rPr>
          <w:rFonts w:ascii="宋体" w:hAnsi="宋体" w:cs="宋体"/>
        </w:rPr>
        <w:sectPr>
          <w:footerReference r:id="rId5" w:type="default"/>
          <w:pgSz w:w="11910" w:h="16840"/>
          <w:pgMar w:top="1080" w:right="740" w:bottom="1020" w:left="900" w:header="875" w:footer="827" w:gutter="0"/>
          <w:pgNumType w:start="1"/>
          <w:cols w:space="720" w:num="1"/>
        </w:sectPr>
      </w:pPr>
      <w:r>
        <w:rPr>
          <w:rFonts w:hint="eastAsia" w:ascii="宋体" w:hAnsi="宋体" w:cs="宋体"/>
          <w:sz w:val="24"/>
        </w:rPr>
        <w:t>日     期：</w:t>
      </w:r>
    </w:p>
    <w:p>
      <w:pPr>
        <w:pStyle w:val="2"/>
        <w:ind w:left="0" w:leftChars="0" w:firstLine="0" w:firstLineChars="0"/>
        <w:rPr>
          <w:rFonts w:ascii="宋体" w:hAnsi="宋体" w:cs="宋体"/>
          <w:b/>
          <w:sz w:val="30"/>
          <w:szCs w:val="22"/>
        </w:rPr>
      </w:pPr>
      <w:r>
        <w:rPr>
          <w:rFonts w:hint="eastAsia" w:ascii="宋体" w:hAnsi="宋体" w:cs="宋体"/>
          <w:b/>
          <w:sz w:val="30"/>
          <w:szCs w:val="22"/>
        </w:rPr>
        <w:t>拟投入本项目从业人员</w:t>
      </w:r>
    </w:p>
    <w:p>
      <w:pPr>
        <w:jc w:val="center"/>
        <w:rPr>
          <w:rFonts w:ascii="宋体" w:hAnsi="宋体" w:cs="宋体"/>
          <w:sz w:val="22"/>
          <w:szCs w:val="22"/>
        </w:rPr>
      </w:pPr>
      <w:r>
        <w:rPr>
          <w:rFonts w:hint="eastAsia" w:ascii="宋体" w:hAnsi="宋体" w:cs="宋体"/>
          <w:sz w:val="22"/>
          <w:szCs w:val="22"/>
        </w:rPr>
        <w:t>拟投入本项目从业人员</w:t>
      </w:r>
    </w:p>
    <w:tbl>
      <w:tblPr>
        <w:tblStyle w:val="22"/>
        <w:tblW w:w="0" w:type="auto"/>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457"/>
        <w:gridCol w:w="608"/>
        <w:gridCol w:w="940"/>
        <w:gridCol w:w="1091"/>
        <w:gridCol w:w="1092"/>
        <w:gridCol w:w="1092"/>
        <w:gridCol w:w="1092"/>
        <w:gridCol w:w="1092"/>
        <w:gridCol w:w="1092"/>
        <w:gridCol w:w="1092"/>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57"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姓名（必填）</w:t>
            </w:r>
          </w:p>
        </w:tc>
        <w:tc>
          <w:tcPr>
            <w:tcW w:w="608"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身份证号（必填）</w:t>
            </w:r>
          </w:p>
        </w:tc>
        <w:tc>
          <w:tcPr>
            <w:tcW w:w="940"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性别</w:t>
            </w:r>
          </w:p>
        </w:tc>
        <w:tc>
          <w:tcPr>
            <w:tcW w:w="1091"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学历</w:t>
            </w: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职称</w:t>
            </w: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职务</w:t>
            </w: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从业年限</w:t>
            </w: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资质证书</w:t>
            </w: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获奖情况</w:t>
            </w: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b/>
                <w:sz w:val="22"/>
                <w:szCs w:val="22"/>
              </w:rPr>
            </w:pPr>
            <w:r>
              <w:rPr>
                <w:rFonts w:hint="eastAsia" w:ascii="宋体" w:hAnsi="宋体" w:cs="宋体"/>
                <w:b/>
                <w:sz w:val="22"/>
                <w:szCs w:val="22"/>
              </w:rPr>
              <w:t>备注</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57"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608"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940"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1"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single"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single"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single"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single"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single"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single" w:color="auto" w:sz="6" w:space="0"/>
              <w:bottom w:val="outset" w:color="auto" w:sz="6" w:space="0"/>
              <w:right w:val="outset" w:color="auto" w:sz="6" w:space="0"/>
              <w:tl2br w:val="nil"/>
              <w:tr2bl w:val="nil"/>
            </w:tcBorders>
            <w:vAlign w:val="center"/>
          </w:tcPr>
          <w:p>
            <w:pPr>
              <w:rPr>
                <w:rFonts w:ascii="宋体" w:hAnsi="宋体" w:cs="宋体"/>
                <w:sz w:val="22"/>
                <w:szCs w:val="22"/>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57"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608"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940"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1"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57"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608"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940"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1"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57"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608"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940"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1"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457"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608"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940"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1"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c>
          <w:tcPr>
            <w:tcW w:w="1092"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2"/>
                <w:szCs w:val="22"/>
              </w:rPr>
            </w:pPr>
          </w:p>
        </w:tc>
      </w:tr>
    </w:tbl>
    <w:p>
      <w:pPr>
        <w:pStyle w:val="21"/>
        <w:rPr>
          <w:b/>
          <w:sz w:val="28"/>
          <w:szCs w:val="28"/>
        </w:rPr>
      </w:pPr>
      <w:r>
        <w:rPr>
          <w:rFonts w:hint="eastAsia"/>
          <w:b/>
          <w:sz w:val="28"/>
          <w:szCs w:val="28"/>
        </w:rPr>
        <w:t>附：</w:t>
      </w:r>
    </w:p>
    <w:p>
      <w:pPr>
        <w:pStyle w:val="21"/>
        <w:spacing w:line="384" w:lineRule="auto"/>
      </w:pPr>
      <w:r>
        <w:rPr>
          <w:rFonts w:hint="eastAsia"/>
          <w:sz w:val="27"/>
          <w:szCs w:val="27"/>
        </w:rPr>
        <w:t>扫描件：</w:t>
      </w:r>
    </w:p>
    <w:tbl>
      <w:tblPr>
        <w:tblStyle w:val="22"/>
        <w:tblW w:w="0" w:type="auto"/>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988"/>
        <w:gridCol w:w="7430"/>
        <w:gridCol w:w="1236"/>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988"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序号 </w:t>
            </w:r>
          </w:p>
        </w:tc>
        <w:tc>
          <w:tcPr>
            <w:tcW w:w="7430"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证书名称 </w:t>
            </w:r>
          </w:p>
        </w:tc>
        <w:tc>
          <w:tcPr>
            <w:tcW w:w="1236" w:type="dxa"/>
            <w:tcBorders>
              <w:top w:val="outset" w:color="auto" w:sz="6" w:space="0"/>
              <w:left w:val="outset" w:color="auto" w:sz="6" w:space="0"/>
              <w:bottom w:val="outset" w:color="auto" w:sz="6" w:space="0"/>
              <w:right w:val="outset" w:color="auto" w:sz="6" w:space="0"/>
              <w:tl2br w:val="nil"/>
              <w:tr2bl w:val="nil"/>
            </w:tcBorders>
            <w:vAlign w:val="center"/>
          </w:tcPr>
          <w:p>
            <w:pPr>
              <w:widowControl/>
              <w:spacing w:line="384" w:lineRule="auto"/>
              <w:jc w:val="center"/>
              <w:rPr>
                <w:rFonts w:ascii="宋体" w:hAnsi="宋体" w:cs="宋体"/>
                <w:sz w:val="24"/>
                <w:szCs w:val="24"/>
              </w:rPr>
            </w:pPr>
            <w:r>
              <w:rPr>
                <w:rFonts w:hint="eastAsia" w:ascii="宋体" w:hAnsi="宋体" w:cs="宋体"/>
                <w:sz w:val="24"/>
                <w:szCs w:val="24"/>
              </w:rPr>
              <w:t xml:space="preserve">查看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jc w:val="center"/>
        </w:trPr>
        <w:tc>
          <w:tcPr>
            <w:tcW w:w="988" w:type="dxa"/>
            <w:tcBorders>
              <w:top w:val="outset" w:color="auto" w:sz="6" w:space="0"/>
              <w:left w:val="outset" w:color="auto" w:sz="6" w:space="0"/>
              <w:bottom w:val="outset" w:color="auto" w:sz="6" w:space="0"/>
              <w:right w:val="outset" w:color="auto" w:sz="6" w:space="0"/>
              <w:tl2br w:val="nil"/>
              <w:tr2bl w:val="nil"/>
            </w:tcBorders>
            <w:vAlign w:val="center"/>
          </w:tcPr>
          <w:p>
            <w:pPr>
              <w:jc w:val="center"/>
              <w:rPr>
                <w:rFonts w:ascii="宋体" w:hAnsi="宋体" w:cs="宋体"/>
                <w:sz w:val="24"/>
                <w:szCs w:val="24"/>
              </w:rPr>
            </w:pPr>
          </w:p>
        </w:tc>
        <w:tc>
          <w:tcPr>
            <w:tcW w:w="7430" w:type="dxa"/>
            <w:tcBorders>
              <w:top w:val="outset" w:color="auto" w:sz="6" w:space="0"/>
              <w:left w:val="outset" w:color="auto" w:sz="6" w:space="0"/>
              <w:bottom w:val="outset" w:color="auto" w:sz="6" w:space="0"/>
              <w:right w:val="outset" w:color="auto" w:sz="6" w:space="0"/>
              <w:tl2br w:val="nil"/>
              <w:tr2bl w:val="nil"/>
            </w:tcBorders>
            <w:vAlign w:val="center"/>
          </w:tcPr>
          <w:p>
            <w:pPr>
              <w:rPr>
                <w:rFonts w:ascii="宋体" w:hAnsi="宋体" w:cs="宋体"/>
                <w:sz w:val="24"/>
                <w:szCs w:val="24"/>
              </w:rPr>
            </w:pPr>
          </w:p>
        </w:tc>
        <w:tc>
          <w:tcPr>
            <w:tcW w:w="1236" w:type="dxa"/>
            <w:tcBorders>
              <w:top w:val="outset" w:color="auto" w:sz="6" w:space="0"/>
              <w:left w:val="single" w:color="auto" w:sz="6" w:space="0"/>
              <w:bottom w:val="outset" w:color="auto" w:sz="6" w:space="0"/>
              <w:right w:val="outset" w:color="auto" w:sz="6" w:space="0"/>
              <w:tl2br w:val="nil"/>
              <w:tr2bl w:val="nil"/>
            </w:tcBorders>
            <w:vAlign w:val="center"/>
          </w:tcPr>
          <w:p>
            <w:pPr>
              <w:rPr>
                <w:rFonts w:ascii="宋体" w:hAnsi="宋体" w:cs="宋体"/>
                <w:sz w:val="24"/>
                <w:szCs w:val="24"/>
              </w:rPr>
            </w:pPr>
          </w:p>
        </w:tc>
      </w:tr>
    </w:tbl>
    <w:p>
      <w:pPr>
        <w:pStyle w:val="2"/>
        <w:ind w:left="420" w:firstLine="440"/>
        <w:jc w:val="center"/>
        <w:rPr>
          <w:rFonts w:ascii="宋体" w:hAnsi="宋体" w:cs="宋体"/>
          <w:sz w:val="30"/>
          <w:szCs w:val="22"/>
        </w:rPr>
      </w:pPr>
      <w:r>
        <w:rPr>
          <w:rFonts w:hint="eastAsia" w:ascii="宋体" w:hAnsi="宋体" w:cs="宋体"/>
          <w:sz w:val="22"/>
          <w:szCs w:val="22"/>
        </w:rPr>
        <w:br w:type="page"/>
      </w:r>
      <w:r>
        <w:rPr>
          <w:rFonts w:hint="eastAsia" w:ascii="宋体" w:hAnsi="宋体" w:cs="宋体"/>
          <w:sz w:val="30"/>
          <w:szCs w:val="22"/>
        </w:rPr>
        <w:t>商务和技术偏差表</w:t>
      </w:r>
    </w:p>
    <w:p>
      <w:pPr>
        <w:spacing w:line="360" w:lineRule="auto"/>
        <w:jc w:val="center"/>
        <w:rPr>
          <w:rFonts w:ascii="宋体" w:hAnsi="宋体" w:cs="宋体"/>
          <w:b/>
          <w:sz w:val="24"/>
          <w:szCs w:val="22"/>
        </w:rPr>
      </w:pPr>
      <w:r>
        <w:rPr>
          <w:rFonts w:hint="eastAsia" w:ascii="宋体" w:hAnsi="宋体" w:cs="宋体"/>
          <w:b/>
          <w:sz w:val="24"/>
          <w:szCs w:val="22"/>
        </w:rPr>
        <w:t>商务偏差表</w:t>
      </w:r>
    </w:p>
    <w:p>
      <w:pPr>
        <w:snapToGrid w:val="0"/>
        <w:spacing w:before="60" w:after="60" w:line="360" w:lineRule="auto"/>
        <w:rPr>
          <w:rFonts w:ascii="宋体" w:hAnsi="宋体" w:cs="宋体"/>
          <w:sz w:val="24"/>
          <w:szCs w:val="22"/>
          <w:u w:val="single"/>
        </w:rPr>
      </w:pPr>
      <w:r>
        <w:rPr>
          <w:rFonts w:hint="eastAsia" w:ascii="宋体" w:hAnsi="宋体" w:cs="宋体"/>
          <w:sz w:val="24"/>
          <w:szCs w:val="22"/>
        </w:rPr>
        <w:t>项目编号：</w:t>
      </w:r>
      <w:r>
        <w:rPr>
          <w:rFonts w:hint="eastAsia" w:ascii="宋体" w:hAnsi="宋体" w:cs="宋体"/>
          <w:sz w:val="24"/>
          <w:szCs w:val="22"/>
          <w:u w:val="single"/>
        </w:rPr>
        <w:t>       </w:t>
      </w:r>
    </w:p>
    <w:p>
      <w:pPr>
        <w:spacing w:line="360" w:lineRule="auto"/>
        <w:rPr>
          <w:rFonts w:ascii="宋体" w:hAnsi="宋体" w:cs="宋体"/>
          <w:sz w:val="24"/>
          <w:szCs w:val="22"/>
        </w:rPr>
      </w:pPr>
      <w:r>
        <w:rPr>
          <w:rFonts w:hint="eastAsia" w:ascii="宋体" w:hAnsi="宋体" w:cs="宋体"/>
          <w:sz w:val="24"/>
          <w:szCs w:val="22"/>
        </w:rPr>
        <w:t>投标人名称：（加盖公章）</w:t>
      </w:r>
    </w:p>
    <w:p>
      <w:pPr>
        <w:spacing w:line="360" w:lineRule="auto"/>
        <w:rPr>
          <w:rFonts w:ascii="宋体" w:hAnsi="宋体" w:cs="宋体"/>
          <w:sz w:val="24"/>
          <w:szCs w:val="22"/>
        </w:rPr>
      </w:pPr>
      <w:r>
        <w:rPr>
          <w:rFonts w:hint="eastAsia" w:ascii="宋体" w:hAnsi="宋体" w:cs="宋体"/>
          <w:sz w:val="24"/>
          <w:szCs w:val="22"/>
        </w:rPr>
        <w:t>法定代表人或其授权代理人签字：</w:t>
      </w:r>
      <w:r>
        <w:rPr>
          <w:rFonts w:hint="eastAsia" w:ascii="宋体" w:hAnsi="宋体" w:cs="宋体"/>
          <w:sz w:val="24"/>
          <w:szCs w:val="22"/>
          <w:u w:val="single"/>
        </w:rPr>
        <w:t xml:space="preserve">         </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205"/>
        <w:gridCol w:w="2205"/>
        <w:gridCol w:w="2205"/>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序号</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招标文件要求</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投标文件实际情况</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偏差内容</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bl>
    <w:p>
      <w:pPr>
        <w:spacing w:line="360" w:lineRule="auto"/>
        <w:rPr>
          <w:rFonts w:ascii="宋体" w:hAnsi="宋体" w:cs="宋体"/>
          <w:sz w:val="24"/>
          <w:szCs w:val="22"/>
        </w:rPr>
      </w:pPr>
    </w:p>
    <w:p>
      <w:pPr>
        <w:spacing w:line="360" w:lineRule="auto"/>
        <w:ind w:firstLine="6840" w:firstLineChars="2850"/>
        <w:rPr>
          <w:rFonts w:ascii="宋体" w:hAnsi="宋体" w:cs="宋体"/>
          <w:sz w:val="24"/>
          <w:szCs w:val="22"/>
        </w:rPr>
      </w:pPr>
      <w:r>
        <w:rPr>
          <w:rFonts w:hint="eastAsia" w:ascii="宋体" w:hAnsi="宋体" w:cs="宋体"/>
          <w:sz w:val="24"/>
          <w:szCs w:val="22"/>
        </w:rPr>
        <w:t>年   月   日</w:t>
      </w:r>
    </w:p>
    <w:p>
      <w:pPr>
        <w:spacing w:line="360" w:lineRule="auto"/>
        <w:ind w:firstLine="6840" w:firstLineChars="2850"/>
        <w:rPr>
          <w:rFonts w:ascii="宋体" w:hAnsi="宋体" w:cs="宋体"/>
          <w:sz w:val="24"/>
          <w:szCs w:val="22"/>
        </w:rPr>
      </w:pPr>
    </w:p>
    <w:p>
      <w:pPr>
        <w:pStyle w:val="2"/>
        <w:ind w:left="420" w:firstLine="600"/>
        <w:jc w:val="center"/>
        <w:rPr>
          <w:rFonts w:ascii="宋体" w:hAnsi="宋体" w:cs="宋体"/>
          <w:sz w:val="30"/>
          <w:szCs w:val="22"/>
        </w:rPr>
      </w:pPr>
    </w:p>
    <w:p>
      <w:pPr>
        <w:spacing w:line="360" w:lineRule="auto"/>
        <w:jc w:val="center"/>
        <w:rPr>
          <w:rFonts w:ascii="宋体" w:hAnsi="宋体" w:cs="宋体"/>
          <w:b/>
          <w:sz w:val="24"/>
          <w:szCs w:val="22"/>
        </w:rPr>
      </w:pPr>
      <w:r>
        <w:rPr>
          <w:rFonts w:hint="eastAsia" w:ascii="宋体" w:hAnsi="宋体" w:cs="宋体"/>
          <w:b/>
          <w:sz w:val="24"/>
          <w:szCs w:val="22"/>
        </w:rPr>
        <w:br w:type="page"/>
      </w:r>
      <w:r>
        <w:rPr>
          <w:rFonts w:hint="eastAsia" w:ascii="宋体" w:hAnsi="宋体" w:cs="宋体"/>
          <w:b/>
          <w:sz w:val="24"/>
          <w:szCs w:val="22"/>
        </w:rPr>
        <w:t>技术偏差表</w:t>
      </w:r>
    </w:p>
    <w:p>
      <w:pPr>
        <w:snapToGrid w:val="0"/>
        <w:spacing w:line="360" w:lineRule="auto"/>
        <w:rPr>
          <w:rFonts w:ascii="宋体" w:hAnsi="宋体" w:cs="宋体"/>
          <w:sz w:val="24"/>
          <w:szCs w:val="22"/>
          <w:u w:val="single"/>
        </w:rPr>
      </w:pPr>
      <w:r>
        <w:rPr>
          <w:rFonts w:ascii="宋体" w:hAnsi="宋体" w:cs="宋体"/>
          <w:sz w:val="24"/>
          <w:szCs w:val="22"/>
        </w:rPr>
        <w:t>项目编号：</w:t>
      </w:r>
      <w:r>
        <w:rPr>
          <w:rFonts w:ascii="宋体" w:hAnsi="宋体" w:cs="宋体"/>
          <w:sz w:val="24"/>
          <w:szCs w:val="22"/>
          <w:u w:val="single"/>
        </w:rPr>
        <w:t>       </w:t>
      </w:r>
    </w:p>
    <w:p>
      <w:pPr>
        <w:spacing w:line="360" w:lineRule="auto"/>
        <w:rPr>
          <w:rFonts w:ascii="宋体" w:hAnsi="宋体" w:cs="宋体"/>
          <w:sz w:val="24"/>
          <w:szCs w:val="22"/>
        </w:rPr>
      </w:pPr>
      <w:r>
        <w:rPr>
          <w:rFonts w:ascii="宋体" w:hAnsi="宋体" w:cs="宋体"/>
          <w:sz w:val="24"/>
          <w:szCs w:val="22"/>
        </w:rPr>
        <w:t>投标人名称：（加盖公章）</w:t>
      </w:r>
    </w:p>
    <w:p>
      <w:pPr>
        <w:spacing w:line="360" w:lineRule="auto"/>
      </w:pPr>
      <w:r>
        <w:rPr>
          <w:rFonts w:ascii="宋体" w:hAnsi="宋体" w:cs="宋体"/>
          <w:sz w:val="24"/>
          <w:szCs w:val="22"/>
        </w:rPr>
        <w:t>法定代表人或其授权代理人签字：</w:t>
      </w:r>
      <w:r>
        <w:rPr>
          <w:rFonts w:ascii="宋体" w:hAnsi="宋体" w:cs="宋体"/>
          <w:sz w:val="24"/>
          <w:szCs w:val="22"/>
          <w:u w:val="single"/>
        </w:rPr>
        <w:t xml:space="preserve">         </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205"/>
        <w:gridCol w:w="2205"/>
        <w:gridCol w:w="2205"/>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序号</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招标文件要求</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投标文件实际情况</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偏差内容</w:t>
            </w:r>
          </w:p>
        </w:tc>
        <w:tc>
          <w:tcPr>
            <w:tcW w:w="2205" w:type="dxa"/>
            <w:tcBorders>
              <w:top w:val="single" w:color="auto" w:sz="4" w:space="0"/>
              <w:left w:val="single" w:color="auto" w:sz="4" w:space="0"/>
              <w:bottom w:val="single" w:color="auto" w:sz="4" w:space="0"/>
              <w:right w:val="single" w:color="auto" w:sz="4" w:space="0"/>
              <w:tl2br w:val="nil"/>
              <w:tr2bl w:val="nil"/>
            </w:tcBorders>
            <w:vAlign w:val="center"/>
          </w:tcPr>
          <w:p>
            <w:pPr>
              <w:spacing w:line="360" w:lineRule="auto"/>
              <w:jc w:val="center"/>
              <w:rPr>
                <w:rFonts w:ascii="宋体" w:hAnsi="宋体" w:cs="宋体"/>
                <w:sz w:val="24"/>
                <w:szCs w:val="22"/>
              </w:rPr>
            </w:pPr>
            <w:r>
              <w:rPr>
                <w:rFonts w:hint="eastAsia" w:ascii="宋体" w:hAnsi="宋体" w:cs="宋体"/>
                <w:sz w:val="24"/>
                <w:szCs w:val="22"/>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c>
          <w:tcPr>
            <w:tcW w:w="2205" w:type="dxa"/>
            <w:tcBorders>
              <w:top w:val="single" w:color="auto" w:sz="4" w:space="0"/>
              <w:left w:val="single" w:color="auto" w:sz="4" w:space="0"/>
              <w:bottom w:val="single" w:color="auto" w:sz="4" w:space="0"/>
              <w:right w:val="single" w:color="auto" w:sz="4" w:space="0"/>
              <w:tl2br w:val="nil"/>
              <w:tr2bl w:val="nil"/>
            </w:tcBorders>
          </w:tcPr>
          <w:p>
            <w:pPr>
              <w:spacing w:line="360" w:lineRule="auto"/>
              <w:rPr>
                <w:rFonts w:ascii="宋体" w:hAnsi="宋体" w:cs="宋体"/>
                <w:sz w:val="24"/>
                <w:szCs w:val="22"/>
              </w:rPr>
            </w:pPr>
          </w:p>
        </w:tc>
      </w:tr>
    </w:tbl>
    <w:p>
      <w:pPr>
        <w:spacing w:line="360" w:lineRule="auto"/>
        <w:rPr>
          <w:rFonts w:ascii="宋体" w:hAnsi="宋体" w:cs="宋体"/>
          <w:sz w:val="24"/>
          <w:szCs w:val="22"/>
        </w:rPr>
      </w:pPr>
    </w:p>
    <w:p>
      <w:pPr>
        <w:spacing w:line="360" w:lineRule="auto"/>
        <w:rPr>
          <w:rFonts w:ascii="宋体" w:hAnsi="宋体" w:cs="宋体"/>
          <w:sz w:val="24"/>
          <w:szCs w:val="22"/>
        </w:rPr>
      </w:pPr>
      <w:r>
        <w:rPr>
          <w:rFonts w:hint="eastAsia" w:ascii="宋体" w:hAnsi="宋体" w:cs="宋体"/>
          <w:sz w:val="24"/>
          <w:szCs w:val="22"/>
        </w:rPr>
        <w:t>说明：1、如投标文件与招标文件的要求存在偏差，则填写上表；</w:t>
      </w:r>
    </w:p>
    <w:p>
      <w:pPr>
        <w:spacing w:line="360" w:lineRule="auto"/>
        <w:ind w:firstLine="720" w:firstLineChars="300"/>
        <w:rPr>
          <w:rFonts w:ascii="宋体" w:hAnsi="宋体" w:cs="宋体"/>
          <w:sz w:val="24"/>
          <w:szCs w:val="22"/>
        </w:rPr>
      </w:pPr>
      <w:r>
        <w:rPr>
          <w:rFonts w:hint="eastAsia" w:ascii="宋体" w:hAnsi="宋体" w:cs="宋体"/>
          <w:sz w:val="24"/>
          <w:szCs w:val="22"/>
        </w:rPr>
        <w:t>2、除本技术偏离表所列的偏离指标外，其他所有技术参数均应完全响应“招标文件”的要求。</w:t>
      </w:r>
    </w:p>
    <w:p>
      <w:pPr>
        <w:pStyle w:val="47"/>
        <w:ind w:firstLine="720" w:firstLineChars="300"/>
        <w:rPr>
          <w:rFonts w:hAnsi="宋体"/>
          <w:u w:val="single"/>
        </w:rPr>
      </w:pPr>
    </w:p>
    <w:p>
      <w:pPr>
        <w:spacing w:line="360" w:lineRule="auto"/>
        <w:ind w:firstLine="6840" w:firstLineChars="2850"/>
        <w:rPr>
          <w:rFonts w:ascii="宋体" w:hAnsi="宋体" w:cs="宋体"/>
          <w:sz w:val="24"/>
          <w:szCs w:val="22"/>
        </w:rPr>
      </w:pPr>
      <w:r>
        <w:rPr>
          <w:rFonts w:hint="eastAsia" w:ascii="宋体" w:hAnsi="宋体" w:cs="宋体"/>
          <w:sz w:val="24"/>
          <w:szCs w:val="22"/>
        </w:rPr>
        <w:t>年   月   日</w:t>
      </w:r>
    </w:p>
    <w:p>
      <w:pPr>
        <w:spacing w:line="360" w:lineRule="auto"/>
        <w:rPr>
          <w:rFonts w:ascii="宋体" w:hAnsi="宋体" w:cs="宋体"/>
          <w:sz w:val="28"/>
          <w:szCs w:val="28"/>
        </w:rPr>
      </w:pPr>
    </w:p>
    <w:p>
      <w:pPr>
        <w:spacing w:line="360" w:lineRule="auto"/>
        <w:jc w:val="center"/>
        <w:rPr>
          <w:rFonts w:ascii="宋体" w:hAnsi="宋体" w:cs="宋体"/>
          <w:b/>
          <w:sz w:val="24"/>
          <w:szCs w:val="22"/>
        </w:rPr>
      </w:pPr>
      <w:r>
        <w:rPr>
          <w:rFonts w:hint="eastAsia" w:ascii="宋体" w:hAnsi="宋体" w:cs="宋体"/>
          <w:sz w:val="22"/>
          <w:szCs w:val="22"/>
        </w:rPr>
        <w:br w:type="page"/>
      </w:r>
      <w:r>
        <w:rPr>
          <w:rFonts w:hint="eastAsia" w:ascii="宋体" w:hAnsi="宋体" w:cs="宋体"/>
          <w:b/>
          <w:sz w:val="24"/>
          <w:szCs w:val="22"/>
        </w:rPr>
        <w:t>分项报价表</w:t>
      </w:r>
    </w:p>
    <w:p>
      <w:pPr>
        <w:snapToGrid w:val="0"/>
        <w:spacing w:before="60" w:after="60" w:line="360" w:lineRule="auto"/>
        <w:rPr>
          <w:rFonts w:hint="eastAsia" w:ascii="宋体" w:hAnsi="宋体" w:eastAsia="宋体" w:cs="宋体"/>
          <w:color w:val="0070C0"/>
          <w:sz w:val="24"/>
          <w:szCs w:val="22"/>
          <w:lang w:val="en-US" w:eastAsia="zh-CN"/>
        </w:rPr>
      </w:pPr>
      <w:r>
        <w:rPr>
          <w:rFonts w:hint="eastAsia" w:ascii="宋体" w:hAnsi="宋体" w:cs="宋体"/>
          <w:sz w:val="24"/>
          <w:szCs w:val="22"/>
        </w:rPr>
        <w:t xml:space="preserve">项目编号：                                                      </w:t>
      </w:r>
      <w:r>
        <w:rPr>
          <w:rFonts w:hint="eastAsia" w:ascii="宋体" w:hAnsi="宋体" w:cs="宋体"/>
          <w:color w:val="0070C0"/>
          <w:sz w:val="24"/>
          <w:szCs w:val="22"/>
        </w:rPr>
        <w:t xml:space="preserve">  </w:t>
      </w:r>
      <w:r>
        <w:rPr>
          <w:rFonts w:hint="eastAsia" w:ascii="宋体" w:hAnsi="宋体" w:cs="宋体"/>
          <w:sz w:val="24"/>
          <w:szCs w:val="22"/>
        </w:rPr>
        <w:t>单位：</w:t>
      </w:r>
      <w:r>
        <w:rPr>
          <w:rFonts w:hint="eastAsia" w:ascii="宋体" w:hAnsi="宋体" w:cs="宋体"/>
          <w:sz w:val="24"/>
          <w:szCs w:val="22"/>
          <w:lang w:val="en-US" w:eastAsia="zh-CN"/>
        </w:rPr>
        <w:t>万元</w:t>
      </w:r>
    </w:p>
    <w:tbl>
      <w:tblPr>
        <w:tblStyle w:val="22"/>
        <w:tblpPr w:leftFromText="180" w:rightFromText="180" w:vertAnchor="text" w:horzAnchor="page" w:tblpX="1402" w:tblpY="28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1545"/>
        <w:gridCol w:w="1155"/>
        <w:gridCol w:w="1006"/>
        <w:gridCol w:w="1154"/>
        <w:gridCol w:w="1154"/>
        <w:gridCol w:w="1154"/>
        <w:gridCol w:w="1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09"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r>
              <w:rPr>
                <w:rFonts w:hint="eastAsia" w:ascii="宋体" w:hAnsi="宋体" w:cs="宋体"/>
                <w:sz w:val="24"/>
                <w:szCs w:val="22"/>
              </w:rPr>
              <w:t>序号</w:t>
            </w:r>
          </w:p>
        </w:tc>
        <w:tc>
          <w:tcPr>
            <w:tcW w:w="1545"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r>
              <w:rPr>
                <w:rFonts w:hint="eastAsia" w:ascii="宋体" w:hAnsi="宋体" w:cs="宋体"/>
                <w:sz w:val="24"/>
                <w:szCs w:val="22"/>
                <w:lang w:val="en-US" w:eastAsia="zh-CN"/>
              </w:rPr>
              <w:t>服务</w:t>
            </w:r>
            <w:r>
              <w:rPr>
                <w:rFonts w:hint="eastAsia" w:ascii="宋体" w:hAnsi="宋体" w:cs="宋体"/>
                <w:sz w:val="24"/>
                <w:szCs w:val="22"/>
              </w:rPr>
              <w:t>名称</w:t>
            </w:r>
          </w:p>
        </w:tc>
        <w:tc>
          <w:tcPr>
            <w:tcW w:w="1155"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default" w:ascii="宋体" w:hAnsi="宋体" w:eastAsia="宋体" w:cs="宋体"/>
                <w:sz w:val="24"/>
                <w:szCs w:val="22"/>
                <w:lang w:val="en-US" w:eastAsia="zh-CN"/>
              </w:rPr>
            </w:pPr>
            <w:r>
              <w:rPr>
                <w:rFonts w:hint="eastAsia" w:ascii="宋体" w:hAnsi="宋体" w:cs="宋体"/>
                <w:sz w:val="24"/>
                <w:szCs w:val="22"/>
                <w:lang w:val="en-US" w:eastAsia="zh-CN"/>
              </w:rPr>
              <w:t>服务内容</w:t>
            </w:r>
          </w:p>
        </w:tc>
        <w:tc>
          <w:tcPr>
            <w:tcW w:w="100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r>
              <w:rPr>
                <w:rFonts w:hint="eastAsia" w:ascii="宋体" w:hAnsi="宋体" w:cs="宋体"/>
                <w:sz w:val="24"/>
                <w:szCs w:val="22"/>
              </w:rPr>
              <w:t>单位</w:t>
            </w: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r>
              <w:rPr>
                <w:rFonts w:hint="eastAsia" w:ascii="宋体" w:hAnsi="宋体" w:cs="宋体"/>
                <w:sz w:val="24"/>
                <w:szCs w:val="22"/>
              </w:rPr>
              <w:t>数量</w:t>
            </w: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textAlignment w:val="top"/>
              <w:rPr>
                <w:rFonts w:ascii="宋体" w:hAnsi="宋体" w:cs="宋体"/>
                <w:sz w:val="24"/>
                <w:szCs w:val="22"/>
              </w:rPr>
            </w:pPr>
            <w:r>
              <w:rPr>
                <w:rFonts w:hint="eastAsia" w:ascii="宋体" w:hAnsi="宋体" w:cs="宋体"/>
                <w:color w:val="000000"/>
                <w:sz w:val="24"/>
                <w:szCs w:val="22"/>
              </w:rPr>
              <w:t>单价</w:t>
            </w: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textAlignment w:val="top"/>
              <w:rPr>
                <w:rFonts w:ascii="宋体" w:hAnsi="宋体" w:cs="宋体"/>
                <w:sz w:val="24"/>
                <w:szCs w:val="22"/>
              </w:rPr>
            </w:pPr>
            <w:r>
              <w:rPr>
                <w:rFonts w:hint="eastAsia" w:ascii="宋体" w:hAnsi="宋体" w:cs="宋体"/>
                <w:color w:val="000000"/>
                <w:sz w:val="24"/>
                <w:szCs w:val="22"/>
              </w:rPr>
              <w:t>合价</w:t>
            </w: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textAlignment w:val="top"/>
              <w:rPr>
                <w:rFonts w:hint="eastAsia" w:ascii="宋体" w:hAnsi="宋体" w:eastAsia="宋体" w:cs="宋体"/>
                <w:sz w:val="24"/>
                <w:szCs w:val="22"/>
                <w:lang w:eastAsia="zh-CN"/>
              </w:rPr>
            </w:pPr>
            <w:r>
              <w:rPr>
                <w:rFonts w:hint="eastAsia" w:ascii="宋体" w:hAnsi="宋体" w:cs="宋体"/>
                <w:sz w:val="24"/>
                <w:szCs w:val="22"/>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09"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r>
              <w:rPr>
                <w:rFonts w:hint="eastAsia" w:hAnsi="宋体"/>
              </w:rPr>
              <w:t>1</w:t>
            </w:r>
          </w:p>
        </w:tc>
        <w:tc>
          <w:tcPr>
            <w:tcW w:w="1545"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p>
        </w:tc>
        <w:tc>
          <w:tcPr>
            <w:tcW w:w="1155"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006"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09"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r>
              <w:rPr>
                <w:rFonts w:hint="eastAsia" w:hAnsi="宋体"/>
              </w:rPr>
              <w:t>2</w:t>
            </w:r>
          </w:p>
        </w:tc>
        <w:tc>
          <w:tcPr>
            <w:tcW w:w="1545"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p>
        </w:tc>
        <w:tc>
          <w:tcPr>
            <w:tcW w:w="1155"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006"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09"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r>
              <w:rPr>
                <w:rFonts w:hint="eastAsia" w:hAnsi="宋体"/>
              </w:rPr>
              <w:t>3</w:t>
            </w:r>
          </w:p>
        </w:tc>
        <w:tc>
          <w:tcPr>
            <w:tcW w:w="1545"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p>
        </w:tc>
        <w:tc>
          <w:tcPr>
            <w:tcW w:w="1155"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006"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09"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r>
              <w:rPr>
                <w:rFonts w:hint="eastAsia" w:hAnsi="宋体"/>
              </w:rPr>
              <w:t>4</w:t>
            </w:r>
          </w:p>
        </w:tc>
        <w:tc>
          <w:tcPr>
            <w:tcW w:w="1545"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r>
              <w:rPr>
                <w:rFonts w:hint="eastAsia" w:ascii="宋体" w:hAnsi="宋体" w:cs="宋体"/>
                <w:sz w:val="24"/>
                <w:szCs w:val="22"/>
              </w:rPr>
              <w:t>......</w:t>
            </w:r>
          </w:p>
        </w:tc>
        <w:tc>
          <w:tcPr>
            <w:tcW w:w="1155"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006"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c>
          <w:tcPr>
            <w:tcW w:w="1154"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09" w:type="dxa"/>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r>
              <w:rPr>
                <w:rFonts w:hint="eastAsia" w:hAnsi="宋体"/>
              </w:rPr>
              <w:t>5</w:t>
            </w:r>
          </w:p>
        </w:tc>
        <w:tc>
          <w:tcPr>
            <w:tcW w:w="1545"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szCs w:val="22"/>
              </w:rPr>
            </w:pPr>
            <w:r>
              <w:rPr>
                <w:rFonts w:hint="eastAsia" w:ascii="宋体" w:hAnsi="宋体" w:cs="宋体"/>
                <w:sz w:val="24"/>
                <w:szCs w:val="22"/>
              </w:rPr>
              <w:t>总价：</w:t>
            </w:r>
          </w:p>
        </w:tc>
        <w:tc>
          <w:tcPr>
            <w:tcW w:w="677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47"/>
              <w:jc w:val="center"/>
              <w:rPr>
                <w:rFonts w:hAnsi="宋体"/>
              </w:rPr>
            </w:pPr>
            <w:r>
              <w:rPr>
                <w:rFonts w:hint="eastAsia" w:hAnsi="宋体"/>
              </w:rPr>
              <w:t xml:space="preserve"> </w:t>
            </w:r>
          </w:p>
        </w:tc>
      </w:tr>
    </w:tbl>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pStyle w:val="47"/>
        <w:rPr>
          <w:rFonts w:hAnsi="宋体"/>
        </w:rPr>
      </w:pPr>
    </w:p>
    <w:p>
      <w:pPr>
        <w:rPr>
          <w:rFonts w:ascii="宋体" w:hAnsi="宋体" w:cs="宋体"/>
          <w:sz w:val="22"/>
          <w:szCs w:val="22"/>
        </w:rPr>
      </w:pPr>
    </w:p>
    <w:p>
      <w:pPr>
        <w:spacing w:line="360" w:lineRule="auto"/>
        <w:outlineLvl w:val="0"/>
        <w:rPr>
          <w:rFonts w:hint="eastAsia" w:ascii="宋体" w:hAnsi="宋体" w:cs="宋体"/>
          <w:sz w:val="24"/>
          <w:szCs w:val="22"/>
        </w:rPr>
      </w:pPr>
      <w:r>
        <w:rPr>
          <w:rFonts w:hint="eastAsia" w:ascii="宋体" w:hAnsi="宋体" w:cs="宋体"/>
          <w:sz w:val="24"/>
          <w:szCs w:val="22"/>
        </w:rPr>
        <w:t>说明：本表须按所投服务内容填写所包含内容。</w:t>
      </w:r>
    </w:p>
    <w:p>
      <w:pPr>
        <w:spacing w:line="360" w:lineRule="auto"/>
        <w:outlineLvl w:val="0"/>
        <w:rPr>
          <w:rFonts w:ascii="宋体" w:hAnsi="宋体" w:cs="宋体"/>
          <w:sz w:val="24"/>
          <w:szCs w:val="22"/>
        </w:rPr>
      </w:pPr>
      <w:bookmarkStart w:id="88" w:name="_Toc19818"/>
      <w:bookmarkStart w:id="89" w:name="_Toc27785"/>
      <w:bookmarkStart w:id="90" w:name="_Toc7447"/>
      <w:r>
        <w:rPr>
          <w:rFonts w:hint="eastAsia" w:ascii="宋体" w:hAnsi="宋体" w:cs="宋体"/>
          <w:sz w:val="24"/>
          <w:szCs w:val="22"/>
        </w:rPr>
        <w:t>投标人名称（公章）：</w:t>
      </w:r>
      <w:bookmarkEnd w:id="88"/>
      <w:bookmarkEnd w:id="89"/>
      <w:bookmarkEnd w:id="90"/>
    </w:p>
    <w:p>
      <w:pPr>
        <w:spacing w:line="360" w:lineRule="auto"/>
        <w:outlineLvl w:val="0"/>
        <w:rPr>
          <w:rFonts w:ascii="宋体" w:hAnsi="宋体" w:cs="宋体"/>
          <w:b/>
          <w:sz w:val="30"/>
          <w:szCs w:val="30"/>
        </w:rPr>
      </w:pPr>
      <w:bookmarkStart w:id="91" w:name="_Toc348"/>
      <w:bookmarkStart w:id="92" w:name="_Toc30749"/>
      <w:bookmarkStart w:id="93" w:name="_Toc32145"/>
      <w:r>
        <w:rPr>
          <w:rFonts w:hint="eastAsia" w:ascii="宋体" w:hAnsi="宋体" w:cs="宋体"/>
          <w:sz w:val="24"/>
          <w:szCs w:val="22"/>
        </w:rPr>
        <w:t>授权代理人签字：</w:t>
      </w:r>
      <w:r>
        <w:rPr>
          <w:rFonts w:hint="eastAsia" w:ascii="宋体" w:hAnsi="宋体" w:cs="宋体"/>
          <w:b/>
          <w:sz w:val="30"/>
          <w:szCs w:val="30"/>
        </w:rPr>
        <w:br w:type="page"/>
      </w:r>
      <w:r>
        <w:rPr>
          <w:rFonts w:hint="eastAsia" w:ascii="宋体" w:hAnsi="宋体" w:cs="宋体"/>
          <w:b/>
          <w:sz w:val="28"/>
          <w:szCs w:val="36"/>
        </w:rPr>
        <w:t>政府采购政策</w:t>
      </w:r>
      <w:bookmarkEnd w:id="91"/>
      <w:bookmarkEnd w:id="92"/>
      <w:bookmarkEnd w:id="93"/>
    </w:p>
    <w:p>
      <w:pPr>
        <w:spacing w:line="360" w:lineRule="auto"/>
        <w:rPr>
          <w:rFonts w:ascii="宋体" w:hAnsi="宋体" w:cs="宋体"/>
          <w:sz w:val="24"/>
          <w:szCs w:val="22"/>
        </w:rPr>
      </w:pPr>
    </w:p>
    <w:p>
      <w:pPr>
        <w:pStyle w:val="37"/>
        <w:widowControl/>
        <w:ind w:left="0" w:leftChars="0" w:firstLine="0" w:firstLineChars="0"/>
        <w:jc w:val="center"/>
        <w:rPr>
          <w:b/>
          <w:sz w:val="30"/>
          <w:szCs w:val="30"/>
        </w:rPr>
      </w:pPr>
      <w:r>
        <w:rPr>
          <w:rFonts w:hint="eastAsia"/>
          <w:b/>
          <w:sz w:val="30"/>
          <w:szCs w:val="30"/>
        </w:rPr>
        <w:t>小微企业证明</w:t>
      </w:r>
    </w:p>
    <w:p>
      <w:pPr>
        <w:pStyle w:val="37"/>
        <w:widowControl/>
        <w:ind w:left="630" w:leftChars="300" w:firstLine="0" w:firstLineChars="0"/>
        <w:jc w:val="center"/>
        <w:rPr>
          <w:b/>
          <w:sz w:val="21"/>
          <w:szCs w:val="21"/>
        </w:rPr>
      </w:pPr>
      <w:r>
        <w:rPr>
          <w:rFonts w:hint="eastAsia"/>
          <w:b/>
          <w:sz w:val="21"/>
          <w:szCs w:val="21"/>
        </w:rPr>
        <w:t>（若不涉及监狱企业、小微企业、残疾人福利性单位，不需要提供以下相应表格和材料）</w:t>
      </w:r>
    </w:p>
    <w:p>
      <w:pPr>
        <w:pStyle w:val="37"/>
        <w:widowControl/>
        <w:ind w:left="630" w:leftChars="300" w:firstLine="0" w:firstLineChars="0"/>
        <w:rPr>
          <w:b/>
        </w:rPr>
      </w:pPr>
    </w:p>
    <w:p>
      <w:pPr>
        <w:spacing w:line="500" w:lineRule="exact"/>
        <w:ind w:firstLine="480"/>
        <w:jc w:val="center"/>
        <w:rPr>
          <w:rFonts w:ascii="宋体" w:hAnsi="宋体" w:cs="宋体"/>
          <w:b/>
          <w:sz w:val="30"/>
          <w:szCs w:val="30"/>
        </w:rPr>
      </w:pPr>
      <w:bookmarkStart w:id="94" w:name="_Toc431394823"/>
      <w:bookmarkStart w:id="95" w:name="_Toc431392585"/>
      <w:bookmarkStart w:id="96" w:name="_Toc432612919"/>
      <w:bookmarkStart w:id="97" w:name="_Toc437430203"/>
      <w:bookmarkStart w:id="98" w:name="_Toc445730685"/>
      <w:bookmarkStart w:id="99" w:name="_Toc442098659"/>
      <w:r>
        <w:rPr>
          <w:rFonts w:hint="eastAsia" w:ascii="宋体" w:hAnsi="宋体" w:cs="宋体"/>
          <w:b/>
          <w:sz w:val="30"/>
          <w:szCs w:val="30"/>
        </w:rPr>
        <w:t>附件：监狱企业、小型和微型企业、残疾人福利性单位</w:t>
      </w:r>
    </w:p>
    <w:p>
      <w:pPr>
        <w:spacing w:line="500" w:lineRule="exact"/>
        <w:ind w:firstLine="602"/>
        <w:jc w:val="center"/>
        <w:rPr>
          <w:rFonts w:ascii="宋体" w:hAnsi="宋体" w:cs="宋体"/>
          <w:b/>
          <w:sz w:val="30"/>
          <w:szCs w:val="30"/>
        </w:rPr>
      </w:pPr>
      <w:r>
        <w:rPr>
          <w:rFonts w:hint="eastAsia" w:ascii="宋体" w:hAnsi="宋体" w:cs="宋体"/>
          <w:b/>
          <w:sz w:val="30"/>
          <w:szCs w:val="30"/>
        </w:rPr>
        <w:t>报价说明表</w:t>
      </w:r>
    </w:p>
    <w:p>
      <w:pPr>
        <w:spacing w:line="500" w:lineRule="exact"/>
        <w:ind w:firstLine="480"/>
        <w:rPr>
          <w:rFonts w:ascii="宋体" w:hAnsi="宋体" w:cs="宋体"/>
          <w:b/>
          <w:sz w:val="30"/>
          <w:szCs w:val="30"/>
        </w:rPr>
      </w:pPr>
      <w:r>
        <w:rPr>
          <w:rFonts w:hint="eastAsia" w:ascii="宋体" w:hAnsi="宋体" w:cs="宋体"/>
          <w:sz w:val="22"/>
          <w:szCs w:val="22"/>
        </w:rPr>
        <w:t>投标人名称：（加盖公章）              包号：</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1689"/>
        <w:gridCol w:w="2694"/>
        <w:gridCol w:w="886"/>
        <w:gridCol w:w="484"/>
        <w:gridCol w:w="753"/>
        <w:gridCol w:w="753"/>
        <w:gridCol w:w="588"/>
        <w:gridCol w:w="516"/>
        <w:gridCol w:w="787"/>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243" w:type="pct"/>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序号</w:t>
            </w:r>
          </w:p>
        </w:tc>
        <w:tc>
          <w:tcPr>
            <w:tcW w:w="545" w:type="pct"/>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货物（服务、工程）名称</w:t>
            </w:r>
          </w:p>
        </w:tc>
        <w:tc>
          <w:tcPr>
            <w:tcW w:w="527" w:type="pct"/>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型号/规格（工程、服务类项目不需填写）</w:t>
            </w:r>
          </w:p>
        </w:tc>
        <w:tc>
          <w:tcPr>
            <w:tcW w:w="402" w:type="pct"/>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制造商名称</w:t>
            </w:r>
          </w:p>
        </w:tc>
        <w:tc>
          <w:tcPr>
            <w:tcW w:w="452" w:type="pct"/>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数量</w:t>
            </w:r>
          </w:p>
        </w:tc>
        <w:tc>
          <w:tcPr>
            <w:tcW w:w="904" w:type="pct"/>
            <w:gridSpan w:val="2"/>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小型、微型企业报价</w:t>
            </w:r>
          </w:p>
        </w:tc>
        <w:tc>
          <w:tcPr>
            <w:tcW w:w="981" w:type="pct"/>
            <w:gridSpan w:val="2"/>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监狱企业报价</w:t>
            </w:r>
          </w:p>
        </w:tc>
        <w:tc>
          <w:tcPr>
            <w:tcW w:w="946" w:type="pct"/>
            <w:gridSpan w:val="2"/>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残疾人福利性单位报价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243" w:type="pct"/>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p>
        </w:tc>
        <w:tc>
          <w:tcPr>
            <w:tcW w:w="545" w:type="pct"/>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p>
        </w:tc>
        <w:tc>
          <w:tcPr>
            <w:tcW w:w="527" w:type="pct"/>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p>
        </w:tc>
        <w:tc>
          <w:tcPr>
            <w:tcW w:w="402" w:type="pct"/>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p>
        </w:tc>
        <w:tc>
          <w:tcPr>
            <w:tcW w:w="452" w:type="pct"/>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单价</w:t>
            </w:r>
          </w:p>
        </w:tc>
        <w:tc>
          <w:tcPr>
            <w:tcW w:w="452" w:type="pc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小计</w:t>
            </w:r>
          </w:p>
        </w:tc>
        <w:tc>
          <w:tcPr>
            <w:tcW w:w="528" w:type="pc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单价</w:t>
            </w:r>
          </w:p>
        </w:tc>
        <w:tc>
          <w:tcPr>
            <w:tcW w:w="453" w:type="pc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小计</w:t>
            </w:r>
          </w:p>
        </w:tc>
        <w:tc>
          <w:tcPr>
            <w:tcW w:w="452" w:type="pc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单价</w:t>
            </w:r>
          </w:p>
        </w:tc>
        <w:tc>
          <w:tcPr>
            <w:tcW w:w="494" w:type="pct"/>
            <w:tcBorders>
              <w:top w:val="single" w:color="auto" w:sz="4" w:space="0"/>
              <w:left w:val="single" w:color="auto" w:sz="4" w:space="0"/>
              <w:bottom w:val="single" w:color="auto" w:sz="4" w:space="0"/>
              <w:right w:val="single" w:color="auto" w:sz="4" w:space="0"/>
              <w:tl2br w:val="nil"/>
              <w:tr2bl w:val="nil"/>
            </w:tcBorders>
            <w:noWrap/>
            <w:vAlign w:val="center"/>
          </w:tcPr>
          <w:p>
            <w:pPr>
              <w:rPr>
                <w:rFonts w:ascii="宋体" w:hAnsi="宋体" w:cs="宋体"/>
                <w:sz w:val="22"/>
                <w:szCs w:val="22"/>
              </w:rPr>
            </w:pPr>
            <w:r>
              <w:rPr>
                <w:rFonts w:hint="eastAsia" w:ascii="宋体" w:hAnsi="宋体" w:cs="宋体"/>
                <w:sz w:val="22"/>
                <w:szCs w:val="22"/>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243" w:type="pct"/>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p>
        </w:tc>
        <w:tc>
          <w:tcPr>
            <w:tcW w:w="545"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527"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0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528"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3"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94"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243" w:type="pct"/>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p>
        </w:tc>
        <w:tc>
          <w:tcPr>
            <w:tcW w:w="545"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527"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0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528"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3"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94"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243" w:type="pct"/>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p>
        </w:tc>
        <w:tc>
          <w:tcPr>
            <w:tcW w:w="545"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527"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0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rPr>
            </w:pPr>
          </w:p>
        </w:tc>
        <w:tc>
          <w:tcPr>
            <w:tcW w:w="528"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3"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52"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c>
          <w:tcPr>
            <w:tcW w:w="494" w:type="pct"/>
            <w:tcBorders>
              <w:top w:val="single" w:color="auto" w:sz="4" w:space="0"/>
              <w:left w:val="single" w:color="auto" w:sz="4" w:space="0"/>
              <w:bottom w:val="single" w:color="auto" w:sz="4" w:space="0"/>
              <w:right w:val="single" w:color="auto" w:sz="4" w:space="0"/>
              <w:tl2br w:val="nil"/>
              <w:tr2bl w:val="nil"/>
            </w:tcBorders>
            <w:noWrap/>
          </w:tcPr>
          <w:p>
            <w:pPr>
              <w:ind w:firstLine="480"/>
              <w:rPr>
                <w:rFonts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2168" w:type="pct"/>
            <w:gridSpan w:val="5"/>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r>
              <w:rPr>
                <w:rFonts w:hint="eastAsia" w:ascii="宋体" w:hAnsi="宋体" w:cs="宋体"/>
                <w:sz w:val="22"/>
                <w:szCs w:val="22"/>
              </w:rPr>
              <w:t>小型、微型企业、监狱、残疾人福利性单位提供服务报价总计</w:t>
            </w:r>
          </w:p>
        </w:tc>
        <w:tc>
          <w:tcPr>
            <w:tcW w:w="904" w:type="pct"/>
            <w:gridSpan w:val="2"/>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p>
        </w:tc>
        <w:tc>
          <w:tcPr>
            <w:tcW w:w="981" w:type="pct"/>
            <w:gridSpan w:val="2"/>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p>
        </w:tc>
        <w:tc>
          <w:tcPr>
            <w:tcW w:w="946" w:type="pct"/>
            <w:gridSpan w:val="2"/>
            <w:tcBorders>
              <w:top w:val="single" w:color="auto" w:sz="4" w:space="0"/>
              <w:left w:val="single" w:color="auto" w:sz="4" w:space="0"/>
              <w:bottom w:val="single" w:color="auto" w:sz="4" w:space="0"/>
              <w:right w:val="single" w:color="auto" w:sz="4" w:space="0"/>
              <w:tl2br w:val="nil"/>
              <w:tr2bl w:val="nil"/>
            </w:tcBorders>
            <w:noWrap/>
            <w:vAlign w:val="center"/>
          </w:tcPr>
          <w:p>
            <w:pPr>
              <w:ind w:firstLine="480"/>
              <w:jc w:val="center"/>
              <w:rPr>
                <w:rFonts w:ascii="宋体" w:hAnsi="宋体" w:cs="宋体"/>
                <w:sz w:val="22"/>
                <w:szCs w:val="22"/>
              </w:rPr>
            </w:pPr>
          </w:p>
        </w:tc>
      </w:tr>
    </w:tbl>
    <w:p>
      <w:pPr>
        <w:spacing w:line="360" w:lineRule="auto"/>
        <w:ind w:firstLine="482"/>
        <w:rPr>
          <w:rFonts w:ascii="宋体" w:hAnsi="宋体" w:cs="宋体"/>
          <w:sz w:val="22"/>
        </w:rPr>
      </w:pPr>
      <w:r>
        <w:rPr>
          <w:rFonts w:hint="eastAsia" w:ascii="宋体" w:hAnsi="宋体" w:cs="宋体"/>
          <w:sz w:val="22"/>
        </w:rPr>
        <w:t>附注：</w:t>
      </w:r>
    </w:p>
    <w:p>
      <w:pPr>
        <w:spacing w:line="360" w:lineRule="auto"/>
        <w:ind w:firstLine="482"/>
        <w:rPr>
          <w:rFonts w:ascii="宋体" w:hAnsi="宋体" w:cs="宋体"/>
          <w:sz w:val="22"/>
          <w:szCs w:val="22"/>
        </w:rPr>
      </w:pPr>
      <w:r>
        <w:rPr>
          <w:rFonts w:hint="eastAsia" w:ascii="宋体" w:hAnsi="宋体" w:cs="宋体"/>
          <w:sz w:val="22"/>
          <w:szCs w:val="22"/>
        </w:rPr>
        <w:t>1、填入的小型、微型企业报价必须是该企业制造（货物）、承建（工程）、承接（服务）。</w:t>
      </w:r>
    </w:p>
    <w:p>
      <w:pPr>
        <w:spacing w:line="360" w:lineRule="auto"/>
        <w:ind w:firstLine="482"/>
        <w:rPr>
          <w:rFonts w:ascii="宋体" w:hAnsi="宋体" w:cs="宋体"/>
          <w:sz w:val="22"/>
          <w:szCs w:val="22"/>
        </w:rPr>
      </w:pPr>
      <w:r>
        <w:rPr>
          <w:rFonts w:hint="eastAsia" w:ascii="宋体" w:hAnsi="宋体" w:cs="宋体"/>
          <w:sz w:val="22"/>
          <w:szCs w:val="22"/>
        </w:rPr>
        <w:t>2、填入的监狱企业报价、残疾人福利性单位报价内容须是该企业制造生产且使用该企业商号或者注册商标的产品（或代理的其它监狱企业、残疾人福利性单位生产的产品）。</w:t>
      </w:r>
    </w:p>
    <w:p>
      <w:pPr>
        <w:spacing w:line="360" w:lineRule="auto"/>
        <w:ind w:firstLine="482"/>
        <w:rPr>
          <w:rFonts w:ascii="宋体" w:hAnsi="宋体" w:cs="宋体"/>
          <w:sz w:val="22"/>
          <w:szCs w:val="22"/>
        </w:rPr>
      </w:pPr>
      <w:r>
        <w:rPr>
          <w:rFonts w:hint="eastAsia" w:ascii="宋体" w:hAnsi="宋体" w:cs="宋体"/>
          <w:sz w:val="22"/>
          <w:szCs w:val="22"/>
        </w:rPr>
        <w:t>3、填写本表的监狱企业应当在响应文件（投标文件中）提供由省级以上监狱管理局、戒毒管理局（含新疆生产建设兵团）出具的属于监狱企业证明文件扫描件加盖公章。代理监狱企业生产产品的，须提供所代理企业的监狱企业证明。</w:t>
      </w:r>
    </w:p>
    <w:p>
      <w:pPr>
        <w:spacing w:line="360" w:lineRule="auto"/>
        <w:ind w:firstLine="482"/>
        <w:rPr>
          <w:rFonts w:ascii="宋体" w:hAnsi="宋体" w:cs="宋体"/>
          <w:sz w:val="22"/>
          <w:szCs w:val="22"/>
        </w:rPr>
      </w:pPr>
      <w:r>
        <w:rPr>
          <w:rFonts w:hint="eastAsia" w:ascii="宋体" w:hAnsi="宋体" w:cs="宋体"/>
          <w:sz w:val="22"/>
          <w:szCs w:val="22"/>
        </w:rPr>
        <w:t>4、填写本表的小型和微型企业应当出具《中小企业声明函》。</w:t>
      </w:r>
    </w:p>
    <w:p>
      <w:pPr>
        <w:spacing w:line="360" w:lineRule="auto"/>
        <w:ind w:firstLine="482"/>
        <w:rPr>
          <w:rFonts w:ascii="宋体" w:hAnsi="宋体" w:cs="宋体"/>
          <w:sz w:val="22"/>
          <w:szCs w:val="22"/>
        </w:rPr>
      </w:pPr>
      <w:r>
        <w:rPr>
          <w:rFonts w:hint="eastAsia" w:ascii="宋体" w:hAnsi="宋体" w:cs="宋体"/>
          <w:sz w:val="22"/>
          <w:szCs w:val="22"/>
        </w:rPr>
        <w:t>5、填写本表的残疾人福利性单位应当提供《残疾人福利性单位声明》。代理残疾人福利性单位企业生产产品的应当提供所代理企业的残疾人福利性单位声明。</w:t>
      </w:r>
    </w:p>
    <w:p>
      <w:pPr>
        <w:spacing w:line="360" w:lineRule="auto"/>
        <w:ind w:firstLine="482"/>
        <w:rPr>
          <w:rFonts w:ascii="宋体" w:hAnsi="宋体" w:cs="宋体"/>
          <w:sz w:val="22"/>
          <w:szCs w:val="22"/>
        </w:rPr>
      </w:pPr>
      <w:r>
        <w:rPr>
          <w:rFonts w:hint="eastAsia" w:ascii="宋体" w:hAnsi="宋体" w:cs="宋体"/>
          <w:sz w:val="22"/>
          <w:szCs w:val="22"/>
        </w:rPr>
        <w:t>6、不填报本表，不需提供《监狱企业证明文件》、《中小企业声明函》、《残疾人福利性单位声明函》，但评审时不享受政府采购政策的价格折扣或价格加分。</w:t>
      </w:r>
    </w:p>
    <w:p>
      <w:pPr>
        <w:pStyle w:val="37"/>
        <w:ind w:left="0" w:leftChars="0" w:firstLine="0" w:firstLineChars="0"/>
        <w:rPr>
          <w:sz w:val="21"/>
        </w:rPr>
      </w:pPr>
    </w:p>
    <w:p>
      <w:pPr>
        <w:pStyle w:val="37"/>
        <w:rPr>
          <w:sz w:val="21"/>
        </w:rPr>
      </w:pPr>
    </w:p>
    <w:p>
      <w:pPr>
        <w:pStyle w:val="8"/>
        <w:spacing w:line="449" w:lineRule="exact"/>
        <w:ind w:right="138" w:firstLine="3614" w:firstLineChars="1000"/>
        <w:rPr>
          <w:rFonts w:ascii="宋体" w:hAnsi="宋体" w:cs="宋体"/>
          <w:b w:val="0"/>
          <w:sz w:val="36"/>
          <w:szCs w:val="36"/>
        </w:rPr>
      </w:pPr>
      <w:bookmarkStart w:id="100" w:name="_Toc5231"/>
      <w:bookmarkStart w:id="101" w:name="_Toc3144"/>
      <w:bookmarkStart w:id="102" w:name="_Toc1785"/>
      <w:r>
        <w:rPr>
          <w:rFonts w:hint="eastAsia" w:ascii="宋体" w:hAnsi="宋体" w:cs="宋体"/>
          <w:sz w:val="36"/>
          <w:szCs w:val="36"/>
        </w:rPr>
        <w:t>中小企业声明函</w:t>
      </w:r>
      <w:bookmarkEnd w:id="100"/>
      <w:bookmarkEnd w:id="101"/>
      <w:bookmarkEnd w:id="102"/>
    </w:p>
    <w:p>
      <w:pPr>
        <w:spacing w:before="2" w:line="360" w:lineRule="auto"/>
        <w:ind w:firstLine="944"/>
        <w:rPr>
          <w:rFonts w:ascii="宋体" w:hAnsi="宋体" w:cs="宋体"/>
          <w:b/>
          <w:sz w:val="24"/>
          <w:szCs w:val="24"/>
        </w:rPr>
      </w:pPr>
    </w:p>
    <w:p>
      <w:pPr>
        <w:pStyle w:val="6"/>
        <w:spacing w:line="360" w:lineRule="auto"/>
        <w:ind w:right="138" w:firstLine="480"/>
        <w:rPr>
          <w:sz w:val="24"/>
          <w:szCs w:val="24"/>
        </w:rPr>
      </w:pPr>
      <w:r>
        <w:rPr>
          <w:rFonts w:hint="eastAsia"/>
          <w:sz w:val="24"/>
          <w:szCs w:val="24"/>
        </w:rPr>
        <w:t>本公司（联合体）郑重声明，根据《政府采购促进中小企业发展管理办法》（财库﹝2020﹞46号）的规定，本公司（联合体）参加</w:t>
      </w:r>
      <w:r>
        <w:rPr>
          <w:rFonts w:hint="eastAsia"/>
          <w:sz w:val="24"/>
          <w:szCs w:val="24"/>
          <w:u w:val="single"/>
        </w:rPr>
        <w:t>（单位名称）</w:t>
      </w:r>
      <w:r>
        <w:rPr>
          <w:rFonts w:hint="eastAsia"/>
          <w:sz w:val="24"/>
          <w:szCs w:val="24"/>
        </w:rPr>
        <w:t>的</w:t>
      </w:r>
      <w:r>
        <w:rPr>
          <w:rFonts w:hint="eastAsia"/>
          <w:sz w:val="24"/>
          <w:szCs w:val="24"/>
          <w:u w:val="single"/>
        </w:rPr>
        <w:t>（项目名称）</w:t>
      </w:r>
      <w:r>
        <w:rPr>
          <w:rFonts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tabs>
          <w:tab w:val="left" w:pos="1706"/>
          <w:tab w:val="left" w:pos="4905"/>
          <w:tab w:val="left" w:pos="7113"/>
        </w:tabs>
        <w:spacing w:before="11" w:line="360" w:lineRule="auto"/>
        <w:ind w:left="105" w:right="138" w:firstLine="48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 xml:space="preserve"> （标的名称）</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w:t>
      </w:r>
      <w:r>
        <w:rPr>
          <w:rFonts w:hint="eastAsia" w:ascii="宋体" w:hAnsi="宋体" w:cs="宋体"/>
          <w:sz w:val="24"/>
          <w:szCs w:val="24"/>
          <w:vertAlign w:val="superscript"/>
        </w:rPr>
        <w:t>1</w:t>
      </w:r>
      <w:r>
        <w:rPr>
          <w:rFonts w:hint="eastAsia" w:ascii="宋体" w:hAnsi="宋体" w:cs="宋体"/>
          <w:sz w:val="24"/>
          <w:szCs w:val="24"/>
        </w:rPr>
        <w:t>，属于（</w:t>
      </w:r>
      <w:r>
        <w:rPr>
          <w:rFonts w:hint="eastAsia" w:ascii="宋体" w:hAnsi="宋体" w:cs="宋体"/>
          <w:sz w:val="24"/>
          <w:szCs w:val="24"/>
          <w:u w:val="single"/>
        </w:rPr>
        <w:t>中型企业、小型企业、微型企业</w:t>
      </w:r>
      <w:r>
        <w:rPr>
          <w:rFonts w:hint="eastAsia" w:ascii="宋体" w:hAnsi="宋体" w:cs="宋体"/>
          <w:sz w:val="24"/>
          <w:szCs w:val="24"/>
        </w:rPr>
        <w:t>）；</w:t>
      </w:r>
    </w:p>
    <w:p>
      <w:pPr>
        <w:tabs>
          <w:tab w:val="left" w:pos="1706"/>
          <w:tab w:val="left" w:pos="4905"/>
          <w:tab w:val="left" w:pos="7113"/>
        </w:tabs>
        <w:spacing w:before="23" w:line="360" w:lineRule="auto"/>
        <w:ind w:left="105" w:right="138" w:firstLine="48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pPr>
        <w:pStyle w:val="6"/>
        <w:spacing w:before="34" w:line="360" w:lineRule="auto"/>
        <w:ind w:left="765" w:right="138" w:firstLine="480"/>
        <w:rPr>
          <w:sz w:val="24"/>
          <w:szCs w:val="24"/>
        </w:rPr>
      </w:pPr>
      <w:r>
        <w:rPr>
          <w:rFonts w:hint="eastAsia"/>
          <w:sz w:val="24"/>
          <w:szCs w:val="24"/>
        </w:rPr>
        <w:t xml:space="preserve">…… </w:t>
      </w:r>
    </w:p>
    <w:p>
      <w:pPr>
        <w:pStyle w:val="6"/>
        <w:spacing w:line="360" w:lineRule="auto"/>
        <w:ind w:firstLine="720" w:firstLineChars="300"/>
        <w:rPr>
          <w:sz w:val="24"/>
          <w:szCs w:val="24"/>
        </w:rPr>
      </w:pPr>
      <w:r>
        <w:rPr>
          <w:rFonts w:hint="eastAsia"/>
          <w:sz w:val="24"/>
          <w:szCs w:val="24"/>
        </w:rPr>
        <w:t>以上企业，不属于大企业的分支机构，不存在控股股东为大企业的情形，也不存在与大企业的负责人为同一人的情形。</w:t>
      </w:r>
    </w:p>
    <w:p>
      <w:pPr>
        <w:pStyle w:val="6"/>
        <w:spacing w:before="23" w:line="360" w:lineRule="auto"/>
        <w:ind w:right="138" w:firstLine="480"/>
        <w:rPr>
          <w:sz w:val="24"/>
          <w:szCs w:val="24"/>
        </w:rPr>
      </w:pPr>
      <w:r>
        <w:rPr>
          <w:rFonts w:hint="eastAsia"/>
          <w:sz w:val="24"/>
          <w:szCs w:val="24"/>
        </w:rPr>
        <w:t>本企业对上述声明内容的真实性负责。如有虚假，将依法承担相应责任。</w:t>
      </w:r>
    </w:p>
    <w:p>
      <w:pPr>
        <w:pStyle w:val="6"/>
        <w:spacing w:before="56" w:line="360" w:lineRule="auto"/>
        <w:ind w:left="3960" w:right="1748" w:firstLine="480"/>
        <w:rPr>
          <w:sz w:val="24"/>
          <w:szCs w:val="24"/>
        </w:rPr>
      </w:pPr>
      <w:r>
        <w:rPr>
          <w:rFonts w:hint="eastAsia"/>
          <w:sz w:val="24"/>
          <w:szCs w:val="24"/>
        </w:rPr>
        <w:t xml:space="preserve">企业名称（加盖公章）： </w:t>
      </w:r>
    </w:p>
    <w:p>
      <w:pPr>
        <w:pStyle w:val="6"/>
        <w:spacing w:before="56" w:line="360" w:lineRule="auto"/>
        <w:ind w:left="3960" w:right="1748" w:firstLine="480"/>
        <w:rPr>
          <w:sz w:val="24"/>
          <w:szCs w:val="24"/>
          <w:lang w:val="en-US"/>
        </w:rPr>
      </w:pPr>
      <w:r>
        <w:rPr>
          <w:rFonts w:hint="eastAsia"/>
          <w:sz w:val="24"/>
          <w:szCs w:val="24"/>
        </w:rPr>
        <w:t>日 期：</w:t>
      </w:r>
      <w:r>
        <w:rPr>
          <w:rFonts w:hint="eastAsia"/>
          <w:sz w:val="24"/>
          <w:szCs w:val="24"/>
          <w:lang w:val="en-US"/>
        </w:rPr>
        <w:t xml:space="preserve">  年  月  日</w:t>
      </w:r>
    </w:p>
    <w:p>
      <w:pPr>
        <w:pStyle w:val="20"/>
        <w:spacing w:line="360" w:lineRule="auto"/>
        <w:ind w:firstLine="480"/>
        <w:rPr>
          <w:rFonts w:ascii="宋体" w:hAnsi="宋体" w:cs="宋体"/>
          <w:sz w:val="24"/>
          <w:szCs w:val="24"/>
          <w:lang w:val="zh-CN"/>
        </w:rPr>
      </w:pPr>
    </w:p>
    <w:p>
      <w:pPr>
        <w:rPr>
          <w:rFonts w:ascii="宋体" w:hAnsi="宋体" w:cs="宋体"/>
          <w:sz w:val="22"/>
          <w:szCs w:val="22"/>
        </w:rPr>
      </w:pPr>
    </w:p>
    <w:p>
      <w:pPr>
        <w:spacing w:line="360" w:lineRule="auto"/>
        <w:ind w:firstLine="420"/>
        <w:rPr>
          <w:rFonts w:ascii="宋体" w:hAnsi="宋体" w:cs="宋体"/>
          <w:sz w:val="24"/>
          <w:szCs w:val="24"/>
        </w:rPr>
      </w:pPr>
      <w:r>
        <w:rPr>
          <w:rFonts w:hint="eastAsia" w:ascii="宋体" w:hAnsi="宋体" w:cs="宋体"/>
          <w:sz w:val="24"/>
          <w:szCs w:val="24"/>
        </w:rPr>
        <w:t>注：从业人员、营业收入、资产总额填报上一年度数据，无上一年度数据的新成立企业可不填报。</w:t>
      </w:r>
    </w:p>
    <w:p>
      <w:pPr>
        <w:ind w:firstLine="480"/>
        <w:rPr>
          <w:rFonts w:ascii="宋体" w:hAnsi="宋体" w:cs="宋体"/>
          <w:sz w:val="22"/>
          <w:szCs w:val="22"/>
        </w:rPr>
      </w:pPr>
    </w:p>
    <w:p>
      <w:pPr>
        <w:pStyle w:val="10"/>
        <w:ind w:left="420"/>
        <w:rPr>
          <w:rFonts w:ascii="宋体" w:hAnsi="宋体" w:cs="宋体"/>
          <w:b w:val="0"/>
          <w:szCs w:val="32"/>
          <w:lang w:val="zh-CN"/>
        </w:rPr>
      </w:pPr>
    </w:p>
    <w:p>
      <w:pPr>
        <w:rPr>
          <w:rFonts w:ascii="宋体" w:hAnsi="宋体" w:cs="宋体"/>
          <w:b/>
          <w:sz w:val="30"/>
          <w:szCs w:val="30"/>
        </w:rPr>
      </w:pPr>
    </w:p>
    <w:p>
      <w:pPr>
        <w:rPr>
          <w:rFonts w:ascii="宋体" w:hAnsi="宋体" w:cs="宋体"/>
          <w:b/>
          <w:sz w:val="30"/>
          <w:szCs w:val="30"/>
        </w:rPr>
      </w:pPr>
    </w:p>
    <w:p>
      <w:pPr>
        <w:rPr>
          <w:rFonts w:ascii="宋体" w:hAnsi="宋体" w:cs="宋体"/>
          <w:b/>
          <w:sz w:val="30"/>
          <w:szCs w:val="30"/>
        </w:rPr>
      </w:pPr>
      <w:r>
        <w:rPr>
          <w:rFonts w:hint="eastAsia" w:ascii="宋体" w:hAnsi="宋体" w:cs="宋体"/>
          <w:b/>
          <w:sz w:val="30"/>
          <w:szCs w:val="30"/>
        </w:rPr>
        <w:br w:type="page"/>
      </w:r>
    </w:p>
    <w:p>
      <w:pPr>
        <w:rPr>
          <w:rFonts w:ascii="宋体" w:hAnsi="宋体" w:cs="宋体"/>
        </w:rPr>
      </w:pPr>
    </w:p>
    <w:p>
      <w:pPr>
        <w:pStyle w:val="8"/>
        <w:spacing w:line="449" w:lineRule="exact"/>
        <w:ind w:right="138"/>
        <w:jc w:val="center"/>
        <w:rPr>
          <w:rFonts w:ascii="宋体" w:hAnsi="宋体" w:cs="宋体"/>
          <w:sz w:val="36"/>
          <w:szCs w:val="36"/>
        </w:rPr>
      </w:pPr>
      <w:r>
        <w:rPr>
          <w:rFonts w:hint="eastAsia" w:ascii="宋体" w:hAnsi="宋体" w:cs="宋体"/>
          <w:sz w:val="36"/>
          <w:szCs w:val="36"/>
        </w:rPr>
        <w:t>从业人员声明函</w:t>
      </w:r>
    </w:p>
    <w:p>
      <w:pPr>
        <w:autoSpaceDE w:val="0"/>
        <w:autoSpaceDN w:val="0"/>
        <w:spacing w:line="360" w:lineRule="auto"/>
        <w:ind w:firstLine="504"/>
        <w:rPr>
          <w:rFonts w:ascii="宋体" w:hAnsi="宋体" w:cs="宋体"/>
          <w:sz w:val="24"/>
          <w:szCs w:val="24"/>
          <w:lang w:val="zh-CN"/>
        </w:rPr>
      </w:pPr>
    </w:p>
    <w:p>
      <w:pPr>
        <w:autoSpaceDE w:val="0"/>
        <w:autoSpaceDN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本公司郑重声明：根据《政府采购促进中小企业发展暂行办法》（财库【2011】181号）、《工业和信息部、国家统计局、国家发展和改革委员会、财政部关于印发中小企业划型标准规定的通知》（工信部联企业【2011】300号）规定，本公司从业人员数为</w:t>
      </w:r>
      <w:r>
        <w:rPr>
          <w:rFonts w:hint="eastAsia" w:ascii="宋体" w:hAnsi="宋体" w:cs="宋体"/>
          <w:sz w:val="24"/>
          <w:szCs w:val="24"/>
          <w:u w:val="single"/>
        </w:rPr>
        <w:t xml:space="preserve">        </w:t>
      </w:r>
      <w:r>
        <w:rPr>
          <w:rFonts w:hint="eastAsia" w:ascii="宋体" w:hAnsi="宋体" w:cs="宋体"/>
          <w:sz w:val="24"/>
          <w:szCs w:val="24"/>
          <w:lang w:val="zh-CN"/>
        </w:rPr>
        <w:t>。</w:t>
      </w:r>
    </w:p>
    <w:p>
      <w:pPr>
        <w:autoSpaceDE w:val="0"/>
        <w:autoSpaceDN w:val="0"/>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本公司对上述声明的真实性负责，如有虚假，将依法承担相应责任。</w:t>
      </w:r>
    </w:p>
    <w:p>
      <w:pPr>
        <w:pStyle w:val="6"/>
        <w:spacing w:before="56" w:line="360" w:lineRule="auto"/>
        <w:ind w:left="3960" w:right="1748" w:firstLine="480"/>
        <w:rPr>
          <w:sz w:val="24"/>
          <w:szCs w:val="24"/>
        </w:rPr>
      </w:pPr>
      <w:r>
        <w:rPr>
          <w:rFonts w:hint="eastAsia"/>
          <w:sz w:val="24"/>
          <w:szCs w:val="24"/>
        </w:rPr>
        <w:t xml:space="preserve">企业名称（加盖公章）： </w:t>
      </w:r>
    </w:p>
    <w:p>
      <w:pPr>
        <w:pStyle w:val="6"/>
        <w:spacing w:before="56" w:line="360" w:lineRule="auto"/>
        <w:ind w:left="3960" w:right="1748" w:firstLine="480"/>
        <w:rPr>
          <w:sz w:val="24"/>
          <w:szCs w:val="24"/>
          <w:lang w:val="en-US"/>
        </w:rPr>
      </w:pPr>
      <w:r>
        <w:rPr>
          <w:rFonts w:hint="eastAsia"/>
          <w:sz w:val="24"/>
          <w:szCs w:val="24"/>
        </w:rPr>
        <w:t>日 期：</w:t>
      </w:r>
      <w:r>
        <w:rPr>
          <w:rFonts w:hint="eastAsia"/>
          <w:sz w:val="24"/>
          <w:szCs w:val="24"/>
          <w:lang w:val="en-US"/>
        </w:rPr>
        <w:t xml:space="preserve">  年  月  日</w:t>
      </w:r>
    </w:p>
    <w:p>
      <w:pPr>
        <w:rPr>
          <w:rFonts w:ascii="宋体" w:hAnsi="宋体" w:cs="宋体"/>
          <w:b/>
          <w:sz w:val="30"/>
          <w:szCs w:val="30"/>
        </w:rPr>
      </w:pPr>
      <w:r>
        <w:rPr>
          <w:rFonts w:hint="eastAsia" w:ascii="宋体" w:hAnsi="宋体" w:cs="宋体"/>
          <w:b/>
          <w:sz w:val="30"/>
          <w:szCs w:val="30"/>
        </w:rPr>
        <w:br w:type="page"/>
      </w:r>
    </w:p>
    <w:p>
      <w:pPr>
        <w:ind w:firstLine="602"/>
        <w:jc w:val="center"/>
        <w:rPr>
          <w:rFonts w:hint="eastAsia" w:ascii="宋体" w:hAnsi="宋体" w:cs="宋体"/>
          <w:b/>
          <w:sz w:val="30"/>
          <w:szCs w:val="30"/>
        </w:rPr>
      </w:pPr>
      <w:r>
        <w:rPr>
          <w:rFonts w:hint="eastAsia" w:ascii="宋体" w:hAnsi="宋体" w:cs="宋体"/>
          <w:b/>
          <w:sz w:val="30"/>
          <w:szCs w:val="30"/>
        </w:rPr>
        <w:t>附件：残疾人福利性单位声明函</w:t>
      </w:r>
    </w:p>
    <w:p>
      <w:pPr>
        <w:pStyle w:val="18"/>
      </w:pPr>
    </w:p>
    <w:p>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本单位郑重声明，根据《财政部 民政部 中国残疾人联合会关于促进残疾人就业政府采购政策的通知》（财库</w:t>
      </w:r>
      <w:r>
        <w:rPr>
          <w:rFonts w:hint="eastAsia" w:ascii="宋体" w:hAnsi="宋体" w:cs="宋体"/>
          <w:sz w:val="24"/>
          <w:szCs w:val="24"/>
        </w:rPr>
        <w:t>〔2017〕 141</w:t>
      </w:r>
      <w:r>
        <w:rPr>
          <w:rFonts w:hint="eastAsia" w:ascii="宋体" w:hAnsi="宋体" w:cs="宋体"/>
          <w:spacing w:val="6"/>
          <w:sz w:val="24"/>
          <w:szCs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本单位对上述声明的真实性负责。如有虚假，将依法承担相应责任。</w:t>
      </w:r>
    </w:p>
    <w:p>
      <w:pPr>
        <w:spacing w:line="360" w:lineRule="auto"/>
        <w:ind w:firstLine="504" w:firstLineChars="200"/>
        <w:rPr>
          <w:rFonts w:ascii="宋体" w:hAnsi="宋体" w:cs="宋体"/>
          <w:spacing w:val="6"/>
          <w:sz w:val="24"/>
          <w:szCs w:val="24"/>
        </w:rPr>
      </w:pPr>
    </w:p>
    <w:p>
      <w:pPr>
        <w:pStyle w:val="6"/>
        <w:spacing w:before="56" w:line="360" w:lineRule="auto"/>
        <w:ind w:left="3960" w:right="1748" w:firstLine="480" w:firstLineChars="200"/>
        <w:rPr>
          <w:sz w:val="24"/>
          <w:szCs w:val="24"/>
        </w:rPr>
      </w:pPr>
      <w:r>
        <w:rPr>
          <w:rFonts w:hint="eastAsia"/>
          <w:sz w:val="24"/>
          <w:szCs w:val="24"/>
        </w:rPr>
        <w:t xml:space="preserve">企业名称（加盖公章）： </w:t>
      </w:r>
    </w:p>
    <w:p>
      <w:pPr>
        <w:pStyle w:val="6"/>
        <w:spacing w:before="56" w:line="360" w:lineRule="auto"/>
        <w:ind w:left="3960" w:right="1748" w:firstLine="480" w:firstLineChars="200"/>
        <w:rPr>
          <w:sz w:val="24"/>
          <w:szCs w:val="24"/>
          <w:lang w:val="en-US"/>
        </w:rPr>
      </w:pPr>
      <w:r>
        <w:rPr>
          <w:rFonts w:hint="eastAsia"/>
          <w:sz w:val="24"/>
          <w:szCs w:val="24"/>
        </w:rPr>
        <w:t>日 期：</w:t>
      </w:r>
      <w:r>
        <w:rPr>
          <w:rFonts w:hint="eastAsia"/>
          <w:sz w:val="24"/>
          <w:szCs w:val="24"/>
          <w:lang w:val="en-US"/>
        </w:rPr>
        <w:t xml:space="preserve">  年  月  日</w:t>
      </w:r>
    </w:p>
    <w:p>
      <w:pPr>
        <w:rPr>
          <w:rFonts w:ascii="宋体" w:hAnsi="宋体" w:cs="宋体"/>
          <w:sz w:val="24"/>
          <w:szCs w:val="24"/>
        </w:rPr>
      </w:pPr>
      <w:r>
        <w:rPr>
          <w:rFonts w:hint="eastAsia" w:ascii="宋体" w:hAnsi="宋体" w:cs="宋体"/>
          <w:sz w:val="24"/>
          <w:szCs w:val="24"/>
        </w:rPr>
        <w:br w:type="page"/>
      </w:r>
    </w:p>
    <w:p>
      <w:pPr>
        <w:jc w:val="center"/>
        <w:rPr>
          <w:rFonts w:ascii="宋体" w:hAnsi="宋体" w:cs="宋体"/>
          <w:b/>
          <w:sz w:val="28"/>
          <w:szCs w:val="28"/>
        </w:rPr>
      </w:pPr>
      <w:r>
        <w:rPr>
          <w:rFonts w:hint="eastAsia" w:ascii="宋体" w:hAnsi="宋体" w:cs="宋体"/>
          <w:b/>
          <w:sz w:val="28"/>
          <w:szCs w:val="28"/>
        </w:rPr>
        <w:t>附1关于印发中小企业划型标准规定的通知工信部联企业〔2011〕300号</w:t>
      </w:r>
    </w:p>
    <w:p>
      <w:pPr>
        <w:spacing w:line="440" w:lineRule="exact"/>
        <w:textAlignment w:val="center"/>
        <w:rPr>
          <w:rFonts w:ascii="宋体" w:hAnsi="宋体" w:cs="宋体"/>
          <w:kern w:val="0"/>
          <w:sz w:val="24"/>
          <w:szCs w:val="24"/>
        </w:rPr>
      </w:pPr>
    </w:p>
    <w:p>
      <w:pPr>
        <w:spacing w:line="440" w:lineRule="exact"/>
        <w:textAlignment w:val="center"/>
        <w:rPr>
          <w:rFonts w:ascii="宋体" w:hAnsi="宋体" w:cs="宋体"/>
          <w:kern w:val="0"/>
          <w:sz w:val="24"/>
          <w:szCs w:val="24"/>
        </w:rPr>
      </w:pPr>
      <w:r>
        <w:rPr>
          <w:rFonts w:hint="eastAsia" w:ascii="宋体" w:hAnsi="宋体" w:cs="宋体"/>
          <w:kern w:val="0"/>
          <w:sz w:val="24"/>
          <w:szCs w:val="24"/>
        </w:rPr>
        <w:t>各省、自治区、直辖市人民政府，国务院各部委、各直属机构及有关单位：</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440" w:lineRule="exact"/>
        <w:ind w:firstLine="2160" w:firstLineChars="900"/>
        <w:textAlignment w:val="center"/>
        <w:rPr>
          <w:rFonts w:ascii="宋体" w:hAnsi="宋体" w:cs="宋体"/>
          <w:kern w:val="0"/>
          <w:sz w:val="24"/>
          <w:szCs w:val="24"/>
        </w:rPr>
      </w:pPr>
      <w:r>
        <w:rPr>
          <w:rFonts w:hint="eastAsia" w:ascii="宋体" w:hAnsi="宋体" w:cs="宋体"/>
          <w:kern w:val="0"/>
          <w:sz w:val="24"/>
          <w:szCs w:val="24"/>
        </w:rPr>
        <w:t>工业和信息化部　国家统计局国家发展和改革委员会　财政部</w:t>
      </w:r>
    </w:p>
    <w:p>
      <w:pPr>
        <w:spacing w:line="440" w:lineRule="exact"/>
        <w:ind w:left="3686"/>
        <w:jc w:val="center"/>
        <w:textAlignment w:val="center"/>
        <w:rPr>
          <w:rFonts w:ascii="宋体" w:hAnsi="宋体" w:cs="宋体"/>
          <w:kern w:val="0"/>
          <w:sz w:val="24"/>
          <w:szCs w:val="24"/>
        </w:rPr>
      </w:pPr>
      <w:r>
        <w:rPr>
          <w:rFonts w:hint="eastAsia" w:ascii="宋体" w:hAnsi="宋体" w:cs="宋体"/>
          <w:kern w:val="0"/>
          <w:sz w:val="24"/>
          <w:szCs w:val="24"/>
        </w:rPr>
        <w:t>二〇一一年六月十八日</w:t>
      </w:r>
    </w:p>
    <w:p>
      <w:pPr>
        <w:spacing w:line="440" w:lineRule="exact"/>
        <w:jc w:val="center"/>
        <w:textAlignment w:val="center"/>
        <w:rPr>
          <w:rFonts w:ascii="宋体" w:hAnsi="宋体" w:cs="宋体"/>
          <w:kern w:val="0"/>
          <w:sz w:val="24"/>
          <w:szCs w:val="24"/>
        </w:rPr>
      </w:pPr>
      <w:r>
        <w:rPr>
          <w:rFonts w:hint="eastAsia" w:ascii="宋体" w:hAnsi="宋体" w:cs="宋体"/>
          <w:kern w:val="0"/>
          <w:sz w:val="24"/>
          <w:szCs w:val="24"/>
        </w:rPr>
        <w:t>中小企业划型标准规定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一、根据《中华人民共和国中小企业促进法》和《国务院关于进一步促进中小企业发展的若干意见》(国发〔2009〕36号)，制定本规定。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二、中小企业划分为中型、小型、微型三种类型，具体标准根据企业从业人员、营业收入、资产总额等指标，结合行业特点制定。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四、各行业划型标准为：</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（一）农、林、牧、渔业。营业收入20000万元以下的为中小微型企业。其中，营业收入500万元及以上的为中型企业，营业收入50万元及以上的为小型企业，营业收入50万元以下的为微型企业。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（十六）其他未列明行业。从业人员300人以下的为中小微型企业。其中，从业人员100人及以上的为中型企业；从业人员10人及以上的为小型企业；从业人员10人以下的为微型企业。</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五、企业类型的划分以统计部门的统计数据为依据。</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六、本规定适用于在中华人民共和国境内依法设立的各类所有制和各种组织形式的企业。个体工商户和本规定以外的行业，参照本规定进行划型。</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八、本规定由工业和信息化部、国家统计局会同有关部门根据《国民经济行业分类》修订情况和企业发展变化情况适时修订。</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九、本规定由工业和信息化部、国家统计局会同有关部门负责解释。</w:t>
      </w:r>
    </w:p>
    <w:p>
      <w:pPr>
        <w:spacing w:line="440" w:lineRule="exact"/>
        <w:ind w:firstLine="480" w:firstLineChars="200"/>
        <w:textAlignment w:val="center"/>
        <w:rPr>
          <w:rFonts w:ascii="宋体" w:hAnsi="宋体" w:cs="宋体"/>
          <w:kern w:val="0"/>
          <w:sz w:val="24"/>
          <w:szCs w:val="24"/>
        </w:rPr>
      </w:pPr>
      <w:r>
        <w:rPr>
          <w:rFonts w:hint="eastAsia" w:ascii="宋体" w:hAnsi="宋体" w:cs="宋体"/>
          <w:kern w:val="0"/>
          <w:sz w:val="24"/>
          <w:szCs w:val="24"/>
        </w:rPr>
        <w:t>十、本规定自发布之日起执行，原国家经贸委、原国家计委、财政部和国家统计局2003年颁布的《中小企业标准暂行规定》同时废止。</w:t>
      </w:r>
    </w:p>
    <w:p>
      <w:pPr>
        <w:spacing w:line="460" w:lineRule="exact"/>
        <w:jc w:val="center"/>
        <w:rPr>
          <w:rFonts w:ascii="宋体" w:hAnsi="宋体" w:cs="宋体"/>
          <w:b/>
          <w:sz w:val="24"/>
          <w:szCs w:val="24"/>
        </w:rPr>
      </w:pPr>
      <w:bookmarkStart w:id="103" w:name="_Toc437430204"/>
      <w:bookmarkStart w:id="104" w:name="_Toc445730686"/>
      <w:bookmarkStart w:id="105" w:name="_Toc432612920"/>
      <w:bookmarkStart w:id="106" w:name="_Toc431394824"/>
      <w:bookmarkStart w:id="107" w:name="_Toc442098660"/>
      <w:bookmarkStart w:id="108" w:name="_Toc431392586"/>
      <w:r>
        <w:rPr>
          <w:rFonts w:hint="eastAsia" w:ascii="宋体" w:hAnsi="宋体" w:cs="宋体"/>
          <w:b/>
          <w:sz w:val="24"/>
          <w:szCs w:val="24"/>
        </w:rPr>
        <w:br w:type="page"/>
      </w:r>
    </w:p>
    <w:p>
      <w:pPr>
        <w:ind w:firstLine="602"/>
        <w:jc w:val="center"/>
        <w:rPr>
          <w:rFonts w:ascii="宋体" w:hAnsi="宋体" w:cs="宋体"/>
          <w:b/>
          <w:sz w:val="28"/>
          <w:szCs w:val="28"/>
        </w:rPr>
      </w:pPr>
      <w:r>
        <w:rPr>
          <w:rFonts w:hint="eastAsia" w:ascii="宋体" w:hAnsi="宋体" w:cs="宋体"/>
          <w:b/>
          <w:sz w:val="28"/>
          <w:szCs w:val="28"/>
        </w:rPr>
        <w:t>附2：政府采购促进中小企业发展暂行办法</w:t>
      </w:r>
      <w:bookmarkEnd w:id="103"/>
      <w:bookmarkEnd w:id="104"/>
      <w:bookmarkEnd w:id="105"/>
      <w:bookmarkEnd w:id="106"/>
      <w:bookmarkEnd w:id="107"/>
      <w:bookmarkEnd w:id="108"/>
    </w:p>
    <w:p>
      <w:pPr>
        <w:spacing w:line="460" w:lineRule="exact"/>
        <w:textAlignment w:val="center"/>
        <w:rPr>
          <w:rFonts w:hint="eastAsia" w:ascii="宋体" w:hAnsi="宋体" w:cs="宋体"/>
          <w:sz w:val="24"/>
          <w:szCs w:val="24"/>
        </w:rPr>
      </w:pPr>
    </w:p>
    <w:p>
      <w:pPr>
        <w:spacing w:line="460" w:lineRule="exact"/>
        <w:textAlignment w:val="center"/>
        <w:rPr>
          <w:rFonts w:ascii="宋体" w:hAnsi="宋体" w:cs="宋体"/>
          <w:sz w:val="24"/>
          <w:szCs w:val="24"/>
        </w:rPr>
      </w:pPr>
      <w:r>
        <w:rPr>
          <w:rFonts w:hint="eastAsia" w:ascii="宋体" w:hAnsi="宋体" w:cs="宋体"/>
          <w:sz w:val="24"/>
          <w:szCs w:val="24"/>
        </w:rPr>
        <w:t>各市财政局，省直各部门、单位，各政府采购代理机构:</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近期财政部印发《关于进一步加大政府采购支持中小企业力度的通知》(财库[2022]19号)，结合我省实际，并商省发展和改革委、省工业和信息化厅、省住房和城乡建设厅、省交通运输厅、省水利厅、省商务厅等部门同意，现提出以下贯彻落实意见，请遵照执行。</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一、严格落实支持中小企业政府采购政策各市、各部门要按照国务院的统一部暑，认真落实《政府采购促进中小企业发展管理办法》(财库(2020]46号)的规定，规范设置供应商资格条件，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采用电子标采购免费提供电子采购文件等方式，为中小企业参与采购活动提供便利。要严格按规定及时支付采购资金，不得收取没有法律法规依据的保证金，有效减轻中小企业资金压力。</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二、调整对中小企业的预留份额</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各级预算单位超过200万元的货物、服务采购项目和超过400万元的工程采购项目中适宜由中小企业提供的，应当预留该部分采购项目预算总额的45%以上面向中小企业采购，其中预留给小微企业的比例不低于70%。</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三、调整对小微企业的价格评审优惠幅度</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对未预留份额面向中小企业采购的项目，以及预留份额项目中的非预留采购句，货物服务采购项目给予小微企业的价格扣除优惠，由财库[2020]46号文件规定的6%-10%提高至10%-20%大中型企业与小微企业组成联合体或大中型企业向小微企业分包的，评审优惠幅度由2%-3%提高至4%-6%，政府采购工程的价格评审优惠按照财库(2020]46号文件的规定执行。</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四、认真抓好组织实施</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一)各部门、单位在政府采购工程中要积极落实支持中小企业的有关政策。省发展改革委、省工业和信息化厅、省住房城乡建设厅、省交通运输厅、省水利厅、省商务厅等部门，请及时调整完善工程招投标领域有关标准文本、评标制度等规定要求，督促各预算单位加快落实。</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二)各主管预算单位要评估本部门及所属单位政府采购项目，统筹制定面向中小企业预留采购份额的具体方案，并在政府采购预算中单独列示。同时，要加强对政府采购需求的编制和审查管理，在开展面向市场主体的需求调查时，充分了解相关领域中小企业产业发展和市场供给等情况，科学预估中小企业可承担份额及价格评审优惠。对面向中小企业采购的具体支持措施，要纳入采购需求重点审查范围。</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三)各预算单位在合同录入时，应当完整准确填报供应商信息，准确区分中标(成交)供应商是否为货物制造商、服务承接商、工程承建商，确保采购数据统计准确无误。各部门、单位要将年度政策执行情况于每年3月底前通过预算管理一体化系统的政府采购模块，在中国山东政府采购网“中小企业预留项目执行情况公告”栏目中公开，未达到规定预留份额比例的，要作出解释说明。</w:t>
      </w:r>
    </w:p>
    <w:p>
      <w:pPr>
        <w:spacing w:line="460" w:lineRule="exact"/>
        <w:ind w:firstLine="480" w:firstLineChars="200"/>
        <w:textAlignment w:val="center"/>
        <w:rPr>
          <w:rFonts w:ascii="宋体" w:hAnsi="宋体" w:cs="宋体"/>
          <w:sz w:val="24"/>
          <w:szCs w:val="24"/>
        </w:rPr>
      </w:pPr>
      <w:r>
        <w:rPr>
          <w:rFonts w:hint="eastAsia" w:ascii="宋体" w:hAnsi="宋体" w:cs="宋体"/>
          <w:sz w:val="24"/>
          <w:szCs w:val="24"/>
        </w:rPr>
        <w:t>(四)各市、各部门要加强组织领导，明确工作责任，细化执行要求，加大对政府采购支持中小企业发展有关政策及信息公开情况的督导检查力度，确保各项政策落实落地。在执行中如遇问题，请及时向省财政厅反馈。</w:t>
      </w:r>
    </w:p>
    <w:p>
      <w:pPr>
        <w:spacing w:line="460" w:lineRule="exact"/>
        <w:ind w:firstLine="480" w:firstLineChars="200"/>
        <w:textAlignment w:val="center"/>
        <w:rPr>
          <w:rFonts w:ascii="宋体" w:hAnsi="宋体" w:cs="宋体"/>
          <w:b/>
          <w:sz w:val="24"/>
          <w:szCs w:val="24"/>
        </w:rPr>
      </w:pPr>
      <w:r>
        <w:rPr>
          <w:rFonts w:hint="eastAsia" w:ascii="宋体" w:hAnsi="宋体" w:cs="宋体"/>
          <w:sz w:val="24"/>
          <w:szCs w:val="24"/>
        </w:rPr>
        <w:t>本通知自2022年7月1日起执行。以往相关规定与本通知不一致的，以本通知为准。</w:t>
      </w:r>
    </w:p>
    <w:p>
      <w:pPr>
        <w:spacing w:line="460" w:lineRule="exact"/>
        <w:textAlignment w:val="cente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sz w:val="24"/>
          <w:szCs w:val="24"/>
        </w:rPr>
      </w:pPr>
    </w:p>
    <w:p>
      <w:pPr>
        <w:pStyle w:val="18"/>
      </w:pPr>
    </w:p>
    <w:p>
      <w:pPr>
        <w:rPr>
          <w:rFonts w:ascii="宋体" w:hAnsi="宋体" w:cs="宋体"/>
          <w:b/>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b/>
          <w:sz w:val="24"/>
          <w:szCs w:val="24"/>
        </w:rPr>
      </w:pPr>
    </w:p>
    <w:p>
      <w:pPr>
        <w:pStyle w:val="18"/>
        <w:tabs>
          <w:tab w:val="right" w:leader="dot" w:pos="9174"/>
        </w:tabs>
        <w:rPr>
          <w:rFonts w:ascii="宋体" w:hAnsi="宋体" w:cs="宋体"/>
          <w:sz w:val="24"/>
          <w:szCs w:val="24"/>
        </w:rPr>
      </w:pPr>
    </w:p>
    <w:p>
      <w:pPr>
        <w:rPr>
          <w:rFonts w:ascii="宋体" w:hAnsi="宋体" w:cs="宋体"/>
          <w:szCs w:val="24"/>
        </w:rPr>
      </w:pPr>
    </w:p>
    <w:p>
      <w:pPr>
        <w:ind w:firstLine="602"/>
        <w:jc w:val="center"/>
        <w:rPr>
          <w:rFonts w:ascii="宋体" w:hAnsi="宋体" w:cs="宋体"/>
          <w:b/>
          <w:sz w:val="28"/>
          <w:szCs w:val="28"/>
        </w:rPr>
      </w:pPr>
    </w:p>
    <w:p>
      <w:pPr>
        <w:ind w:firstLine="602"/>
        <w:jc w:val="center"/>
        <w:rPr>
          <w:rFonts w:ascii="宋体" w:hAnsi="宋体" w:cs="宋体"/>
          <w:b/>
          <w:sz w:val="28"/>
          <w:szCs w:val="28"/>
        </w:rPr>
      </w:pPr>
    </w:p>
    <w:p>
      <w:pPr>
        <w:ind w:firstLine="602"/>
        <w:jc w:val="center"/>
        <w:rPr>
          <w:rFonts w:ascii="宋体" w:hAnsi="宋体" w:cs="宋体"/>
          <w:b/>
          <w:sz w:val="28"/>
          <w:szCs w:val="28"/>
        </w:rPr>
      </w:pPr>
    </w:p>
    <w:p>
      <w:pPr>
        <w:ind w:firstLine="602"/>
        <w:jc w:val="center"/>
        <w:rPr>
          <w:rFonts w:ascii="宋体" w:hAnsi="宋体" w:cs="宋体"/>
          <w:b/>
          <w:sz w:val="28"/>
          <w:szCs w:val="28"/>
        </w:rPr>
      </w:pPr>
    </w:p>
    <w:p>
      <w:pPr>
        <w:ind w:firstLine="602"/>
        <w:jc w:val="center"/>
        <w:rPr>
          <w:rFonts w:ascii="宋体" w:hAnsi="宋体" w:cs="宋体"/>
          <w:b/>
          <w:sz w:val="28"/>
          <w:szCs w:val="28"/>
        </w:rPr>
      </w:pPr>
    </w:p>
    <w:p>
      <w:pPr>
        <w:ind w:firstLine="602"/>
        <w:jc w:val="center"/>
        <w:rPr>
          <w:rFonts w:ascii="宋体" w:hAnsi="宋体" w:cs="宋体"/>
          <w:b/>
          <w:sz w:val="28"/>
          <w:szCs w:val="28"/>
        </w:rPr>
      </w:pPr>
      <w:r>
        <w:rPr>
          <w:rFonts w:hint="eastAsia" w:ascii="宋体" w:hAnsi="宋体" w:cs="宋体"/>
          <w:b/>
          <w:sz w:val="28"/>
          <w:szCs w:val="28"/>
        </w:rPr>
        <w:t>附3：关于促进残疾人就业政府采购政策的通知</w:t>
      </w:r>
    </w:p>
    <w:p>
      <w:pPr>
        <w:spacing w:line="460" w:lineRule="exact"/>
        <w:jc w:val="center"/>
        <w:textAlignment w:val="center"/>
        <w:rPr>
          <w:rFonts w:ascii="宋体" w:hAnsi="宋体" w:cs="宋体"/>
          <w:kern w:val="0"/>
          <w:sz w:val="24"/>
          <w:szCs w:val="24"/>
        </w:rPr>
      </w:pPr>
      <w:r>
        <w:rPr>
          <w:rFonts w:hint="eastAsia" w:ascii="宋体" w:hAnsi="宋体" w:cs="宋体"/>
          <w:kern w:val="0"/>
          <w:sz w:val="24"/>
          <w:szCs w:val="24"/>
        </w:rPr>
        <w:t>财库〔2017〕141号</w:t>
      </w:r>
    </w:p>
    <w:p>
      <w:pPr>
        <w:spacing w:line="460" w:lineRule="exact"/>
        <w:ind w:firstLine="480" w:firstLineChars="200"/>
        <w:jc w:val="left"/>
        <w:textAlignment w:val="center"/>
        <w:rPr>
          <w:rFonts w:ascii="宋体" w:hAnsi="宋体" w:cs="宋体"/>
          <w:kern w:val="0"/>
          <w:sz w:val="24"/>
          <w:szCs w:val="24"/>
        </w:rPr>
      </w:pPr>
      <w:r>
        <w:rPr>
          <w:rFonts w:hint="eastAsia" w:ascii="宋体" w:hAnsi="宋体" w:cs="宋体"/>
          <w:kern w:val="0"/>
          <w:sz w:val="24"/>
          <w:szCs w:val="24"/>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为了发挥政府采购促进残疾人就业的作用，进一步保障残疾人权益，依照《政府采购法》、《残疾人保障法》等法律法规及相关规定，现就促进残疾人就业政府采购政策通知如下：</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一、享受政府采购支持政策的残疾人福利性单位应当同时满足以下条件：</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（一）安置的残疾人占本单位在职职工人数的比例不低于25%（含25%），并且安置的残疾人人数不少于10人（含10人）；</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（二）依法与安置的每位残疾人签订了一年以上（含一年）的劳动合同或服务协议；</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（三）为安置的每位残疾人按月足额缴纳了基本养老保险、基本医疗保险、失业保险、工伤保险和生育保险等社会保险费；</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（四）通过银行等金融机构向安置的每位残疾人，按月支付了不低于单位所在区县适用的经省级人民政府批准的月最低工资标准的工资；</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（五）提供本单位制造的货物、承担的工程或者服务（以下简称产品），或者提供其他残疾人福利性单位制造的货物（不包括使用非残疾人福利性单位注册商标的货物）。</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中标、成交供应商为残疾人福利性单位的，采购人或者其委托的采购代理机构应当随中标、成交结果同时公告其《残疾人福利性单位声明函》，接受社会监督。</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供应商提供的《残疾人福利性单位声明函》与事实不符的，依照《政府采购法》第七十七条第一款的规定追究法律责任。</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四、采购人采购公开招标数额标准以上的货物或者服务，因落实促进残疾人就业政策的需要，依法履行有关报批程序后，可采用公开招标以外的采购方式。</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spacing w:line="460" w:lineRule="exact"/>
        <w:jc w:val="left"/>
        <w:textAlignment w:val="center"/>
        <w:rPr>
          <w:rFonts w:ascii="宋体" w:hAnsi="宋体" w:cs="宋体"/>
          <w:kern w:val="0"/>
          <w:sz w:val="24"/>
          <w:szCs w:val="24"/>
        </w:rPr>
      </w:pPr>
      <w:r>
        <w:rPr>
          <w:rFonts w:hint="eastAsia" w:ascii="宋体" w:hAnsi="宋体" w:cs="宋体"/>
          <w:kern w:val="0"/>
          <w:sz w:val="24"/>
          <w:szCs w:val="24"/>
        </w:rPr>
        <w:t>　　七、本通知自2017年10月1日起执行。</w:t>
      </w:r>
    </w:p>
    <w:p>
      <w:pPr>
        <w:spacing w:line="460" w:lineRule="exact"/>
        <w:ind w:firstLine="480" w:firstLineChars="200"/>
        <w:jc w:val="right"/>
        <w:textAlignment w:val="center"/>
        <w:rPr>
          <w:rFonts w:ascii="宋体" w:hAnsi="宋体" w:cs="宋体"/>
          <w:kern w:val="0"/>
          <w:sz w:val="24"/>
          <w:szCs w:val="24"/>
        </w:rPr>
      </w:pPr>
      <w:r>
        <w:rPr>
          <w:rFonts w:hint="eastAsia" w:ascii="宋体" w:hAnsi="宋体" w:cs="宋体"/>
          <w:kern w:val="0"/>
          <w:sz w:val="24"/>
          <w:szCs w:val="24"/>
        </w:rPr>
        <w:t>财政部 民政部 中国残疾人联合会</w:t>
      </w:r>
    </w:p>
    <w:p>
      <w:pPr>
        <w:spacing w:line="460" w:lineRule="exact"/>
        <w:ind w:left="-181" w:leftChars="-86" w:firstLine="355" w:firstLineChars="148"/>
        <w:jc w:val="right"/>
        <w:rPr>
          <w:rFonts w:ascii="宋体" w:hAnsi="宋体" w:cs="宋体"/>
          <w:kern w:val="0"/>
          <w:sz w:val="24"/>
          <w:szCs w:val="24"/>
        </w:rPr>
      </w:pPr>
      <w:r>
        <w:rPr>
          <w:rFonts w:hint="eastAsia" w:ascii="宋体" w:hAnsi="宋体" w:cs="宋体"/>
          <w:kern w:val="0"/>
          <w:sz w:val="24"/>
          <w:szCs w:val="24"/>
        </w:rPr>
        <w:t>2017年8月22日</w:t>
      </w:r>
    </w:p>
    <w:p>
      <w:pPr>
        <w:spacing w:line="400" w:lineRule="atLeast"/>
        <w:ind w:left="-181" w:leftChars="-86" w:firstLine="355" w:firstLineChars="148"/>
        <w:rPr>
          <w:rFonts w:ascii="宋体" w:hAnsi="宋体" w:cs="宋体"/>
          <w:kern w:val="0"/>
          <w:sz w:val="24"/>
          <w:szCs w:val="24"/>
        </w:rPr>
      </w:pPr>
    </w:p>
    <w:p>
      <w:pPr>
        <w:tabs>
          <w:tab w:val="left" w:pos="3135"/>
          <w:tab w:val="center" w:pos="7392"/>
        </w:tabs>
        <w:spacing w:beforeLines="50" w:line="400" w:lineRule="exact"/>
        <w:jc w:val="center"/>
        <w:rPr>
          <w:rFonts w:ascii="宋体" w:hAnsi="宋体" w:cs="宋体"/>
          <w:b/>
          <w:sz w:val="32"/>
          <w:szCs w:val="32"/>
        </w:rPr>
      </w:pPr>
    </w:p>
    <w:p>
      <w:pPr>
        <w:tabs>
          <w:tab w:val="left" w:pos="3135"/>
          <w:tab w:val="center" w:pos="7392"/>
        </w:tabs>
        <w:spacing w:beforeLines="50" w:line="400" w:lineRule="exact"/>
        <w:jc w:val="center"/>
        <w:rPr>
          <w:rFonts w:ascii="宋体" w:hAnsi="宋体" w:cs="宋体"/>
          <w:b/>
          <w:sz w:val="32"/>
          <w:szCs w:val="32"/>
        </w:rPr>
      </w:pPr>
    </w:p>
    <w:p>
      <w:pPr>
        <w:tabs>
          <w:tab w:val="left" w:pos="3135"/>
          <w:tab w:val="center" w:pos="7392"/>
        </w:tabs>
        <w:spacing w:beforeLines="50" w:line="400" w:lineRule="exact"/>
        <w:jc w:val="center"/>
        <w:rPr>
          <w:rFonts w:ascii="宋体" w:hAnsi="宋体" w:cs="宋体"/>
          <w:b/>
          <w:sz w:val="32"/>
          <w:szCs w:val="32"/>
        </w:rPr>
      </w:pPr>
    </w:p>
    <w:p>
      <w:pPr>
        <w:tabs>
          <w:tab w:val="left" w:pos="3135"/>
          <w:tab w:val="center" w:pos="7392"/>
        </w:tabs>
        <w:spacing w:beforeLines="50" w:line="400" w:lineRule="exact"/>
        <w:jc w:val="center"/>
        <w:rPr>
          <w:rFonts w:ascii="宋体" w:hAnsi="宋体" w:cs="宋体"/>
          <w:b/>
          <w:sz w:val="32"/>
          <w:szCs w:val="32"/>
        </w:rPr>
      </w:pPr>
    </w:p>
    <w:p>
      <w:pPr>
        <w:tabs>
          <w:tab w:val="left" w:pos="3135"/>
          <w:tab w:val="center" w:pos="7392"/>
        </w:tabs>
        <w:spacing w:beforeLines="50" w:line="400" w:lineRule="exact"/>
        <w:jc w:val="center"/>
        <w:rPr>
          <w:rFonts w:ascii="宋体" w:hAnsi="宋体" w:cs="宋体"/>
          <w:b/>
          <w:sz w:val="32"/>
          <w:szCs w:val="32"/>
        </w:rPr>
      </w:pPr>
    </w:p>
    <w:p>
      <w:pPr>
        <w:tabs>
          <w:tab w:val="left" w:pos="3135"/>
          <w:tab w:val="center" w:pos="7392"/>
        </w:tabs>
        <w:spacing w:beforeLines="50" w:line="400" w:lineRule="exact"/>
        <w:jc w:val="center"/>
        <w:rPr>
          <w:rFonts w:ascii="宋体" w:hAnsi="宋体" w:cs="宋体"/>
          <w:b/>
          <w:sz w:val="32"/>
          <w:szCs w:val="32"/>
        </w:rPr>
      </w:pPr>
    </w:p>
    <w:p>
      <w:pPr>
        <w:pStyle w:val="37"/>
        <w:rPr>
          <w:sz w:val="21"/>
        </w:rPr>
      </w:pPr>
    </w:p>
    <w:p>
      <w:pPr>
        <w:pStyle w:val="37"/>
        <w:ind w:firstLine="0" w:firstLineChars="0"/>
        <w:rPr>
          <w:sz w:val="21"/>
        </w:rPr>
      </w:pPr>
    </w:p>
    <w:p>
      <w:pPr>
        <w:rPr>
          <w:rFonts w:ascii="宋体" w:hAnsi="宋体" w:cs="宋体"/>
          <w:b/>
          <w:sz w:val="28"/>
          <w:szCs w:val="28"/>
        </w:rPr>
      </w:pPr>
    </w:p>
    <w:p>
      <w:pPr>
        <w:rPr>
          <w:rFonts w:ascii="宋体" w:hAnsi="宋体" w:cs="宋体"/>
          <w:b/>
          <w:sz w:val="28"/>
          <w:szCs w:val="28"/>
        </w:rPr>
      </w:pPr>
    </w:p>
    <w:p>
      <w:pPr>
        <w:rPr>
          <w:rFonts w:ascii="宋体" w:hAnsi="宋体" w:cs="宋体"/>
          <w:b/>
          <w:sz w:val="28"/>
          <w:szCs w:val="28"/>
        </w:rPr>
      </w:pPr>
    </w:p>
    <w:p>
      <w:pP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p>
    <w:p>
      <w:pPr>
        <w:jc w:val="center"/>
        <w:rPr>
          <w:rFonts w:ascii="宋体" w:hAnsi="宋体" w:cs="宋体"/>
          <w:b/>
          <w:sz w:val="28"/>
          <w:szCs w:val="28"/>
        </w:rPr>
      </w:pPr>
      <w:r>
        <w:rPr>
          <w:rFonts w:hint="eastAsia" w:ascii="宋体" w:hAnsi="宋体" w:cs="宋体"/>
          <w:b/>
          <w:sz w:val="28"/>
          <w:szCs w:val="28"/>
        </w:rPr>
        <w:t>附 4 财政部 司法部关于政府采购支持监狱企业发展有关问题的通知</w:t>
      </w:r>
    </w:p>
    <w:p>
      <w:pPr>
        <w:spacing w:line="460" w:lineRule="exact"/>
        <w:jc w:val="center"/>
        <w:textAlignment w:val="center"/>
        <w:rPr>
          <w:rFonts w:ascii="宋体" w:hAnsi="宋体" w:cs="宋体"/>
          <w:kern w:val="0"/>
          <w:sz w:val="24"/>
          <w:szCs w:val="24"/>
        </w:rPr>
      </w:pPr>
      <w:r>
        <w:rPr>
          <w:rFonts w:hint="eastAsia" w:ascii="宋体" w:hAnsi="宋体" w:cs="宋体"/>
          <w:kern w:val="0"/>
          <w:sz w:val="24"/>
          <w:szCs w:val="24"/>
        </w:rPr>
        <w:t>财库〔2014〕68号</w:t>
      </w:r>
    </w:p>
    <w:p>
      <w:pPr>
        <w:spacing w:line="420" w:lineRule="exact"/>
        <w:ind w:firstLine="960" w:firstLineChars="400"/>
        <w:jc w:val="left"/>
        <w:textAlignment w:val="center"/>
        <w:rPr>
          <w:rFonts w:ascii="宋体" w:hAnsi="宋体" w:cs="宋体"/>
          <w:kern w:val="0"/>
          <w:sz w:val="24"/>
          <w:szCs w:val="24"/>
        </w:rPr>
      </w:pPr>
      <w:r>
        <w:rPr>
          <w:rFonts w:hint="eastAsia" w:ascii="宋体" w:hAnsi="宋体" w:cs="宋体"/>
          <w:kern w:val="0"/>
          <w:sz w:val="24"/>
          <w:szCs w:val="24"/>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pPr>
        <w:spacing w:line="420" w:lineRule="exact"/>
        <w:ind w:firstLine="960" w:firstLineChars="400"/>
        <w:jc w:val="left"/>
        <w:textAlignment w:val="center"/>
        <w:rPr>
          <w:rFonts w:ascii="宋体" w:hAnsi="宋体" w:cs="宋体"/>
          <w:kern w:val="0"/>
          <w:sz w:val="24"/>
          <w:szCs w:val="24"/>
        </w:rPr>
      </w:pPr>
      <w:r>
        <w:rPr>
          <w:rFonts w:hint="eastAsia" w:ascii="宋体" w:hAnsi="宋体" w:cs="宋体"/>
          <w:kern w:val="0"/>
          <w:sz w:val="24"/>
          <w:szCs w:val="24"/>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p>
    <w:p>
      <w:pPr>
        <w:spacing w:line="420" w:lineRule="exact"/>
        <w:ind w:firstLine="960" w:firstLineChars="400"/>
        <w:jc w:val="left"/>
        <w:textAlignment w:val="center"/>
        <w:rPr>
          <w:rFonts w:ascii="宋体" w:hAnsi="宋体" w:cs="宋体"/>
          <w:kern w:val="0"/>
          <w:sz w:val="24"/>
          <w:szCs w:val="24"/>
        </w:rPr>
      </w:pPr>
      <w:r>
        <w:rPr>
          <w:rFonts w:hint="eastAsia" w:ascii="宋体" w:hAnsi="宋体" w:cs="宋体"/>
          <w:kern w:val="0"/>
          <w:sz w:val="24"/>
          <w:szCs w:val="24"/>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 团）出具的属于监狱企业的证明文件。</w:t>
      </w:r>
    </w:p>
    <w:p>
      <w:pPr>
        <w:spacing w:line="420" w:lineRule="exact"/>
        <w:ind w:firstLine="960" w:firstLineChars="400"/>
        <w:jc w:val="left"/>
        <w:textAlignment w:val="center"/>
        <w:rPr>
          <w:rFonts w:ascii="宋体" w:hAnsi="宋体" w:cs="宋体"/>
          <w:kern w:val="0"/>
          <w:sz w:val="24"/>
          <w:szCs w:val="24"/>
        </w:rPr>
      </w:pPr>
      <w:r>
        <w:rPr>
          <w:rFonts w:hint="eastAsia" w:ascii="宋体" w:hAnsi="宋体" w:cs="宋体"/>
          <w:kern w:val="0"/>
          <w:sz w:val="24"/>
          <w:szCs w:val="24"/>
        </w:rPr>
        <w:t>二、在政府采购活动中，监狱企业视同小型、微型企业，享受预留份额、评审中价格扣除等政府采购促进中小企业发展的政府采购政策。向监狱企业采购的金 额，计入面向中小企业采购的统计数据。</w:t>
      </w:r>
    </w:p>
    <w:p>
      <w:pPr>
        <w:spacing w:line="420" w:lineRule="exact"/>
        <w:ind w:firstLine="960" w:firstLineChars="400"/>
        <w:jc w:val="left"/>
        <w:textAlignment w:val="center"/>
        <w:rPr>
          <w:rFonts w:ascii="宋体" w:hAnsi="宋体" w:cs="宋体"/>
          <w:kern w:val="0"/>
          <w:sz w:val="24"/>
          <w:szCs w:val="24"/>
        </w:rPr>
      </w:pPr>
      <w:r>
        <w:rPr>
          <w:rFonts w:hint="eastAsia" w:ascii="宋体" w:hAnsi="宋体" w:cs="宋体"/>
          <w:kern w:val="0"/>
          <w:sz w:val="24"/>
          <w:szCs w:val="24"/>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pPr>
        <w:spacing w:line="420" w:lineRule="exact"/>
        <w:ind w:firstLine="960" w:firstLineChars="400"/>
        <w:jc w:val="left"/>
        <w:textAlignment w:val="center"/>
        <w:rPr>
          <w:rFonts w:ascii="宋体" w:hAnsi="宋体" w:cs="宋体"/>
          <w:kern w:val="0"/>
          <w:sz w:val="24"/>
          <w:szCs w:val="24"/>
        </w:rPr>
      </w:pPr>
      <w:r>
        <w:rPr>
          <w:rFonts w:hint="eastAsia" w:ascii="宋体" w:hAnsi="宋体" w:cs="宋体"/>
          <w:kern w:val="0"/>
          <w:sz w:val="24"/>
          <w:szCs w:val="24"/>
        </w:rPr>
        <w:t>四、各地区可以结合本地区实际，对监狱企业生产的办公用品、家具用具、车辆维修和提供的保养服务、消防设备等，提出预留份额等政府采购支持措施，加大对监狱企业产品的采购力度。</w:t>
      </w:r>
    </w:p>
    <w:p>
      <w:pPr>
        <w:spacing w:line="420" w:lineRule="exact"/>
        <w:jc w:val="left"/>
        <w:textAlignment w:val="center"/>
        <w:rPr>
          <w:rFonts w:ascii="宋体" w:hAnsi="宋体" w:cs="宋体"/>
          <w:kern w:val="0"/>
          <w:sz w:val="24"/>
          <w:szCs w:val="24"/>
        </w:rPr>
      </w:pPr>
      <w:r>
        <w:rPr>
          <w:rFonts w:hint="eastAsia" w:ascii="宋体" w:hAnsi="宋体" w:cs="宋体"/>
          <w:kern w:val="0"/>
          <w:sz w:val="24"/>
          <w:szCs w:val="24"/>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pPr>
        <w:spacing w:line="460" w:lineRule="exact"/>
        <w:jc w:val="right"/>
        <w:textAlignment w:val="center"/>
        <w:rPr>
          <w:rFonts w:ascii="宋体" w:hAnsi="宋体" w:cs="宋体"/>
          <w:kern w:val="0"/>
          <w:sz w:val="24"/>
          <w:szCs w:val="24"/>
        </w:rPr>
      </w:pPr>
      <w:r>
        <w:rPr>
          <w:rFonts w:hint="eastAsia" w:ascii="宋体" w:hAnsi="宋体" w:cs="宋体"/>
          <w:kern w:val="0"/>
          <w:sz w:val="24"/>
          <w:szCs w:val="24"/>
        </w:rPr>
        <w:t>中华人民共和国财政部</w:t>
      </w:r>
    </w:p>
    <w:p>
      <w:pPr>
        <w:spacing w:line="460" w:lineRule="exact"/>
        <w:jc w:val="right"/>
        <w:textAlignment w:val="center"/>
        <w:rPr>
          <w:rFonts w:ascii="宋体" w:hAnsi="宋体" w:cs="宋体"/>
          <w:kern w:val="0"/>
          <w:sz w:val="24"/>
          <w:szCs w:val="24"/>
        </w:rPr>
      </w:pPr>
      <w:r>
        <w:rPr>
          <w:rFonts w:hint="eastAsia" w:ascii="宋体" w:hAnsi="宋体" w:cs="宋体"/>
          <w:kern w:val="0"/>
          <w:sz w:val="24"/>
          <w:szCs w:val="24"/>
        </w:rPr>
        <w:t>中华人民共和国司法部</w:t>
      </w:r>
    </w:p>
    <w:p>
      <w:pPr>
        <w:pStyle w:val="6"/>
        <w:jc w:val="right"/>
        <w:rPr>
          <w:sz w:val="20"/>
          <w:szCs w:val="24"/>
        </w:rPr>
      </w:pPr>
      <w:r>
        <w:rPr>
          <w:rFonts w:hint="eastAsia"/>
          <w:sz w:val="24"/>
          <w:szCs w:val="24"/>
        </w:rPr>
        <w:t>2014年6月10日</w:t>
      </w:r>
    </w:p>
    <w:p>
      <w:pPr>
        <w:tabs>
          <w:tab w:val="left" w:pos="3135"/>
          <w:tab w:val="center" w:pos="7392"/>
        </w:tabs>
        <w:spacing w:beforeLines="50" w:line="400" w:lineRule="exact"/>
        <w:jc w:val="center"/>
        <w:rPr>
          <w:rFonts w:ascii="宋体" w:hAnsi="宋体" w:cs="宋体"/>
          <w:b/>
          <w:sz w:val="32"/>
          <w:szCs w:val="32"/>
        </w:rPr>
      </w:pPr>
    </w:p>
    <w:p>
      <w:pPr>
        <w:pStyle w:val="37"/>
        <w:rPr>
          <w:sz w:val="21"/>
        </w:rPr>
      </w:pPr>
    </w:p>
    <w:p>
      <w:pPr>
        <w:rPr>
          <w:rFonts w:ascii="宋体" w:hAnsi="宋体" w:cs="宋体"/>
          <w:szCs w:val="24"/>
        </w:rPr>
      </w:pPr>
      <w:r>
        <w:rPr>
          <w:rFonts w:hint="eastAsia" w:ascii="宋体" w:hAnsi="宋体" w:cs="宋体"/>
          <w:szCs w:val="24"/>
          <w:lang w:val="en-US" w:eastAsia="zh-CN"/>
        </w:rPr>
        <w:t xml:space="preserve">    </w:t>
      </w:r>
      <w:r>
        <w:rPr>
          <w:rFonts w:hint="eastAsia" w:ascii="宋体" w:hAnsi="宋体" w:cs="宋体"/>
          <w:szCs w:val="24"/>
        </w:rPr>
        <w:drawing>
          <wp:inline distT="0" distB="0" distL="114300" distR="114300">
            <wp:extent cx="6090285" cy="8408670"/>
            <wp:effectExtent l="0" t="0" r="5715" b="11430"/>
            <wp:docPr id="4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3"/>
                    <pic:cNvPicPr>
                      <a:picLocks noChangeAspect="1"/>
                    </pic:cNvPicPr>
                  </pic:nvPicPr>
                  <pic:blipFill>
                    <a:blip r:embed="rId20" cstate="print"/>
                    <a:stretch>
                      <a:fillRect/>
                    </a:stretch>
                  </pic:blipFill>
                  <pic:spPr>
                    <a:xfrm>
                      <a:off x="0" y="0"/>
                      <a:ext cx="6090285" cy="8408670"/>
                    </a:xfrm>
                    <a:prstGeom prst="rect">
                      <a:avLst/>
                    </a:prstGeom>
                    <a:noFill/>
                    <a:ln>
                      <a:noFill/>
                    </a:ln>
                  </pic:spPr>
                </pic:pic>
              </a:graphicData>
            </a:graphic>
          </wp:inline>
        </w:drawing>
      </w:r>
    </w:p>
    <w:p>
      <w:pPr>
        <w:rPr>
          <w:rFonts w:ascii="宋体" w:hAnsi="宋体" w:cs="宋体"/>
          <w:b/>
          <w:sz w:val="32"/>
          <w:szCs w:val="32"/>
        </w:rPr>
      </w:pPr>
    </w:p>
    <w:p>
      <w:pPr>
        <w:pStyle w:val="18"/>
        <w:tabs>
          <w:tab w:val="right" w:leader="dot" w:pos="9174"/>
        </w:tabs>
        <w:rPr>
          <w:rFonts w:ascii="宋体" w:hAnsi="宋体" w:cs="宋体"/>
          <w:sz w:val="32"/>
          <w:szCs w:val="32"/>
        </w:rPr>
      </w:pPr>
      <w:r>
        <w:rPr>
          <w:rFonts w:hint="eastAsia" w:ascii="宋体" w:hAnsi="宋体" w:cs="宋体"/>
          <w:sz w:val="28"/>
          <w:szCs w:val="24"/>
          <w:lang w:val="en-US" w:eastAsia="zh-CN"/>
        </w:rPr>
        <w:t xml:space="preserve">   </w:t>
      </w:r>
      <w:r>
        <w:rPr>
          <w:rFonts w:hint="eastAsia" w:ascii="宋体" w:hAnsi="宋体" w:cs="宋体"/>
          <w:sz w:val="28"/>
          <w:szCs w:val="24"/>
        </w:rPr>
        <w:drawing>
          <wp:inline distT="0" distB="0" distL="114300" distR="114300">
            <wp:extent cx="6047105" cy="8572500"/>
            <wp:effectExtent l="0" t="0" r="10795" b="0"/>
            <wp:docPr id="48"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5"/>
                    <pic:cNvPicPr>
                      <a:picLocks noChangeAspect="1"/>
                    </pic:cNvPicPr>
                  </pic:nvPicPr>
                  <pic:blipFill>
                    <a:blip r:embed="rId21" cstate="print"/>
                    <a:stretch>
                      <a:fillRect/>
                    </a:stretch>
                  </pic:blipFill>
                  <pic:spPr>
                    <a:xfrm>
                      <a:off x="0" y="0"/>
                      <a:ext cx="6047105" cy="8572500"/>
                    </a:xfrm>
                    <a:prstGeom prst="rect">
                      <a:avLst/>
                    </a:prstGeom>
                    <a:noFill/>
                    <a:ln>
                      <a:noFill/>
                    </a:ln>
                  </pic:spPr>
                </pic:pic>
              </a:graphicData>
            </a:graphic>
          </wp:inline>
        </w:drawing>
      </w:r>
    </w:p>
    <w:p>
      <w:pPr>
        <w:rPr>
          <w:rFonts w:ascii="宋体" w:hAnsi="宋体" w:cs="宋体"/>
          <w:b/>
          <w:sz w:val="32"/>
          <w:szCs w:val="32"/>
        </w:rPr>
      </w:pPr>
      <w:r>
        <w:rPr>
          <w:rFonts w:hint="eastAsia" w:ascii="宋体" w:hAnsi="宋体" w:cs="宋体"/>
          <w:szCs w:val="24"/>
          <w:lang w:val="en-US" w:eastAsia="zh-CN"/>
        </w:rPr>
        <w:t xml:space="preserve">     </w:t>
      </w:r>
      <w:r>
        <w:rPr>
          <w:rFonts w:hint="eastAsia" w:ascii="宋体" w:hAnsi="宋体" w:cs="宋体"/>
          <w:szCs w:val="24"/>
        </w:rPr>
        <w:drawing>
          <wp:inline distT="0" distB="0" distL="114300" distR="114300">
            <wp:extent cx="5945505" cy="8512175"/>
            <wp:effectExtent l="0" t="0" r="17145" b="3175"/>
            <wp:docPr id="4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6"/>
                    <pic:cNvPicPr>
                      <a:picLocks noChangeAspect="1"/>
                    </pic:cNvPicPr>
                  </pic:nvPicPr>
                  <pic:blipFill>
                    <a:blip r:embed="rId22" cstate="print"/>
                    <a:stretch>
                      <a:fillRect/>
                    </a:stretch>
                  </pic:blipFill>
                  <pic:spPr>
                    <a:xfrm>
                      <a:off x="0" y="0"/>
                      <a:ext cx="5945505" cy="8512175"/>
                    </a:xfrm>
                    <a:prstGeom prst="rect">
                      <a:avLst/>
                    </a:prstGeom>
                    <a:noFill/>
                    <a:ln>
                      <a:noFill/>
                    </a:ln>
                  </pic:spPr>
                </pic:pic>
              </a:graphicData>
            </a:graphic>
          </wp:inline>
        </w:drawing>
      </w:r>
    </w:p>
    <w:p>
      <w:pPr>
        <w:pStyle w:val="6"/>
        <w:spacing w:before="56" w:line="360" w:lineRule="auto"/>
        <w:ind w:right="1748"/>
        <w:rPr>
          <w:sz w:val="24"/>
          <w:szCs w:val="24"/>
          <w:lang w:val="en-US"/>
        </w:rPr>
      </w:pPr>
      <w:r>
        <w:rPr>
          <w:rFonts w:hint="eastAsia"/>
          <w:szCs w:val="24"/>
          <w:lang w:val="en-US" w:bidi="ar-SA"/>
        </w:rPr>
        <w:drawing>
          <wp:inline distT="0" distB="0" distL="114300" distR="114300">
            <wp:extent cx="6122670" cy="8306435"/>
            <wp:effectExtent l="0" t="0" r="11430" b="18415"/>
            <wp:docPr id="45"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57"/>
                    <pic:cNvPicPr>
                      <a:picLocks noChangeAspect="1"/>
                    </pic:cNvPicPr>
                  </pic:nvPicPr>
                  <pic:blipFill>
                    <a:blip r:embed="rId23" cstate="print"/>
                    <a:stretch>
                      <a:fillRect/>
                    </a:stretch>
                  </pic:blipFill>
                  <pic:spPr>
                    <a:xfrm>
                      <a:off x="0" y="0"/>
                      <a:ext cx="6122670" cy="8306435"/>
                    </a:xfrm>
                    <a:prstGeom prst="rect">
                      <a:avLst/>
                    </a:prstGeom>
                    <a:noFill/>
                    <a:ln>
                      <a:noFill/>
                    </a:ln>
                  </pic:spPr>
                </pic:pic>
              </a:graphicData>
            </a:graphic>
          </wp:inline>
        </w:drawing>
      </w:r>
    </w:p>
    <w:p>
      <w:pPr>
        <w:pStyle w:val="44"/>
        <w:rPr>
          <w:rFonts w:ascii="宋体" w:hAnsi="宋体" w:cs="宋体"/>
        </w:rPr>
      </w:pPr>
    </w:p>
    <w:bookmarkEnd w:id="94"/>
    <w:bookmarkEnd w:id="95"/>
    <w:bookmarkEnd w:id="96"/>
    <w:bookmarkEnd w:id="97"/>
    <w:bookmarkEnd w:id="98"/>
    <w:bookmarkEnd w:id="99"/>
    <w:p>
      <w:pPr>
        <w:pStyle w:val="2"/>
        <w:spacing w:line="360" w:lineRule="auto"/>
        <w:ind w:left="0" w:leftChars="0" w:firstLine="0" w:firstLineChars="0"/>
        <w:rPr>
          <w:rFonts w:ascii="宋体" w:hAnsi="宋体" w:cs="宋体"/>
          <w:sz w:val="22"/>
          <w:szCs w:val="22"/>
        </w:rPr>
      </w:pPr>
    </w:p>
    <w:p>
      <w:pPr>
        <w:pStyle w:val="2"/>
        <w:spacing w:line="360" w:lineRule="auto"/>
        <w:ind w:left="420" w:firstLine="440"/>
        <w:rPr>
          <w:rFonts w:ascii="宋体" w:hAnsi="宋体" w:cs="宋体"/>
          <w:sz w:val="22"/>
          <w:szCs w:val="22"/>
        </w:rPr>
      </w:pPr>
    </w:p>
    <w:p>
      <w:pPr>
        <w:pStyle w:val="2"/>
        <w:spacing w:line="360" w:lineRule="auto"/>
        <w:ind w:left="420" w:firstLine="440"/>
        <w:rPr>
          <w:rFonts w:ascii="宋体" w:hAnsi="宋体" w:cs="宋体"/>
          <w:sz w:val="22"/>
          <w:szCs w:val="22"/>
        </w:rPr>
      </w:pPr>
    </w:p>
    <w:p>
      <w:pPr>
        <w:pStyle w:val="2"/>
        <w:spacing w:line="360" w:lineRule="auto"/>
        <w:ind w:left="0" w:leftChars="0" w:firstLine="0" w:firstLineChars="0"/>
        <w:rPr>
          <w:rFonts w:ascii="宋体" w:hAnsi="宋体" w:cs="宋体"/>
          <w:sz w:val="22"/>
          <w:szCs w:val="22"/>
        </w:rPr>
      </w:pPr>
    </w:p>
    <w:p>
      <w:pPr>
        <w:spacing w:line="360" w:lineRule="auto"/>
        <w:jc w:val="center"/>
        <w:rPr>
          <w:rFonts w:ascii="宋体" w:hAnsi="宋体" w:cs="宋体"/>
          <w:sz w:val="30"/>
          <w:szCs w:val="22"/>
        </w:rPr>
      </w:pPr>
      <w:r>
        <w:rPr>
          <w:rFonts w:hint="eastAsia" w:ascii="宋体" w:hAnsi="宋体" w:cs="宋体"/>
          <w:b/>
          <w:sz w:val="30"/>
          <w:szCs w:val="22"/>
        </w:rPr>
        <w:t>技术标</w:t>
      </w:r>
    </w:p>
    <w:p>
      <w:pPr>
        <w:spacing w:line="360" w:lineRule="auto"/>
        <w:jc w:val="center"/>
        <w:rPr>
          <w:rFonts w:ascii="宋体" w:hAnsi="宋体" w:cs="宋体"/>
          <w:sz w:val="30"/>
          <w:szCs w:val="22"/>
        </w:rPr>
      </w:pPr>
      <w:r>
        <w:rPr>
          <w:rFonts w:hint="eastAsia" w:ascii="宋体" w:hAnsi="宋体" w:cs="宋体"/>
          <w:sz w:val="30"/>
          <w:szCs w:val="22"/>
        </w:rPr>
        <w:t>详细描述</w:t>
      </w:r>
    </w:p>
    <w:p>
      <w:pPr>
        <w:spacing w:line="360" w:lineRule="auto"/>
        <w:jc w:val="center"/>
        <w:rPr>
          <w:rFonts w:ascii="宋体" w:hAnsi="宋体" w:cs="宋体"/>
          <w:sz w:val="24"/>
          <w:szCs w:val="22"/>
        </w:rPr>
      </w:pPr>
      <w:r>
        <w:rPr>
          <w:rFonts w:hint="eastAsia" w:ascii="宋体" w:hAnsi="宋体" w:cs="宋体"/>
          <w:sz w:val="24"/>
          <w:szCs w:val="22"/>
        </w:rPr>
        <w:t>（投标人结合第三章项目说明及第四章评分标准编制）</w:t>
      </w:r>
    </w:p>
    <w:p>
      <w:pPr>
        <w:spacing w:line="360" w:lineRule="auto"/>
        <w:rPr>
          <w:rFonts w:ascii="宋体" w:hAnsi="宋体" w:cs="宋体"/>
          <w:b/>
          <w:sz w:val="24"/>
          <w:szCs w:val="22"/>
        </w:rPr>
      </w:pPr>
    </w:p>
    <w:p>
      <w:pPr>
        <w:rPr>
          <w:rFonts w:ascii="宋体" w:hAnsi="宋体" w:cs="宋体"/>
          <w:b/>
          <w:sz w:val="24"/>
          <w:szCs w:val="22"/>
        </w:rPr>
      </w:pPr>
    </w:p>
    <w:p>
      <w:pPr>
        <w:jc w:val="center"/>
        <w:rPr>
          <w:rFonts w:ascii="宋体" w:hAnsi="宋体" w:cs="宋体"/>
          <w:b/>
          <w:sz w:val="24"/>
          <w:szCs w:val="22"/>
        </w:rPr>
      </w:pPr>
      <w:r>
        <w:rPr>
          <w:rFonts w:hint="eastAsia" w:ascii="宋体" w:hAnsi="宋体" w:cs="宋体"/>
          <w:b/>
          <w:sz w:val="24"/>
          <w:szCs w:val="22"/>
        </w:rPr>
        <w:br w:type="page"/>
      </w:r>
    </w:p>
    <w:p>
      <w:pPr>
        <w:jc w:val="center"/>
        <w:rPr>
          <w:rFonts w:ascii="宋体" w:hAnsi="宋体" w:cs="宋体"/>
          <w:b/>
          <w:sz w:val="24"/>
          <w:szCs w:val="22"/>
        </w:rPr>
      </w:pPr>
    </w:p>
    <w:p>
      <w:pPr>
        <w:jc w:val="center"/>
        <w:rPr>
          <w:rFonts w:ascii="宋体" w:hAnsi="宋体" w:cs="宋体"/>
          <w:b/>
          <w:sz w:val="24"/>
          <w:szCs w:val="22"/>
        </w:rPr>
      </w:pPr>
    </w:p>
    <w:p>
      <w:pPr>
        <w:jc w:val="center"/>
        <w:rPr>
          <w:rFonts w:ascii="宋体" w:hAnsi="宋体" w:cs="宋体"/>
          <w:b/>
          <w:sz w:val="24"/>
          <w:szCs w:val="22"/>
        </w:rPr>
      </w:pPr>
    </w:p>
    <w:p>
      <w:pPr>
        <w:jc w:val="center"/>
        <w:rPr>
          <w:rFonts w:ascii="宋体" w:hAnsi="宋体" w:cs="宋体"/>
          <w:b/>
          <w:sz w:val="24"/>
          <w:szCs w:val="22"/>
        </w:rPr>
      </w:pPr>
    </w:p>
    <w:p>
      <w:pPr>
        <w:jc w:val="center"/>
        <w:rPr>
          <w:rFonts w:ascii="宋体" w:hAnsi="宋体" w:cs="宋体"/>
          <w:b/>
          <w:sz w:val="24"/>
          <w:szCs w:val="22"/>
        </w:rPr>
      </w:pPr>
    </w:p>
    <w:p>
      <w:pPr>
        <w:jc w:val="center"/>
        <w:rPr>
          <w:rFonts w:ascii="宋体" w:hAnsi="宋体" w:cs="宋体"/>
          <w:b/>
          <w:sz w:val="24"/>
          <w:szCs w:val="22"/>
        </w:rPr>
      </w:pPr>
    </w:p>
    <w:p>
      <w:pPr>
        <w:jc w:val="center"/>
        <w:rPr>
          <w:rFonts w:ascii="宋体" w:hAnsi="宋体" w:cs="宋体"/>
          <w:b/>
          <w:sz w:val="24"/>
          <w:szCs w:val="22"/>
        </w:rPr>
      </w:pPr>
    </w:p>
    <w:p>
      <w:pPr>
        <w:jc w:val="center"/>
        <w:rPr>
          <w:rFonts w:ascii="宋体" w:hAnsi="宋体" w:cs="宋体"/>
          <w:b/>
          <w:sz w:val="24"/>
          <w:szCs w:val="22"/>
        </w:rPr>
      </w:pPr>
      <w:r>
        <w:rPr>
          <w:rFonts w:hint="eastAsia" w:ascii="宋体" w:hAnsi="宋体" w:cs="宋体"/>
          <w:b/>
          <w:sz w:val="24"/>
          <w:szCs w:val="22"/>
        </w:rPr>
        <w:t>投标人需要加以说明的其他材料（投标人自行编制）</w:t>
      </w:r>
    </w:p>
    <w:p>
      <w:pPr>
        <w:jc w:val="center"/>
        <w:rPr>
          <w:rFonts w:ascii="宋体" w:hAnsi="宋体" w:cs="宋体"/>
          <w:b/>
          <w:sz w:val="24"/>
          <w:szCs w:val="22"/>
        </w:rPr>
      </w:pPr>
    </w:p>
    <w:p>
      <w:pPr>
        <w:jc w:val="center"/>
        <w:rPr>
          <w:rFonts w:ascii="宋体" w:hAnsi="宋体" w:cs="宋体"/>
          <w:b/>
          <w:sz w:val="24"/>
          <w:szCs w:val="22"/>
        </w:rPr>
      </w:pPr>
    </w:p>
    <w:p>
      <w:pPr>
        <w:jc w:val="center"/>
        <w:rPr>
          <w:rFonts w:ascii="宋体" w:hAnsi="宋体" w:cs="宋体"/>
          <w:b/>
          <w:sz w:val="24"/>
          <w:szCs w:val="22"/>
        </w:rPr>
      </w:pPr>
    </w:p>
    <w:p>
      <w:pPr>
        <w:tabs>
          <w:tab w:val="left" w:pos="3135"/>
          <w:tab w:val="center" w:pos="7392"/>
        </w:tabs>
        <w:spacing w:beforeLines="50" w:line="400" w:lineRule="exact"/>
        <w:jc w:val="center"/>
        <w:rPr>
          <w:rFonts w:ascii="宋体" w:hAnsi="宋体" w:cs="宋体"/>
          <w:kern w:val="0"/>
          <w:sz w:val="24"/>
          <w:szCs w:val="24"/>
        </w:rPr>
      </w:pPr>
      <w:r>
        <w:rPr>
          <w:rFonts w:hint="eastAsia" w:ascii="宋体" w:hAnsi="宋体" w:cs="宋体"/>
          <w:sz w:val="24"/>
          <w:szCs w:val="22"/>
        </w:rPr>
        <w:t>（包括相关证件材料等）</w:t>
      </w:r>
    </w:p>
    <w:p>
      <w:pPr>
        <w:spacing w:line="400" w:lineRule="atLeast"/>
        <w:ind w:left="-181" w:leftChars="-86" w:firstLine="355" w:firstLineChars="148"/>
        <w:rPr>
          <w:rFonts w:ascii="宋体" w:hAnsi="宋体" w:cs="宋体"/>
          <w:sz w:val="24"/>
          <w:szCs w:val="24"/>
          <w:lang w:val="zh-CN"/>
        </w:rPr>
      </w:pPr>
    </w:p>
    <w:p>
      <w:pPr>
        <w:spacing w:line="400" w:lineRule="atLeast"/>
        <w:ind w:left="-181" w:leftChars="-86" w:firstLine="355" w:firstLineChars="148"/>
        <w:rPr>
          <w:rFonts w:ascii="宋体" w:hAnsi="宋体" w:cs="宋体"/>
          <w:sz w:val="24"/>
          <w:szCs w:val="24"/>
          <w:lang w:val="zh-CN"/>
        </w:rPr>
      </w:pPr>
    </w:p>
    <w:p>
      <w:pPr>
        <w:spacing w:line="400" w:lineRule="atLeast"/>
        <w:ind w:left="-181" w:leftChars="-86" w:firstLine="355" w:firstLineChars="148"/>
        <w:rPr>
          <w:rFonts w:ascii="宋体" w:hAnsi="宋体" w:cs="宋体"/>
          <w:sz w:val="24"/>
          <w:szCs w:val="24"/>
          <w:lang w:val="zh-CN"/>
        </w:rPr>
      </w:pPr>
    </w:p>
    <w:p>
      <w:pPr>
        <w:spacing w:line="400" w:lineRule="atLeast"/>
        <w:ind w:left="-181" w:leftChars="-86" w:firstLine="355" w:firstLineChars="148"/>
        <w:rPr>
          <w:rFonts w:ascii="宋体" w:hAnsi="宋体" w:cs="宋体"/>
          <w:sz w:val="24"/>
          <w:szCs w:val="24"/>
          <w:lang w:val="zh-CN"/>
        </w:rPr>
      </w:pPr>
    </w:p>
    <w:p>
      <w:pPr>
        <w:spacing w:line="400" w:lineRule="atLeast"/>
        <w:ind w:left="-181" w:leftChars="-86" w:firstLine="355" w:firstLineChars="148"/>
        <w:rPr>
          <w:rFonts w:ascii="宋体" w:hAnsi="宋体" w:cs="宋体"/>
          <w:sz w:val="24"/>
          <w:szCs w:val="24"/>
          <w:lang w:val="zh-CN"/>
        </w:rPr>
      </w:pPr>
    </w:p>
    <w:p>
      <w:pPr>
        <w:spacing w:line="400" w:lineRule="atLeast"/>
        <w:ind w:left="-181" w:leftChars="-86" w:firstLine="355" w:firstLineChars="148"/>
        <w:rPr>
          <w:rFonts w:ascii="宋体" w:hAnsi="宋体" w:cs="宋体"/>
          <w:sz w:val="24"/>
          <w:szCs w:val="24"/>
          <w:lang w:val="zh-CN"/>
        </w:rPr>
      </w:pPr>
    </w:p>
    <w:p>
      <w:pPr>
        <w:spacing w:line="400" w:lineRule="atLeast"/>
        <w:ind w:left="-181" w:leftChars="-86" w:firstLine="355" w:firstLineChars="148"/>
        <w:rPr>
          <w:rFonts w:ascii="宋体" w:hAnsi="宋体" w:cs="宋体"/>
          <w:sz w:val="24"/>
          <w:szCs w:val="24"/>
          <w:lang w:val="zh-CN"/>
        </w:rPr>
      </w:pPr>
    </w:p>
    <w:p>
      <w:pPr>
        <w:pStyle w:val="37"/>
        <w:ind w:firstLine="480"/>
        <w:rPr>
          <w:lang w:val="zh-CN"/>
        </w:rPr>
      </w:pPr>
    </w:p>
    <w:p>
      <w:pPr>
        <w:rPr>
          <w:rFonts w:ascii="宋体" w:hAnsi="宋体" w:cs="宋体"/>
          <w:sz w:val="24"/>
          <w:szCs w:val="24"/>
          <w:lang w:val="zh-CN"/>
        </w:rPr>
      </w:pPr>
    </w:p>
    <w:p>
      <w:pPr>
        <w:pStyle w:val="37"/>
        <w:ind w:firstLine="480"/>
        <w:rPr>
          <w:lang w:val="zh-CN"/>
        </w:rPr>
      </w:pPr>
    </w:p>
    <w:p>
      <w:pPr>
        <w:rPr>
          <w:rFonts w:ascii="宋体" w:hAnsi="宋体" w:cs="宋体"/>
          <w:sz w:val="24"/>
          <w:szCs w:val="24"/>
          <w:lang w:val="zh-CN"/>
        </w:rPr>
      </w:pPr>
    </w:p>
    <w:p>
      <w:pPr>
        <w:pStyle w:val="37"/>
        <w:ind w:firstLine="480"/>
        <w:rPr>
          <w:lang w:val="zh-CN"/>
        </w:rPr>
      </w:pPr>
    </w:p>
    <w:p>
      <w:pPr>
        <w:spacing w:line="400" w:lineRule="atLeast"/>
        <w:rPr>
          <w:rFonts w:ascii="宋体" w:hAnsi="宋体" w:cs="宋体"/>
          <w:spacing w:val="-4"/>
          <w:sz w:val="24"/>
          <w:szCs w:val="24"/>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rPr>
          <w:rFonts w:ascii="宋体" w:hAnsi="宋体" w:cs="宋体"/>
          <w:b/>
          <w:sz w:val="28"/>
          <w:szCs w:val="28"/>
        </w:rPr>
      </w:pPr>
    </w:p>
    <w:p>
      <w:pPr>
        <w:tabs>
          <w:tab w:val="left" w:pos="3135"/>
          <w:tab w:val="center" w:pos="7392"/>
        </w:tabs>
        <w:spacing w:beforeLines="50" w:line="400" w:lineRule="exact"/>
        <w:ind w:firstLine="3092" w:firstLineChars="1100"/>
        <w:rPr>
          <w:rFonts w:ascii="宋体" w:hAnsi="宋体" w:cs="宋体"/>
          <w:b/>
          <w:sz w:val="28"/>
          <w:szCs w:val="28"/>
        </w:rPr>
      </w:pPr>
      <w:r>
        <w:rPr>
          <w:rFonts w:hint="eastAsia" w:ascii="宋体" w:hAnsi="宋体" w:cs="宋体"/>
          <w:b/>
          <w:sz w:val="28"/>
          <w:szCs w:val="28"/>
        </w:rPr>
        <w:t>附件：投标人资格审查统计表</w:t>
      </w:r>
    </w:p>
    <w:tbl>
      <w:tblPr>
        <w:tblStyle w:val="22"/>
        <w:tblpPr w:leftFromText="180" w:rightFromText="180" w:vertAnchor="text" w:horzAnchor="page" w:tblpXSpec="center" w:tblpY="535"/>
        <w:tblOverlap w:val="never"/>
        <w:tblW w:w="10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50"/>
        <w:gridCol w:w="5107"/>
        <w:gridCol w:w="1594"/>
        <w:gridCol w:w="1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04" w:type="dxa"/>
            <w:vAlign w:val="center"/>
          </w:tcPr>
          <w:p>
            <w:pPr>
              <w:jc w:val="center"/>
              <w:rPr>
                <w:rFonts w:ascii="宋体" w:hAnsi="宋体" w:cs="宋体"/>
                <w:bCs/>
                <w:sz w:val="24"/>
                <w:szCs w:val="24"/>
              </w:rPr>
            </w:pPr>
            <w:r>
              <w:rPr>
                <w:rFonts w:hint="eastAsia" w:ascii="宋体" w:hAnsi="宋体" w:cs="宋体"/>
                <w:sz w:val="24"/>
                <w:szCs w:val="24"/>
              </w:rPr>
              <w:t>序号</w:t>
            </w:r>
          </w:p>
        </w:tc>
        <w:tc>
          <w:tcPr>
            <w:tcW w:w="6657" w:type="dxa"/>
            <w:gridSpan w:val="2"/>
            <w:vAlign w:val="center"/>
          </w:tcPr>
          <w:p>
            <w:pPr>
              <w:jc w:val="center"/>
              <w:rPr>
                <w:rFonts w:ascii="宋体" w:hAnsi="宋体" w:cs="宋体"/>
                <w:sz w:val="24"/>
                <w:szCs w:val="24"/>
              </w:rPr>
            </w:pPr>
            <w:r>
              <w:rPr>
                <w:rFonts w:hint="eastAsia" w:ascii="宋体" w:hAnsi="宋体" w:cs="宋体"/>
                <w:sz w:val="24"/>
                <w:szCs w:val="24"/>
              </w:rPr>
              <w:t>名称</w:t>
            </w:r>
          </w:p>
        </w:tc>
        <w:tc>
          <w:tcPr>
            <w:tcW w:w="1594" w:type="dxa"/>
            <w:vAlign w:val="center"/>
          </w:tcPr>
          <w:p>
            <w:pPr>
              <w:jc w:val="center"/>
              <w:rPr>
                <w:rFonts w:ascii="宋体" w:hAnsi="宋体" w:cs="宋体"/>
                <w:sz w:val="24"/>
                <w:szCs w:val="24"/>
              </w:rPr>
            </w:pPr>
            <w:r>
              <w:rPr>
                <w:rFonts w:hint="eastAsia" w:ascii="宋体" w:hAnsi="宋体" w:cs="宋体"/>
                <w:sz w:val="24"/>
                <w:szCs w:val="24"/>
              </w:rPr>
              <w:t>内容</w:t>
            </w:r>
          </w:p>
        </w:tc>
        <w:tc>
          <w:tcPr>
            <w:tcW w:w="1161" w:type="dxa"/>
            <w:vAlign w:val="center"/>
          </w:tcPr>
          <w:p>
            <w:pPr>
              <w:ind w:left="-109" w:leftChars="-52" w:right="-189" w:rightChars="-90"/>
              <w:jc w:val="center"/>
              <w:rPr>
                <w:rFonts w:ascii="宋体" w:hAnsi="宋体" w:cs="宋体"/>
                <w:sz w:val="24"/>
                <w:szCs w:val="24"/>
              </w:rPr>
            </w:pPr>
            <w:r>
              <w:rPr>
                <w:rFonts w:hint="eastAsia" w:ascii="宋体" w:hAnsi="宋体" w:cs="宋体"/>
                <w:sz w:val="24"/>
                <w:szCs w:val="24"/>
              </w:rPr>
              <w:t>检验结果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04" w:type="dxa"/>
            <w:vAlign w:val="center"/>
          </w:tcPr>
          <w:p>
            <w:pPr>
              <w:widowControl/>
              <w:adjustRightInd w:val="0"/>
              <w:snapToGrid w:val="0"/>
              <w:jc w:val="center"/>
              <w:rPr>
                <w:rFonts w:ascii="宋体" w:hAnsi="宋体" w:cs="宋体"/>
                <w:sz w:val="24"/>
                <w:szCs w:val="24"/>
              </w:rPr>
            </w:pPr>
            <w:r>
              <w:rPr>
                <w:rFonts w:hint="eastAsia" w:ascii="宋体" w:hAnsi="宋体" w:cs="宋体"/>
                <w:sz w:val="24"/>
                <w:szCs w:val="24"/>
              </w:rPr>
              <w:t>1</w:t>
            </w:r>
          </w:p>
        </w:tc>
        <w:tc>
          <w:tcPr>
            <w:tcW w:w="6657" w:type="dxa"/>
            <w:gridSpan w:val="2"/>
            <w:vAlign w:val="center"/>
          </w:tcPr>
          <w:p>
            <w:pPr>
              <w:jc w:val="left"/>
              <w:rPr>
                <w:rFonts w:ascii="宋体" w:hAnsi="宋体" w:cs="宋体"/>
                <w:sz w:val="24"/>
                <w:szCs w:val="24"/>
              </w:rPr>
            </w:pPr>
            <w:r>
              <w:rPr>
                <w:rFonts w:hint="eastAsia" w:ascii="宋体" w:hAnsi="宋体" w:cs="宋体"/>
                <w:sz w:val="24"/>
                <w:szCs w:val="24"/>
              </w:rPr>
              <w:t>营业执照；</w:t>
            </w:r>
          </w:p>
        </w:tc>
        <w:tc>
          <w:tcPr>
            <w:tcW w:w="1594" w:type="dxa"/>
            <w:vAlign w:val="center"/>
          </w:tcPr>
          <w:p>
            <w:pPr>
              <w:jc w:val="center"/>
              <w:rPr>
                <w:rFonts w:ascii="宋体" w:hAnsi="宋体" w:cs="宋体"/>
                <w:sz w:val="24"/>
                <w:szCs w:val="24"/>
              </w:rPr>
            </w:pPr>
            <w:r>
              <w:rPr>
                <w:rFonts w:hint="eastAsia" w:ascii="宋体" w:hAnsi="宋体" w:cs="宋体"/>
                <w:b/>
                <w:sz w:val="22"/>
              </w:rPr>
              <w:t>是否提供</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6657" w:type="dxa"/>
            <w:gridSpan w:val="2"/>
            <w:vAlign w:val="center"/>
          </w:tcPr>
          <w:p>
            <w:pPr>
              <w:pStyle w:val="46"/>
              <w:numPr>
                <w:ilvl w:val="0"/>
                <w:numId w:val="0"/>
              </w:numPr>
              <w:autoSpaceDE w:val="0"/>
              <w:autoSpaceDN w:val="0"/>
              <w:adjustRightInd w:val="0"/>
              <w:snapToGrid w:val="0"/>
              <w:spacing w:line="360" w:lineRule="auto"/>
              <w:rPr>
                <w:rFonts w:hint="eastAsia" w:ascii="宋体" w:hAnsi="宋体" w:cs="宋体"/>
                <w:sz w:val="24"/>
                <w:szCs w:val="24"/>
              </w:rPr>
            </w:pPr>
            <w:r>
              <w:rPr>
                <w:rFonts w:hint="eastAsia"/>
                <w:sz w:val="24"/>
              </w:rPr>
              <w:t>基本开户许可证</w:t>
            </w:r>
            <w:r>
              <w:rPr>
                <w:rFonts w:hint="eastAsia"/>
                <w:sz w:val="24"/>
                <w:lang w:val="en-US" w:eastAsia="zh-CN"/>
              </w:rPr>
              <w:t>扫描件加盖公章</w:t>
            </w:r>
            <w:r>
              <w:rPr>
                <w:rFonts w:hint="eastAsia"/>
                <w:sz w:val="24"/>
              </w:rPr>
              <w:t>或基本存款账户承诺书（含《基本存款账户信息》（具体格式参照附件）；</w:t>
            </w:r>
          </w:p>
        </w:tc>
        <w:tc>
          <w:tcPr>
            <w:tcW w:w="1594" w:type="dxa"/>
            <w:vAlign w:val="center"/>
          </w:tcPr>
          <w:p>
            <w:pPr>
              <w:jc w:val="center"/>
              <w:rPr>
                <w:rFonts w:hint="eastAsia" w:ascii="宋体" w:hAnsi="宋体" w:cs="宋体"/>
                <w:b/>
                <w:sz w:val="22"/>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c>
          <w:tcPr>
            <w:tcW w:w="6657" w:type="dxa"/>
            <w:gridSpan w:val="2"/>
            <w:vAlign w:val="center"/>
          </w:tcPr>
          <w:p>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ascii="宋体" w:hAnsi="宋体" w:cs="宋体"/>
                <w:sz w:val="24"/>
                <w:szCs w:val="24"/>
                <w:lang w:val="zh-CN"/>
              </w:rPr>
            </w:pPr>
            <w:r>
              <w:rPr>
                <w:rFonts w:hint="eastAsia" w:ascii="宋体" w:hAnsi="宋体" w:cs="宋体"/>
                <w:sz w:val="24"/>
                <w:szCs w:val="24"/>
                <w:lang w:val="zh-CN"/>
              </w:rPr>
              <w:t>财务状况报告。是指提供2022年度财务状况报告证明，财务报告或财务报告表或银行开具的资信证明；（新公司参与投标可提供近期的财务状况证明）；</w:t>
            </w:r>
          </w:p>
        </w:tc>
        <w:tc>
          <w:tcPr>
            <w:tcW w:w="1594" w:type="dxa"/>
            <w:vAlign w:val="center"/>
          </w:tcPr>
          <w:p>
            <w:pPr>
              <w:jc w:val="center"/>
              <w:rPr>
                <w:rFonts w:ascii="宋体" w:hAnsi="宋体" w:cs="宋体"/>
                <w:sz w:val="24"/>
                <w:szCs w:val="24"/>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6657" w:type="dxa"/>
            <w:gridSpan w:val="2"/>
            <w:vAlign w:val="center"/>
          </w:tcPr>
          <w:p>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sz w:val="24"/>
                <w:szCs w:val="24"/>
                <w:lang w:eastAsia="zh-CN"/>
              </w:rPr>
            </w:pPr>
            <w:r>
              <w:rPr>
                <w:rFonts w:hint="eastAsia" w:cs="宋体"/>
                <w:kern w:val="0"/>
                <w:sz w:val="24"/>
                <w:highlight w:val="none"/>
                <w:lang w:val="en-US" w:eastAsia="zh-CN"/>
              </w:rPr>
              <w:t>提供近半年以来</w:t>
            </w:r>
            <w:r>
              <w:rPr>
                <w:rFonts w:hint="eastAsia" w:ascii="宋体" w:hAnsi="宋体" w:cs="宋体"/>
                <w:sz w:val="24"/>
                <w:szCs w:val="24"/>
              </w:rPr>
              <w:t>（连续三个月）</w:t>
            </w:r>
            <w:r>
              <w:rPr>
                <w:rFonts w:hint="eastAsia" w:ascii="宋体" w:hAnsi="宋体" w:eastAsia="宋体" w:cs="宋体"/>
                <w:kern w:val="0"/>
                <w:sz w:val="24"/>
                <w:highlight w:val="none"/>
              </w:rPr>
              <w:t>依法缴纳税收的证明。</w:t>
            </w:r>
            <w:r>
              <w:rPr>
                <w:rFonts w:hint="eastAsia" w:ascii="宋体" w:hAnsi="宋体" w:cs="宋体"/>
                <w:kern w:val="0"/>
                <w:sz w:val="24"/>
                <w:highlight w:val="none"/>
                <w:lang w:eastAsia="zh-CN"/>
              </w:rPr>
              <w:t>是</w:t>
            </w:r>
            <w:r>
              <w:rPr>
                <w:rFonts w:hint="eastAsia" w:ascii="宋体" w:hAnsi="宋体" w:eastAsia="宋体" w:cs="宋体"/>
                <w:kern w:val="0"/>
                <w:sz w:val="24"/>
                <w:highlight w:val="none"/>
              </w:rPr>
              <w:t>指提供本单位</w:t>
            </w:r>
            <w:r>
              <w:rPr>
                <w:rFonts w:hint="eastAsia" w:ascii="宋体" w:hAnsi="宋体" w:eastAsia="宋体" w:cs="宋体"/>
                <w:kern w:val="0"/>
                <w:sz w:val="24"/>
                <w:highlight w:val="none"/>
                <w:lang w:val="en-US" w:eastAsia="zh-CN"/>
              </w:rPr>
              <w:t>近</w:t>
            </w:r>
            <w:r>
              <w:rPr>
                <w:rFonts w:hint="eastAsia" w:ascii="宋体" w:hAnsi="宋体" w:eastAsia="宋体" w:cs="宋体"/>
                <w:kern w:val="0"/>
                <w:sz w:val="24"/>
                <w:highlight w:val="none"/>
              </w:rPr>
              <w:t>的缴税证明，为税务部门出具的完税凭证或交税证明或银行出具的“银行电子缴税付款凭证”</w:t>
            </w:r>
            <w:r>
              <w:rPr>
                <w:rFonts w:hint="eastAsia" w:ascii="宋体" w:hAnsi="宋体" w:cs="宋体"/>
                <w:kern w:val="0"/>
                <w:sz w:val="24"/>
                <w:highlight w:val="none"/>
                <w:lang w:eastAsia="zh-CN"/>
              </w:rPr>
              <w:t>；</w:t>
            </w:r>
          </w:p>
        </w:tc>
        <w:tc>
          <w:tcPr>
            <w:tcW w:w="1594" w:type="dxa"/>
            <w:vAlign w:val="center"/>
          </w:tcPr>
          <w:p>
            <w:pPr>
              <w:jc w:val="center"/>
              <w:rPr>
                <w:rFonts w:ascii="宋体" w:hAnsi="宋体" w:cs="宋体"/>
                <w:sz w:val="22"/>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5</w:t>
            </w:r>
          </w:p>
        </w:tc>
        <w:tc>
          <w:tcPr>
            <w:tcW w:w="6657" w:type="dxa"/>
            <w:gridSpan w:val="2"/>
            <w:vAlign w:val="center"/>
          </w:tcPr>
          <w:p>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ascii="宋体" w:hAnsi="宋体" w:cs="宋体"/>
                <w:sz w:val="24"/>
                <w:szCs w:val="24"/>
              </w:rPr>
            </w:pPr>
            <w:r>
              <w:rPr>
                <w:rFonts w:hint="eastAsia" w:cs="宋体"/>
                <w:kern w:val="0"/>
                <w:sz w:val="24"/>
                <w:highlight w:val="none"/>
                <w:lang w:val="en-US" w:eastAsia="zh-CN"/>
              </w:rPr>
              <w:t>提供近半年以来</w:t>
            </w:r>
            <w:r>
              <w:rPr>
                <w:rFonts w:hint="eastAsia" w:ascii="宋体" w:hAnsi="宋体" w:cs="宋体"/>
                <w:sz w:val="24"/>
                <w:szCs w:val="24"/>
              </w:rPr>
              <w:t>（连续三个月）</w:t>
            </w:r>
            <w:r>
              <w:rPr>
                <w:rFonts w:hint="eastAsia" w:ascii="宋体" w:hAnsi="宋体" w:eastAsia="宋体" w:cs="宋体"/>
                <w:kern w:val="0"/>
                <w:sz w:val="24"/>
                <w:highlight w:val="none"/>
              </w:rPr>
              <w:t>依法缴纳社会保障资金</w:t>
            </w:r>
            <w:r>
              <w:rPr>
                <w:rFonts w:hint="eastAsia" w:ascii="宋体" w:hAnsi="宋体" w:cs="宋体"/>
                <w:kern w:val="0"/>
                <w:sz w:val="24"/>
                <w:highlight w:val="none"/>
                <w:lang w:eastAsia="zh-CN"/>
              </w:rPr>
              <w:t>的</w:t>
            </w:r>
            <w:r>
              <w:rPr>
                <w:rFonts w:hint="eastAsia" w:ascii="宋体" w:hAnsi="宋体" w:eastAsia="宋体" w:cs="宋体"/>
                <w:kern w:val="0"/>
                <w:sz w:val="24"/>
                <w:highlight w:val="none"/>
              </w:rPr>
              <w:t>证明。指社会保障主管部门出具的本单位职工社会保障缴纳证明或社会保障缴费清单；</w:t>
            </w:r>
          </w:p>
        </w:tc>
        <w:tc>
          <w:tcPr>
            <w:tcW w:w="1594" w:type="dxa"/>
            <w:vAlign w:val="center"/>
          </w:tcPr>
          <w:p>
            <w:pPr>
              <w:jc w:val="center"/>
              <w:rPr>
                <w:rFonts w:ascii="宋体" w:hAnsi="宋体" w:cs="宋体"/>
                <w:sz w:val="22"/>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6</w:t>
            </w:r>
          </w:p>
        </w:tc>
        <w:tc>
          <w:tcPr>
            <w:tcW w:w="6657" w:type="dxa"/>
            <w:gridSpan w:val="2"/>
            <w:vAlign w:val="center"/>
          </w:tcPr>
          <w:p>
            <w:pPr>
              <w:spacing w:line="360" w:lineRule="auto"/>
              <w:jc w:val="left"/>
              <w:rPr>
                <w:rFonts w:ascii="宋体" w:hAnsi="宋体" w:cs="宋体"/>
                <w:sz w:val="24"/>
                <w:szCs w:val="24"/>
              </w:rPr>
            </w:pPr>
            <w:r>
              <w:rPr>
                <w:rFonts w:hint="eastAsia" w:ascii="宋体" w:hAnsi="宋体" w:cs="宋体"/>
                <w:bCs/>
                <w:sz w:val="24"/>
                <w:szCs w:val="24"/>
              </w:rPr>
              <w:t>法定代表人的授权委托书及授权代表的身份证；若法定代表人参加，仅提供法定代表人的身份证扫描件；</w:t>
            </w:r>
            <w:r>
              <w:rPr>
                <w:rFonts w:hint="eastAsia" w:ascii="宋体" w:hAnsi="宋体" w:cs="宋体"/>
                <w:sz w:val="24"/>
                <w:szCs w:val="24"/>
              </w:rPr>
              <w:t>（格式见附件）。</w:t>
            </w:r>
          </w:p>
        </w:tc>
        <w:tc>
          <w:tcPr>
            <w:tcW w:w="1594" w:type="dxa"/>
            <w:vAlign w:val="center"/>
          </w:tcPr>
          <w:p>
            <w:pPr>
              <w:jc w:val="center"/>
              <w:rPr>
                <w:rFonts w:ascii="宋体" w:hAnsi="宋体" w:cs="宋体"/>
                <w:sz w:val="22"/>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7</w:t>
            </w:r>
          </w:p>
        </w:tc>
        <w:tc>
          <w:tcPr>
            <w:tcW w:w="6657" w:type="dxa"/>
            <w:gridSpan w:val="2"/>
            <w:vAlign w:val="center"/>
          </w:tcPr>
          <w:p>
            <w:pPr>
              <w:spacing w:line="360" w:lineRule="auto"/>
              <w:jc w:val="left"/>
              <w:rPr>
                <w:rFonts w:ascii="宋体" w:hAnsi="宋体" w:cs="宋体"/>
                <w:bCs/>
                <w:sz w:val="24"/>
                <w:szCs w:val="24"/>
              </w:rPr>
            </w:pPr>
            <w:r>
              <w:rPr>
                <w:rFonts w:hint="eastAsia" w:ascii="宋体" w:hAnsi="宋体" w:cs="宋体"/>
                <w:bCs/>
                <w:sz w:val="24"/>
                <w:szCs w:val="24"/>
              </w:rPr>
              <w:t>具备履行合同所必需的设备和专业技术能力的证明材料。是指提供主要生产设备、检验设备表和主要技术、管理、服务人员数量表。格式见附件《履行合同的设备技术能力证明表》；</w:t>
            </w:r>
          </w:p>
        </w:tc>
        <w:tc>
          <w:tcPr>
            <w:tcW w:w="1594" w:type="dxa"/>
            <w:vAlign w:val="center"/>
          </w:tcPr>
          <w:p>
            <w:pPr>
              <w:jc w:val="center"/>
              <w:rPr>
                <w:rFonts w:ascii="宋体" w:hAnsi="宋体" w:cs="宋体"/>
                <w:sz w:val="22"/>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p>
        </w:tc>
        <w:tc>
          <w:tcPr>
            <w:tcW w:w="6657" w:type="dxa"/>
            <w:gridSpan w:val="2"/>
            <w:vAlign w:val="center"/>
          </w:tcPr>
          <w:p>
            <w:pPr>
              <w:spacing w:line="360" w:lineRule="auto"/>
              <w:jc w:val="left"/>
              <w:rPr>
                <w:rFonts w:ascii="宋体" w:hAnsi="宋体" w:cs="宋体"/>
                <w:bCs/>
                <w:sz w:val="24"/>
                <w:szCs w:val="24"/>
              </w:rPr>
            </w:pPr>
            <w:r>
              <w:rPr>
                <w:rFonts w:hint="eastAsia" w:ascii="宋体" w:hAnsi="宋体" w:cs="宋体"/>
                <w:bCs/>
                <w:sz w:val="24"/>
                <w:szCs w:val="24"/>
              </w:rPr>
              <w:t>参加政府采购活动前3年内在经营活动中没有重大违法记录的书面声明和信用记录承诺。格式按附件《无重大违规违法声明》和《信用记录承诺》；</w:t>
            </w:r>
          </w:p>
        </w:tc>
        <w:tc>
          <w:tcPr>
            <w:tcW w:w="1594" w:type="dxa"/>
            <w:vAlign w:val="center"/>
          </w:tcPr>
          <w:p>
            <w:pPr>
              <w:jc w:val="center"/>
              <w:rPr>
                <w:rFonts w:ascii="宋体" w:hAnsi="宋体" w:cs="宋体"/>
                <w:sz w:val="22"/>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4" w:type="dxa"/>
            <w:vAlign w:val="center"/>
          </w:tcPr>
          <w:p>
            <w:pPr>
              <w:widowControl/>
              <w:adjustRightInd w:val="0"/>
              <w:snapToGrid w:val="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9</w:t>
            </w:r>
          </w:p>
        </w:tc>
        <w:tc>
          <w:tcPr>
            <w:tcW w:w="6657" w:type="dxa"/>
            <w:gridSpan w:val="2"/>
            <w:vAlign w:val="center"/>
          </w:tcPr>
          <w:p>
            <w:pPr>
              <w:spacing w:line="360" w:lineRule="auto"/>
              <w:jc w:val="left"/>
              <w:rPr>
                <w:rFonts w:ascii="宋体" w:hAnsi="宋体" w:cs="宋体"/>
                <w:bCs/>
                <w:sz w:val="24"/>
                <w:szCs w:val="24"/>
              </w:rPr>
            </w:pPr>
            <w:r>
              <w:rPr>
                <w:rFonts w:hint="eastAsia" w:ascii="宋体" w:hAnsi="宋体" w:cs="宋体"/>
                <w:bCs/>
                <w:sz w:val="24"/>
                <w:szCs w:val="24"/>
              </w:rPr>
              <w:t>中小企业声明函（格式见附件）；</w:t>
            </w:r>
          </w:p>
        </w:tc>
        <w:tc>
          <w:tcPr>
            <w:tcW w:w="1594" w:type="dxa"/>
            <w:vAlign w:val="center"/>
          </w:tcPr>
          <w:p>
            <w:pPr>
              <w:jc w:val="center"/>
              <w:rPr>
                <w:rFonts w:ascii="宋体" w:hAnsi="宋体" w:cs="宋体"/>
                <w:sz w:val="22"/>
              </w:rPr>
            </w:pPr>
            <w:r>
              <w:rPr>
                <w:rFonts w:hint="eastAsia" w:ascii="宋体" w:hAnsi="宋体" w:cs="宋体"/>
                <w:sz w:val="22"/>
              </w:rPr>
              <w:t>□是  □否</w:t>
            </w:r>
          </w:p>
        </w:tc>
        <w:tc>
          <w:tcPr>
            <w:tcW w:w="1161" w:type="dxa"/>
            <w:vAlign w:val="center"/>
          </w:tcPr>
          <w:p>
            <w:pPr>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55" w:type="dxa"/>
            <w:gridSpan w:val="4"/>
            <w:vAlign w:val="center"/>
          </w:tcPr>
          <w:p>
            <w:pPr>
              <w:widowControl/>
              <w:adjustRightInd w:val="0"/>
              <w:snapToGrid w:val="0"/>
              <w:jc w:val="center"/>
              <w:rPr>
                <w:rFonts w:ascii="宋体" w:hAnsi="宋体" w:cs="宋体"/>
                <w:sz w:val="24"/>
                <w:szCs w:val="24"/>
              </w:rPr>
            </w:pPr>
            <w:r>
              <w:rPr>
                <w:rFonts w:hint="eastAsia" w:ascii="宋体" w:hAnsi="宋体" w:cs="宋体"/>
                <w:sz w:val="24"/>
                <w:szCs w:val="24"/>
              </w:rPr>
              <w:t>是否审查合格</w:t>
            </w:r>
          </w:p>
        </w:tc>
        <w:tc>
          <w:tcPr>
            <w:tcW w:w="1161" w:type="dxa"/>
            <w:vAlign w:val="center"/>
          </w:tcPr>
          <w:p>
            <w:pPr>
              <w:widowControl/>
              <w:adjustRightInd w:val="0"/>
              <w:snapToGrid w:val="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955" w:type="dxa"/>
            <w:gridSpan w:val="4"/>
            <w:vAlign w:val="center"/>
          </w:tcPr>
          <w:p>
            <w:pPr>
              <w:widowControl/>
              <w:adjustRightInd w:val="0"/>
              <w:snapToGrid w:val="0"/>
              <w:jc w:val="center"/>
              <w:rPr>
                <w:rFonts w:ascii="宋体" w:hAnsi="宋体" w:cs="宋体"/>
                <w:sz w:val="24"/>
                <w:szCs w:val="24"/>
              </w:rPr>
            </w:pPr>
            <w:r>
              <w:rPr>
                <w:rFonts w:hint="eastAsia" w:ascii="宋体" w:hAnsi="宋体" w:cs="宋体"/>
                <w:sz w:val="24"/>
                <w:szCs w:val="24"/>
              </w:rPr>
              <w:t>是否为小微企业</w:t>
            </w:r>
          </w:p>
        </w:tc>
        <w:tc>
          <w:tcPr>
            <w:tcW w:w="1161" w:type="dxa"/>
            <w:vAlign w:val="center"/>
          </w:tcPr>
          <w:p>
            <w:pPr>
              <w:widowControl/>
              <w:adjustRightInd w:val="0"/>
              <w:snapToGrid w:val="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254" w:type="dxa"/>
            <w:gridSpan w:val="2"/>
            <w:vAlign w:val="center"/>
          </w:tcPr>
          <w:p>
            <w:pPr>
              <w:jc w:val="center"/>
              <w:rPr>
                <w:rFonts w:ascii="宋体" w:hAnsi="宋体" w:cs="宋体"/>
                <w:sz w:val="24"/>
                <w:szCs w:val="24"/>
              </w:rPr>
            </w:pPr>
            <w:r>
              <w:rPr>
                <w:rFonts w:hint="eastAsia" w:ascii="宋体" w:hAnsi="宋体" w:cs="宋体"/>
                <w:sz w:val="24"/>
                <w:szCs w:val="24"/>
              </w:rPr>
              <w:t>核验人签字</w:t>
            </w:r>
          </w:p>
        </w:tc>
        <w:tc>
          <w:tcPr>
            <w:tcW w:w="7862" w:type="dxa"/>
            <w:gridSpan w:val="3"/>
            <w:vAlign w:val="center"/>
          </w:tcPr>
          <w:p>
            <w:pPr>
              <w:rPr>
                <w:rFonts w:ascii="宋体" w:hAnsi="宋体" w:cs="宋体"/>
                <w:sz w:val="24"/>
                <w:szCs w:val="24"/>
              </w:rPr>
            </w:pPr>
            <w:r>
              <w:rPr>
                <w:rFonts w:hint="eastAsia" w:ascii="宋体" w:hAnsi="宋体" w:cs="宋体"/>
                <w:sz w:val="24"/>
                <w:szCs w:val="24"/>
              </w:rPr>
              <w:t>核验人：</w:t>
            </w:r>
          </w:p>
          <w:p>
            <w:pPr>
              <w:jc w:val="center"/>
              <w:rPr>
                <w:rFonts w:ascii="宋体" w:hAnsi="宋体" w:cs="宋体"/>
                <w:sz w:val="24"/>
                <w:szCs w:val="24"/>
              </w:rPr>
            </w:pPr>
          </w:p>
        </w:tc>
      </w:tr>
    </w:tbl>
    <w:p>
      <w:pPr>
        <w:spacing w:beforeLines="50"/>
        <w:rPr>
          <w:rFonts w:ascii="宋体" w:hAnsi="宋体" w:cs="宋体"/>
          <w:b/>
          <w:bCs/>
          <w:kern w:val="0"/>
        </w:rPr>
      </w:pPr>
      <w:r>
        <w:rPr>
          <w:rFonts w:hint="eastAsia" w:ascii="宋体" w:hAnsi="宋体" w:cs="宋体"/>
          <w:b/>
          <w:bCs/>
          <w:kern w:val="0"/>
        </w:rPr>
        <w:t>投标人名称;（公章）</w:t>
      </w:r>
    </w:p>
    <w:p>
      <w:pPr>
        <w:spacing w:beforeLines="50"/>
        <w:rPr>
          <w:rFonts w:ascii="宋体" w:hAnsi="宋体" w:cs="宋体"/>
          <w:b/>
          <w:bCs/>
          <w:kern w:val="0"/>
          <w:sz w:val="18"/>
          <w:szCs w:val="18"/>
        </w:rPr>
      </w:pPr>
    </w:p>
    <w:p>
      <w:pPr>
        <w:jc w:val="left"/>
        <w:sectPr>
          <w:footerReference r:id="rId6" w:type="default"/>
          <w:pgSz w:w="11910" w:h="16840"/>
          <w:pgMar w:top="1080" w:right="740" w:bottom="1020" w:left="900" w:header="875" w:footer="827" w:gutter="0"/>
          <w:cols w:space="720" w:num="1"/>
        </w:sectPr>
      </w:pPr>
    </w:p>
    <w:p>
      <w:pPr>
        <w:ind w:firstLine="3092" w:firstLineChars="1100"/>
        <w:rPr>
          <w:rFonts w:ascii="宋体" w:hAnsi="宋体" w:cs="宋体"/>
          <w:b/>
          <w:sz w:val="28"/>
          <w:szCs w:val="28"/>
        </w:rPr>
      </w:pPr>
      <w:r>
        <w:rPr>
          <w:rFonts w:hint="eastAsia" w:ascii="宋体" w:hAnsi="宋体" w:cs="宋体"/>
          <w:b/>
          <w:sz w:val="28"/>
          <w:szCs w:val="28"/>
        </w:rPr>
        <w:t>附件：投标人得分统计表</w:t>
      </w:r>
    </w:p>
    <w:p>
      <w:pPr>
        <w:tabs>
          <w:tab w:val="left" w:pos="3135"/>
          <w:tab w:val="center" w:pos="7392"/>
        </w:tabs>
        <w:spacing w:before="240" w:after="240"/>
        <w:jc w:val="left"/>
        <w:rPr>
          <w:rFonts w:hint="eastAsia" w:ascii="宋体" w:hAnsi="宋体" w:cs="宋体"/>
          <w:b/>
          <w:sz w:val="24"/>
          <w:szCs w:val="24"/>
        </w:rPr>
      </w:pPr>
      <w:r>
        <w:rPr>
          <w:rFonts w:hint="eastAsia" w:ascii="宋体" w:hAnsi="宋体" w:cs="宋体"/>
          <w:b/>
          <w:sz w:val="24"/>
          <w:szCs w:val="24"/>
        </w:rPr>
        <w:t>投标人名称：（公章）</w:t>
      </w:r>
    </w:p>
    <w:tbl>
      <w:tblPr>
        <w:tblStyle w:val="22"/>
        <w:tblW w:w="10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1"/>
        <w:gridCol w:w="8441"/>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21"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评审项目</w:t>
            </w:r>
          </w:p>
        </w:tc>
        <w:tc>
          <w:tcPr>
            <w:tcW w:w="8441"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w:t>
            </w:r>
          </w:p>
        </w:tc>
        <w:tc>
          <w:tcPr>
            <w:tcW w:w="756"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1221" w:type="dxa"/>
            <w:vAlign w:val="center"/>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highlight w:val="none"/>
              </w:rPr>
            </w:pPr>
            <w:r>
              <w:rPr>
                <w:rFonts w:hint="eastAsia" w:ascii="宋体" w:hAnsi="宋体" w:eastAsia="宋体" w:cs="宋体"/>
                <w:sz w:val="24"/>
                <w:szCs w:val="24"/>
                <w:vertAlign w:val="baseline"/>
                <w:lang w:val="en-US" w:eastAsia="zh-CN"/>
              </w:rPr>
              <w:t>项目团队</w:t>
            </w:r>
          </w:p>
        </w:tc>
        <w:tc>
          <w:tcPr>
            <w:tcW w:w="8441" w:type="dxa"/>
          </w:tcPr>
          <w:p>
            <w:pPr>
              <w:pStyle w:val="2"/>
              <w:ind w:left="0" w:leftChars="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1、针对本项目提供的项目经理具有的信息服务类或环境类副高级（含）以上职称的，得2分；否则不得分。</w:t>
            </w:r>
          </w:p>
          <w:p>
            <w:pPr>
              <w:keepNext w:val="0"/>
              <w:keepLines w:val="0"/>
              <w:widowControl w:val="0"/>
              <w:suppressLineNumbers w:val="0"/>
              <w:autoSpaceDE w:val="0"/>
              <w:autoSpaceDN w:val="0"/>
              <w:spacing w:before="0" w:beforeAutospacing="0" w:after="0" w:afterAutospacing="0" w:line="360" w:lineRule="auto"/>
              <w:ind w:left="0" w:right="0"/>
              <w:jc w:val="left"/>
              <w:rPr>
                <w:rFonts w:hint="eastAsia" w:ascii="宋体" w:hAnsi="宋体" w:eastAsia="宋体" w:cs="宋体"/>
                <w:sz w:val="24"/>
                <w:szCs w:val="24"/>
                <w:highlight w:val="none"/>
              </w:rPr>
            </w:pPr>
            <w:r>
              <w:rPr>
                <w:rFonts w:hint="eastAsia" w:ascii="宋体" w:hAnsi="宋体" w:eastAsia="宋体" w:cs="宋体"/>
                <w:sz w:val="24"/>
                <w:szCs w:val="24"/>
                <w:vertAlign w:val="baseline"/>
                <w:lang w:val="en-US" w:eastAsia="zh-CN"/>
              </w:rPr>
              <w:t>2、项目组成员（项目经理除外）中具有计算机与信息技术类或环境类中级（含）以上职称证书，每人次得1分，本项最多得3分。</w:t>
            </w:r>
          </w:p>
        </w:tc>
        <w:tc>
          <w:tcPr>
            <w:tcW w:w="756"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1221" w:type="dxa"/>
            <w:vAlign w:val="center"/>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定位设备符合性</w:t>
            </w:r>
          </w:p>
        </w:tc>
        <w:tc>
          <w:tcPr>
            <w:tcW w:w="844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sz w:val="24"/>
                <w:szCs w:val="24"/>
                <w:lang w:val="en-US" w:eastAsia="zh-CN"/>
              </w:rPr>
            </w:pPr>
            <w:r>
              <w:rPr>
                <w:rFonts w:hint="eastAsia" w:ascii="宋体" w:hAnsi="宋体" w:eastAsia="宋体" w:cs="宋体"/>
                <w:sz w:val="24"/>
                <w:szCs w:val="24"/>
                <w:vertAlign w:val="baseline"/>
                <w:lang w:val="en-US" w:eastAsia="zh-CN"/>
              </w:rPr>
              <w:t>1、</w:t>
            </w:r>
            <w:r>
              <w:rPr>
                <w:rFonts w:hint="eastAsia"/>
                <w:sz w:val="24"/>
                <w:szCs w:val="24"/>
                <w:lang w:val="en-US" w:eastAsia="zh-CN"/>
              </w:rPr>
              <w:t>提供具有相关资质的检验检定机构出具的定位设备振动和冲击的检测报告得2分，不提供不得分；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ascii="宋体" w:hAnsi="宋体" w:eastAsia="宋体" w:cs="宋体"/>
                <w:sz w:val="24"/>
                <w:szCs w:val="24"/>
                <w:vertAlign w:val="baseline"/>
                <w:lang w:val="en-US" w:eastAsia="zh-CN"/>
              </w:rPr>
              <w:t>2</w:t>
            </w:r>
            <w:r>
              <w:rPr>
                <w:rFonts w:hint="eastAsia"/>
                <w:sz w:val="24"/>
                <w:szCs w:val="24"/>
                <w:lang w:val="en-US" w:eastAsia="zh-CN"/>
              </w:rPr>
              <w:t>、</w:t>
            </w:r>
            <w:r>
              <w:rPr>
                <w:rFonts w:hint="eastAsia" w:ascii="宋体" w:hAnsi="宋体" w:eastAsia="宋体" w:cs="宋体"/>
                <w:sz w:val="24"/>
                <w:szCs w:val="24"/>
                <w:vertAlign w:val="baseline"/>
                <w:lang w:val="en-US" w:eastAsia="zh-CN"/>
              </w:rPr>
              <w:t>提供具有相关资质的检验检定机构出具的定位设备安全策略的检测报告得2分，不提供不得分。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ascii="宋体" w:hAnsi="宋体" w:eastAsia="宋体" w:cs="宋体"/>
                <w:sz w:val="24"/>
                <w:szCs w:val="24"/>
                <w:vertAlign w:val="baseline"/>
                <w:lang w:val="en-US" w:eastAsia="zh-CN"/>
              </w:rPr>
              <w:t>3、提供具有相关资质的检验检定机构出具的定位设备补发机制的检测报告得2分，不提供不得分。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ascii="宋体" w:hAnsi="宋体" w:eastAsia="宋体" w:cs="宋体"/>
                <w:sz w:val="24"/>
                <w:szCs w:val="24"/>
                <w:vertAlign w:val="baseline"/>
                <w:lang w:val="en-US" w:eastAsia="zh-CN"/>
              </w:rPr>
              <w:t>4、</w:t>
            </w:r>
            <w:r>
              <w:rPr>
                <w:rFonts w:hint="eastAsia"/>
                <w:sz w:val="24"/>
                <w:szCs w:val="24"/>
                <w:lang w:val="en-US" w:eastAsia="zh-CN"/>
              </w:rPr>
              <w:t xml:space="preserve">设备具有CMA资质的第三方检测机构出具的卫星定位精度检测报告，水平定位精度满足≤5米的得2分，不提供不得分；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r>
              <w:rPr>
                <w:rFonts w:hint="eastAsia"/>
                <w:sz w:val="24"/>
                <w:szCs w:val="24"/>
                <w:lang w:val="en-US" w:eastAsia="zh-CN"/>
              </w:rPr>
              <w:t>供应商提供具有CMA资质的第三方检测机构出具的车载终端满足GB/T4208中规定的IP65及以上防护等级的检测报告的得2分，不提供不得分。</w:t>
            </w:r>
          </w:p>
        </w:tc>
        <w:tc>
          <w:tcPr>
            <w:tcW w:w="756"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1221" w:type="dxa"/>
            <w:vAlign w:val="center"/>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8441" w:type="dxa"/>
          </w:tcPr>
          <w:p>
            <w:pPr>
              <w:pStyle w:val="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vertAlign w:val="baseline"/>
                <w:lang w:val="en-US" w:eastAsia="zh-CN"/>
              </w:rPr>
              <w:t>供应商提供2020年1月1日至今（以合同签订日期为准）非道路移动机械定位装置监控服务项目业绩的，每提供一个得2分，最多得6分。</w:t>
            </w:r>
          </w:p>
        </w:tc>
        <w:tc>
          <w:tcPr>
            <w:tcW w:w="756"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662" w:type="dxa"/>
            <w:gridSpan w:val="2"/>
            <w:vAlign w:val="center"/>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756"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662" w:type="dxa"/>
            <w:gridSpan w:val="2"/>
            <w:vAlign w:val="center"/>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rPr>
              <w:t>评标委员会成员签字：</w:t>
            </w:r>
          </w:p>
        </w:tc>
        <w:tc>
          <w:tcPr>
            <w:tcW w:w="756" w:type="dxa"/>
          </w:tcPr>
          <w:p>
            <w:pPr>
              <w:pStyle w:val="2"/>
              <w:keepNext w:val="0"/>
              <w:keepLines w:val="0"/>
              <w:widowControl w:val="0"/>
              <w:suppressLineNumbers w:val="0"/>
              <w:autoSpaceDE w:val="0"/>
              <w:autoSpaceDN w:val="0"/>
              <w:spacing w:before="0" w:beforeAutospacing="0" w:after="0" w:afterAutospacing="0" w:line="360" w:lineRule="auto"/>
              <w:ind w:left="0" w:leftChars="0" w:right="0" w:firstLine="0" w:firstLineChars="0"/>
              <w:rPr>
                <w:rFonts w:hint="eastAsia" w:ascii="宋体" w:hAnsi="宋体" w:eastAsia="宋体" w:cs="宋体"/>
                <w:sz w:val="24"/>
                <w:szCs w:val="24"/>
                <w:highlight w:val="none"/>
              </w:rPr>
            </w:pPr>
          </w:p>
        </w:tc>
      </w:tr>
    </w:tbl>
    <w:p>
      <w:pPr>
        <w:pStyle w:val="37"/>
        <w:ind w:left="0" w:leftChars="0" w:firstLine="0" w:firstLineChars="0"/>
        <w:jc w:val="left"/>
        <w:rPr>
          <w:rFonts w:ascii="Calibri" w:hAnsi="Calibri" w:eastAsia="宋体" w:cs="Times New Roman"/>
          <w:kern w:val="2"/>
          <w:sz w:val="21"/>
          <w:szCs w:val="21"/>
          <w:lang w:val="en-US" w:eastAsia="zh-CN" w:bidi="ar-SA"/>
        </w:rPr>
      </w:pPr>
      <w:r>
        <w:rPr>
          <w:rFonts w:hint="eastAsia"/>
          <w:b/>
          <w:bCs/>
          <w:sz w:val="21"/>
          <w:szCs w:val="21"/>
        </w:rPr>
        <w:t>注：本表需填写齐全加盖单位公章后，上传至投标文件【其它材料】模块，否则评审时不予计分</w:t>
      </w:r>
      <w:r>
        <w:rPr>
          <w:rFonts w:hint="eastAsia"/>
          <w:b/>
          <w:bCs/>
          <w:sz w:val="21"/>
          <w:szCs w:val="21"/>
          <w:lang w:eastAsia="zh-CN"/>
        </w:rPr>
        <w:t>。</w:t>
      </w:r>
      <w:r>
        <w:rPr>
          <w:rFonts w:hint="eastAsia"/>
          <w:b/>
          <w:bCs/>
          <w:sz w:val="21"/>
          <w:szCs w:val="21"/>
          <w:lang w:val="en-US" w:eastAsia="zh-CN"/>
        </w:rPr>
        <w:t xml:space="preserve"> </w:t>
      </w:r>
    </w:p>
    <w:sectPr>
      <w:headerReference r:id="rId7" w:type="default"/>
      <w:footerReference r:id="rId8" w:type="default"/>
      <w:pgSz w:w="11906" w:h="16838"/>
      <w:pgMar w:top="1803" w:right="1440" w:bottom="1803" w:left="1440" w:header="1077" w:footer="1474" w:gutter="0"/>
      <w:cols w:space="720" w:num="1"/>
      <w:docGrid w:type="lines" w:linePitch="3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t xml:space="preserve">第 </w:t>
                          </w:r>
                          <w:r>
                            <w:fldChar w:fldCharType="begin"/>
                          </w:r>
                          <w:r>
                            <w:instrText xml:space="preserve"> PAGE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fill on="f" focussize="0,0"/>
              <v:stroke on="f" weight="0.5pt"/>
              <v:imagedata o:title=""/>
              <o:lock v:ext="edit" aspectratio="f"/>
              <v:textbox inset="0mm,0mm,0mm,0mm" style="mso-fit-shape-to-text:t;">
                <w:txbxContent>
                  <w:p>
                    <w:pPr>
                      <w:pStyle w:val="16"/>
                    </w:pPr>
                    <w:r>
                      <w:t xml:space="preserve">第 </w:t>
                    </w:r>
                    <w:r>
                      <w:fldChar w:fldCharType="begin"/>
                    </w:r>
                    <w:r>
                      <w:instrText xml:space="preserve"> PAGE  \* MERGEFORMAT </w:instrText>
                    </w:r>
                    <w:r>
                      <w:fldChar w:fldCharType="separate"/>
                    </w:r>
                    <w:r>
                      <w:t>78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pPr>
                          <w:r>
                            <w:t xml:space="preserve">第 </w:t>
                          </w:r>
                          <w:r>
                            <w:fldChar w:fldCharType="begin"/>
                          </w:r>
                          <w:r>
                            <w:instrText xml:space="preserve"> PAGE  \* MERGEFORMAT </w:instrText>
                          </w:r>
                          <w:r>
                            <w:fldChar w:fldCharType="separate"/>
                          </w:r>
                          <w:r>
                            <w:t>95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Pv4EzAgAAZ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okQzhY6fvn87&#10;/fh1+vmV4A4CtdbPEPdgERm6t6bD2Az3HpeRd1c5FX/BiMAPeY8XeUUXCI+PppPpNIeLwzccgJ89&#10;PrfOh3fCKBKNgjr0L8nKDhsf+tAhJGbTZt1ImXooNWkLen31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sPv4EzAgAAZQQAAA4AAAAAAAAAAQAgAAAAHwEAAGRycy9lMm9Eb2MueG1sUEsF&#10;BgAAAAAGAAYAWQEAAMQFAAAAAA==&#10;">
              <v:fill on="f" focussize="0,0"/>
              <v:stroke on="f" weight="0.5pt"/>
              <v:imagedata o:title=""/>
              <o:lock v:ext="edit" aspectratio="f"/>
              <v:textbox inset="0mm,0mm,0mm,0mm" style="mso-fit-shape-to-text:t;">
                <w:txbxContent>
                  <w:p>
                    <w:pPr>
                      <w:pStyle w:val="16"/>
                    </w:pPr>
                    <w:r>
                      <w:t xml:space="preserve">第 </w:t>
                    </w:r>
                    <w:r>
                      <w:fldChar w:fldCharType="begin"/>
                    </w:r>
                    <w:r>
                      <w:instrText xml:space="preserve"> PAGE  \* MERGEFORMAT </w:instrText>
                    </w:r>
                    <w:r>
                      <w:fldChar w:fldCharType="separate"/>
                    </w:r>
                    <w:r>
                      <w:t>95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left"/>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990E4A"/>
    <w:multiLevelType w:val="singleLevel"/>
    <w:tmpl w:val="BC990E4A"/>
    <w:lvl w:ilvl="0" w:tentative="0">
      <w:start w:val="2"/>
      <w:numFmt w:val="chineseCounting"/>
      <w:suff w:val="nothing"/>
      <w:lvlText w:val="%1、"/>
      <w:lvlJc w:val="left"/>
      <w:rPr>
        <w:rFonts w:hint="eastAsia"/>
      </w:rPr>
    </w:lvl>
  </w:abstractNum>
  <w:abstractNum w:abstractNumId="1">
    <w:nsid w:val="DFCF1FCC"/>
    <w:multiLevelType w:val="singleLevel"/>
    <w:tmpl w:val="DFCF1FCC"/>
    <w:lvl w:ilvl="0" w:tentative="0">
      <w:start w:val="1"/>
      <w:numFmt w:val="decimal"/>
      <w:suff w:val="nothing"/>
      <w:lvlText w:val="%1、"/>
      <w:lvlJc w:val="left"/>
      <w:rPr>
        <w:rFonts w:hint="default" w:ascii="宋体" w:hAnsi="宋体" w:eastAsia="宋体" w:cs="宋体"/>
        <w:sz w:val="24"/>
        <w:szCs w:val="24"/>
      </w:rPr>
    </w:lvl>
  </w:abstractNum>
  <w:abstractNum w:abstractNumId="2">
    <w:nsid w:val="EBFFADC3"/>
    <w:multiLevelType w:val="singleLevel"/>
    <w:tmpl w:val="EBFFADC3"/>
    <w:lvl w:ilvl="0" w:tentative="0">
      <w:start w:val="1"/>
      <w:numFmt w:val="decimal"/>
      <w:suff w:val="nothing"/>
      <w:lvlText w:val="%1、"/>
      <w:lvlJc w:val="left"/>
    </w:lvl>
  </w:abstractNum>
  <w:abstractNum w:abstractNumId="3">
    <w:nsid w:val="2D099F25"/>
    <w:multiLevelType w:val="singleLevel"/>
    <w:tmpl w:val="2D099F25"/>
    <w:lvl w:ilvl="0" w:tentative="0">
      <w:start w:val="6"/>
      <w:numFmt w:val="chineseCounting"/>
      <w:suff w:val="space"/>
      <w:lvlText w:val="第%1章"/>
      <w:lvlJc w:val="left"/>
      <w:rPr>
        <w:rFonts w:hint="eastAsia"/>
      </w:rPr>
    </w:lvl>
  </w:abstractNum>
  <w:abstractNum w:abstractNumId="4">
    <w:nsid w:val="45BC861C"/>
    <w:multiLevelType w:val="singleLevel"/>
    <w:tmpl w:val="45BC861C"/>
    <w:lvl w:ilvl="0" w:tentative="0">
      <w:start w:val="1"/>
      <w:numFmt w:val="decimal"/>
      <w:suff w:val="nothing"/>
      <w:lvlText w:val="%1、"/>
      <w:lvlJc w:val="left"/>
    </w:lvl>
  </w:abstractNum>
  <w:abstractNum w:abstractNumId="5">
    <w:nsid w:val="754F323B"/>
    <w:multiLevelType w:val="singleLevel"/>
    <w:tmpl w:val="754F323B"/>
    <w:lvl w:ilvl="0" w:tentative="0">
      <w:start w:val="1"/>
      <w:numFmt w:val="chineseCounting"/>
      <w:suff w:val="nothing"/>
      <w:lvlText w:val="（%1）"/>
      <w:lvlJc w:val="left"/>
      <w:rPr>
        <w:rFonts w:hint="eastAsia"/>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微信用户">
    <w15:presenceInfo w15:providerId="WPS Office" w15:userId="118992129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5MDYxNzU4MGMyOGFmNWUyNWJkYjFhYzQ1YmNjMTkifQ=="/>
  </w:docVars>
  <w:rsids>
    <w:rsidRoot w:val="00172A27"/>
    <w:rsid w:val="000C18D6"/>
    <w:rsid w:val="000C5D26"/>
    <w:rsid w:val="00172A27"/>
    <w:rsid w:val="001B3458"/>
    <w:rsid w:val="002862F1"/>
    <w:rsid w:val="002B247F"/>
    <w:rsid w:val="002B2777"/>
    <w:rsid w:val="002F13BF"/>
    <w:rsid w:val="003D5745"/>
    <w:rsid w:val="003D58BF"/>
    <w:rsid w:val="00430D19"/>
    <w:rsid w:val="004A121A"/>
    <w:rsid w:val="004A2406"/>
    <w:rsid w:val="0050638A"/>
    <w:rsid w:val="005D21B5"/>
    <w:rsid w:val="005E1301"/>
    <w:rsid w:val="00746A3E"/>
    <w:rsid w:val="0076334B"/>
    <w:rsid w:val="007D7588"/>
    <w:rsid w:val="007E5A61"/>
    <w:rsid w:val="00843854"/>
    <w:rsid w:val="00865F63"/>
    <w:rsid w:val="009F4C1B"/>
    <w:rsid w:val="00A17978"/>
    <w:rsid w:val="00A17E68"/>
    <w:rsid w:val="00A55F54"/>
    <w:rsid w:val="00B561ED"/>
    <w:rsid w:val="00BF1874"/>
    <w:rsid w:val="00C562CB"/>
    <w:rsid w:val="00D03026"/>
    <w:rsid w:val="00D77B57"/>
    <w:rsid w:val="00D80F20"/>
    <w:rsid w:val="00DF4263"/>
    <w:rsid w:val="00E31E5E"/>
    <w:rsid w:val="00E83CCF"/>
    <w:rsid w:val="00EC3650"/>
    <w:rsid w:val="00F6221A"/>
    <w:rsid w:val="00F80ED9"/>
    <w:rsid w:val="01043138"/>
    <w:rsid w:val="014001EF"/>
    <w:rsid w:val="01C52716"/>
    <w:rsid w:val="01E274B5"/>
    <w:rsid w:val="01F176F8"/>
    <w:rsid w:val="022D1475"/>
    <w:rsid w:val="0236558C"/>
    <w:rsid w:val="025657AD"/>
    <w:rsid w:val="025F4662"/>
    <w:rsid w:val="026525A3"/>
    <w:rsid w:val="02826998"/>
    <w:rsid w:val="0284056C"/>
    <w:rsid w:val="029650F4"/>
    <w:rsid w:val="02AB5AF9"/>
    <w:rsid w:val="02BA2F4F"/>
    <w:rsid w:val="02BF15A4"/>
    <w:rsid w:val="02C866AB"/>
    <w:rsid w:val="02FC6355"/>
    <w:rsid w:val="02FF7BF3"/>
    <w:rsid w:val="0306659A"/>
    <w:rsid w:val="030F42DA"/>
    <w:rsid w:val="033B4CE2"/>
    <w:rsid w:val="033F6241"/>
    <w:rsid w:val="03507120"/>
    <w:rsid w:val="036363D4"/>
    <w:rsid w:val="0386157E"/>
    <w:rsid w:val="03A32C74"/>
    <w:rsid w:val="03AB4D58"/>
    <w:rsid w:val="03BF40B1"/>
    <w:rsid w:val="03C07F9C"/>
    <w:rsid w:val="03C350C4"/>
    <w:rsid w:val="03DA3C5D"/>
    <w:rsid w:val="04073203"/>
    <w:rsid w:val="040B000E"/>
    <w:rsid w:val="04531FA4"/>
    <w:rsid w:val="047563BF"/>
    <w:rsid w:val="04A66578"/>
    <w:rsid w:val="04EE3C9F"/>
    <w:rsid w:val="04FC263C"/>
    <w:rsid w:val="05063A70"/>
    <w:rsid w:val="050E7A00"/>
    <w:rsid w:val="05112128"/>
    <w:rsid w:val="051E3DE5"/>
    <w:rsid w:val="052B23E6"/>
    <w:rsid w:val="0531278E"/>
    <w:rsid w:val="055C757F"/>
    <w:rsid w:val="05803FCB"/>
    <w:rsid w:val="05B20F4D"/>
    <w:rsid w:val="05D04848"/>
    <w:rsid w:val="05D8274F"/>
    <w:rsid w:val="05DB3677"/>
    <w:rsid w:val="0607573C"/>
    <w:rsid w:val="062E5599"/>
    <w:rsid w:val="064068ED"/>
    <w:rsid w:val="067173A2"/>
    <w:rsid w:val="06772196"/>
    <w:rsid w:val="069701B6"/>
    <w:rsid w:val="06A16CA4"/>
    <w:rsid w:val="06D05719"/>
    <w:rsid w:val="06D05B2E"/>
    <w:rsid w:val="06E415DA"/>
    <w:rsid w:val="070F43FF"/>
    <w:rsid w:val="072034F0"/>
    <w:rsid w:val="07261BF2"/>
    <w:rsid w:val="07503865"/>
    <w:rsid w:val="0752557B"/>
    <w:rsid w:val="0769115F"/>
    <w:rsid w:val="07720189"/>
    <w:rsid w:val="077F3E2C"/>
    <w:rsid w:val="07890F47"/>
    <w:rsid w:val="079E3E7E"/>
    <w:rsid w:val="07B850BC"/>
    <w:rsid w:val="07DE24CD"/>
    <w:rsid w:val="07FC0BA5"/>
    <w:rsid w:val="081D6F7A"/>
    <w:rsid w:val="0825634E"/>
    <w:rsid w:val="082A6F47"/>
    <w:rsid w:val="08387E2F"/>
    <w:rsid w:val="0840066A"/>
    <w:rsid w:val="084637B0"/>
    <w:rsid w:val="085A5FF7"/>
    <w:rsid w:val="086A3D60"/>
    <w:rsid w:val="086C50CC"/>
    <w:rsid w:val="08766BA9"/>
    <w:rsid w:val="08B17BE1"/>
    <w:rsid w:val="08D13DE0"/>
    <w:rsid w:val="08DA7138"/>
    <w:rsid w:val="08EB6A63"/>
    <w:rsid w:val="092F5890"/>
    <w:rsid w:val="09371418"/>
    <w:rsid w:val="093B0D6A"/>
    <w:rsid w:val="09D00F93"/>
    <w:rsid w:val="09E9009A"/>
    <w:rsid w:val="0A0124A3"/>
    <w:rsid w:val="0A1B7B1A"/>
    <w:rsid w:val="0A300FF7"/>
    <w:rsid w:val="0A432ABB"/>
    <w:rsid w:val="0A4A3E4A"/>
    <w:rsid w:val="0A546A76"/>
    <w:rsid w:val="0A735B07"/>
    <w:rsid w:val="0A854E82"/>
    <w:rsid w:val="0AB1211B"/>
    <w:rsid w:val="0AF40917"/>
    <w:rsid w:val="0AF9592C"/>
    <w:rsid w:val="0B085689"/>
    <w:rsid w:val="0B1A15F9"/>
    <w:rsid w:val="0B73117E"/>
    <w:rsid w:val="0B944968"/>
    <w:rsid w:val="0B94572A"/>
    <w:rsid w:val="0BE01F08"/>
    <w:rsid w:val="0BE65DF4"/>
    <w:rsid w:val="0BFF3801"/>
    <w:rsid w:val="0C0D3381"/>
    <w:rsid w:val="0C120997"/>
    <w:rsid w:val="0C123672"/>
    <w:rsid w:val="0C5E1E2E"/>
    <w:rsid w:val="0C656295"/>
    <w:rsid w:val="0C811679"/>
    <w:rsid w:val="0CDA7707"/>
    <w:rsid w:val="0D11042F"/>
    <w:rsid w:val="0D5B4490"/>
    <w:rsid w:val="0D951880"/>
    <w:rsid w:val="0DB31D06"/>
    <w:rsid w:val="0DB64656"/>
    <w:rsid w:val="0DD2648A"/>
    <w:rsid w:val="0DDE4FD5"/>
    <w:rsid w:val="0DF476ED"/>
    <w:rsid w:val="0E2449B2"/>
    <w:rsid w:val="0E3270CE"/>
    <w:rsid w:val="0E3863F6"/>
    <w:rsid w:val="0E4D5CB6"/>
    <w:rsid w:val="0E531533"/>
    <w:rsid w:val="0E6F769C"/>
    <w:rsid w:val="0E962D51"/>
    <w:rsid w:val="0E985745"/>
    <w:rsid w:val="0EB45D35"/>
    <w:rsid w:val="0ED23DE2"/>
    <w:rsid w:val="0F44355D"/>
    <w:rsid w:val="0F461BEA"/>
    <w:rsid w:val="0F665729"/>
    <w:rsid w:val="0F6C4862"/>
    <w:rsid w:val="105477D0"/>
    <w:rsid w:val="106A1358"/>
    <w:rsid w:val="109810A4"/>
    <w:rsid w:val="10F2082F"/>
    <w:rsid w:val="10F94014"/>
    <w:rsid w:val="11174F6F"/>
    <w:rsid w:val="111B209C"/>
    <w:rsid w:val="111E44DA"/>
    <w:rsid w:val="11553800"/>
    <w:rsid w:val="117B0D8C"/>
    <w:rsid w:val="119B3BC6"/>
    <w:rsid w:val="119F4A7B"/>
    <w:rsid w:val="11C269BB"/>
    <w:rsid w:val="11DE3923"/>
    <w:rsid w:val="1221760A"/>
    <w:rsid w:val="122B27B2"/>
    <w:rsid w:val="122E5DFF"/>
    <w:rsid w:val="123A29EE"/>
    <w:rsid w:val="12502219"/>
    <w:rsid w:val="12706417"/>
    <w:rsid w:val="1274564F"/>
    <w:rsid w:val="127C1FF9"/>
    <w:rsid w:val="127C300E"/>
    <w:rsid w:val="128C1C6D"/>
    <w:rsid w:val="129272BC"/>
    <w:rsid w:val="12EA441C"/>
    <w:rsid w:val="12FF240B"/>
    <w:rsid w:val="130B6CF9"/>
    <w:rsid w:val="13135720"/>
    <w:rsid w:val="133B4ABA"/>
    <w:rsid w:val="137C7DE6"/>
    <w:rsid w:val="13845C3A"/>
    <w:rsid w:val="13B80076"/>
    <w:rsid w:val="13BF4C25"/>
    <w:rsid w:val="13CB74DA"/>
    <w:rsid w:val="13CC096A"/>
    <w:rsid w:val="13F50945"/>
    <w:rsid w:val="14060DE1"/>
    <w:rsid w:val="14123452"/>
    <w:rsid w:val="143E6538"/>
    <w:rsid w:val="144143EC"/>
    <w:rsid w:val="1494463F"/>
    <w:rsid w:val="14AD24A2"/>
    <w:rsid w:val="14AF44E2"/>
    <w:rsid w:val="14B8581A"/>
    <w:rsid w:val="14C50192"/>
    <w:rsid w:val="15080B89"/>
    <w:rsid w:val="151A266A"/>
    <w:rsid w:val="153E3549"/>
    <w:rsid w:val="154907D7"/>
    <w:rsid w:val="154C5AEB"/>
    <w:rsid w:val="15510782"/>
    <w:rsid w:val="155A65BC"/>
    <w:rsid w:val="155C0BFA"/>
    <w:rsid w:val="15656E31"/>
    <w:rsid w:val="157F69D4"/>
    <w:rsid w:val="15A56279"/>
    <w:rsid w:val="160B0931"/>
    <w:rsid w:val="164E3C95"/>
    <w:rsid w:val="16765371"/>
    <w:rsid w:val="16A23E77"/>
    <w:rsid w:val="16B94C62"/>
    <w:rsid w:val="16DA6555"/>
    <w:rsid w:val="170E265C"/>
    <w:rsid w:val="17163A31"/>
    <w:rsid w:val="17495063"/>
    <w:rsid w:val="179048D9"/>
    <w:rsid w:val="17983233"/>
    <w:rsid w:val="17E458DD"/>
    <w:rsid w:val="17F11DA8"/>
    <w:rsid w:val="17FC7011"/>
    <w:rsid w:val="18091003"/>
    <w:rsid w:val="180A3150"/>
    <w:rsid w:val="182932F0"/>
    <w:rsid w:val="183148E6"/>
    <w:rsid w:val="18357EE7"/>
    <w:rsid w:val="18375738"/>
    <w:rsid w:val="18422604"/>
    <w:rsid w:val="184E0FA9"/>
    <w:rsid w:val="185D2F9A"/>
    <w:rsid w:val="18697B91"/>
    <w:rsid w:val="186A20C2"/>
    <w:rsid w:val="188449CB"/>
    <w:rsid w:val="18AB63FB"/>
    <w:rsid w:val="18DC4807"/>
    <w:rsid w:val="191B26E4"/>
    <w:rsid w:val="19283B3A"/>
    <w:rsid w:val="194130E1"/>
    <w:rsid w:val="19576D14"/>
    <w:rsid w:val="196B659F"/>
    <w:rsid w:val="19821E18"/>
    <w:rsid w:val="199155F1"/>
    <w:rsid w:val="19CA6D5E"/>
    <w:rsid w:val="1A491A28"/>
    <w:rsid w:val="1A555B5E"/>
    <w:rsid w:val="1A6D67DD"/>
    <w:rsid w:val="1A725422"/>
    <w:rsid w:val="1A9941E3"/>
    <w:rsid w:val="1AA73898"/>
    <w:rsid w:val="1AA9696A"/>
    <w:rsid w:val="1AD50817"/>
    <w:rsid w:val="1AE766FE"/>
    <w:rsid w:val="1B036E0A"/>
    <w:rsid w:val="1B0B7B8D"/>
    <w:rsid w:val="1B0D640A"/>
    <w:rsid w:val="1B19550F"/>
    <w:rsid w:val="1B1C502C"/>
    <w:rsid w:val="1B2D1349"/>
    <w:rsid w:val="1B3C333B"/>
    <w:rsid w:val="1B477640"/>
    <w:rsid w:val="1B487F31"/>
    <w:rsid w:val="1B613909"/>
    <w:rsid w:val="1B717BA4"/>
    <w:rsid w:val="1B7900EB"/>
    <w:rsid w:val="1B835859"/>
    <w:rsid w:val="1B866036"/>
    <w:rsid w:val="1B8C016F"/>
    <w:rsid w:val="1B9A4616"/>
    <w:rsid w:val="1BC700A6"/>
    <w:rsid w:val="1BC872C4"/>
    <w:rsid w:val="1BD87507"/>
    <w:rsid w:val="1C093B64"/>
    <w:rsid w:val="1C154B73"/>
    <w:rsid w:val="1C420E24"/>
    <w:rsid w:val="1C4772D2"/>
    <w:rsid w:val="1C5D5C5E"/>
    <w:rsid w:val="1C712DCC"/>
    <w:rsid w:val="1C7603E0"/>
    <w:rsid w:val="1C7A2C67"/>
    <w:rsid w:val="1C7D3B49"/>
    <w:rsid w:val="1CCB489E"/>
    <w:rsid w:val="1CD852E5"/>
    <w:rsid w:val="1CDC3027"/>
    <w:rsid w:val="1D08639F"/>
    <w:rsid w:val="1D100F23"/>
    <w:rsid w:val="1D190631"/>
    <w:rsid w:val="1D1E53EE"/>
    <w:rsid w:val="1D2971FC"/>
    <w:rsid w:val="1D383FD6"/>
    <w:rsid w:val="1D5C6960"/>
    <w:rsid w:val="1D652260"/>
    <w:rsid w:val="1D6E76CB"/>
    <w:rsid w:val="1DA82520"/>
    <w:rsid w:val="1DAA2EFB"/>
    <w:rsid w:val="1DAB29F9"/>
    <w:rsid w:val="1DB418AE"/>
    <w:rsid w:val="1DB573D4"/>
    <w:rsid w:val="1DCA1CC3"/>
    <w:rsid w:val="1E005BB2"/>
    <w:rsid w:val="1E4A0464"/>
    <w:rsid w:val="1E500317"/>
    <w:rsid w:val="1E5F5CBE"/>
    <w:rsid w:val="1E601A36"/>
    <w:rsid w:val="1EB64FA8"/>
    <w:rsid w:val="1EF02B43"/>
    <w:rsid w:val="1F220A99"/>
    <w:rsid w:val="1F7A5163"/>
    <w:rsid w:val="1F841754"/>
    <w:rsid w:val="1F971487"/>
    <w:rsid w:val="1F974FE3"/>
    <w:rsid w:val="1FB03258"/>
    <w:rsid w:val="1FBC2C9C"/>
    <w:rsid w:val="1FBC71A9"/>
    <w:rsid w:val="1FC1651C"/>
    <w:rsid w:val="1FC82A56"/>
    <w:rsid w:val="1FC96EB6"/>
    <w:rsid w:val="1FCB2EDF"/>
    <w:rsid w:val="1FD0108B"/>
    <w:rsid w:val="1FFD5184"/>
    <w:rsid w:val="200E1C02"/>
    <w:rsid w:val="20135C1B"/>
    <w:rsid w:val="20362A4E"/>
    <w:rsid w:val="2040567B"/>
    <w:rsid w:val="20546CE1"/>
    <w:rsid w:val="208C079C"/>
    <w:rsid w:val="208F03B0"/>
    <w:rsid w:val="209D1732"/>
    <w:rsid w:val="209D5E82"/>
    <w:rsid w:val="20A056E3"/>
    <w:rsid w:val="20A5086C"/>
    <w:rsid w:val="20B962A9"/>
    <w:rsid w:val="20BF0C96"/>
    <w:rsid w:val="20C444FE"/>
    <w:rsid w:val="20DF63BF"/>
    <w:rsid w:val="20F85D35"/>
    <w:rsid w:val="21033F74"/>
    <w:rsid w:val="21255406"/>
    <w:rsid w:val="213172AB"/>
    <w:rsid w:val="21376595"/>
    <w:rsid w:val="21535882"/>
    <w:rsid w:val="215C55B0"/>
    <w:rsid w:val="21676C37"/>
    <w:rsid w:val="21CF315A"/>
    <w:rsid w:val="221B63A0"/>
    <w:rsid w:val="222C235B"/>
    <w:rsid w:val="227B0BEC"/>
    <w:rsid w:val="228757E3"/>
    <w:rsid w:val="22B06C3A"/>
    <w:rsid w:val="22DB4FB0"/>
    <w:rsid w:val="22FD3CF7"/>
    <w:rsid w:val="231829F8"/>
    <w:rsid w:val="231F30D1"/>
    <w:rsid w:val="232211A0"/>
    <w:rsid w:val="23377209"/>
    <w:rsid w:val="234279DB"/>
    <w:rsid w:val="234E6301"/>
    <w:rsid w:val="23720241"/>
    <w:rsid w:val="238735C1"/>
    <w:rsid w:val="23D622FE"/>
    <w:rsid w:val="23D74B92"/>
    <w:rsid w:val="23DD3661"/>
    <w:rsid w:val="247A6377"/>
    <w:rsid w:val="248F591D"/>
    <w:rsid w:val="24B01215"/>
    <w:rsid w:val="24B128C3"/>
    <w:rsid w:val="24BA735F"/>
    <w:rsid w:val="24C77A14"/>
    <w:rsid w:val="24D80E54"/>
    <w:rsid w:val="24DD793C"/>
    <w:rsid w:val="24FB4266"/>
    <w:rsid w:val="25585FBF"/>
    <w:rsid w:val="257F2B50"/>
    <w:rsid w:val="25894C54"/>
    <w:rsid w:val="25C77555"/>
    <w:rsid w:val="25EF6EDD"/>
    <w:rsid w:val="25F969F8"/>
    <w:rsid w:val="26383FCF"/>
    <w:rsid w:val="263E440B"/>
    <w:rsid w:val="26743299"/>
    <w:rsid w:val="26886702"/>
    <w:rsid w:val="26A023D7"/>
    <w:rsid w:val="26A32DE7"/>
    <w:rsid w:val="26CC6E72"/>
    <w:rsid w:val="26CC7C68"/>
    <w:rsid w:val="26DD00C8"/>
    <w:rsid w:val="270F565D"/>
    <w:rsid w:val="27321A96"/>
    <w:rsid w:val="276E2ACE"/>
    <w:rsid w:val="27872236"/>
    <w:rsid w:val="27872CDC"/>
    <w:rsid w:val="278C389C"/>
    <w:rsid w:val="278E70FC"/>
    <w:rsid w:val="279A7D67"/>
    <w:rsid w:val="27A26C1B"/>
    <w:rsid w:val="27DB452B"/>
    <w:rsid w:val="27E62FAC"/>
    <w:rsid w:val="280B2A12"/>
    <w:rsid w:val="2818512F"/>
    <w:rsid w:val="282C3401"/>
    <w:rsid w:val="28305F42"/>
    <w:rsid w:val="28327F9F"/>
    <w:rsid w:val="28497097"/>
    <w:rsid w:val="285919D0"/>
    <w:rsid w:val="287702CA"/>
    <w:rsid w:val="2877523C"/>
    <w:rsid w:val="288541B0"/>
    <w:rsid w:val="28D0778C"/>
    <w:rsid w:val="28DC40DE"/>
    <w:rsid w:val="28DC7F0B"/>
    <w:rsid w:val="28E06745"/>
    <w:rsid w:val="28F45255"/>
    <w:rsid w:val="28F811E9"/>
    <w:rsid w:val="28FE5304"/>
    <w:rsid w:val="290225E3"/>
    <w:rsid w:val="2908265C"/>
    <w:rsid w:val="29136AE6"/>
    <w:rsid w:val="2920429C"/>
    <w:rsid w:val="29511B50"/>
    <w:rsid w:val="295959FF"/>
    <w:rsid w:val="295B3290"/>
    <w:rsid w:val="29AE5E75"/>
    <w:rsid w:val="29B80557"/>
    <w:rsid w:val="29D62BAC"/>
    <w:rsid w:val="2A027E45"/>
    <w:rsid w:val="2A111E36"/>
    <w:rsid w:val="2A1D6A2D"/>
    <w:rsid w:val="2A1F27A5"/>
    <w:rsid w:val="2A21651D"/>
    <w:rsid w:val="2A3A313B"/>
    <w:rsid w:val="2A485D92"/>
    <w:rsid w:val="2A4B17EC"/>
    <w:rsid w:val="2A5E78F8"/>
    <w:rsid w:val="2A7D5EB4"/>
    <w:rsid w:val="2A97058D"/>
    <w:rsid w:val="2A9A3704"/>
    <w:rsid w:val="2AA36F32"/>
    <w:rsid w:val="2AA84549"/>
    <w:rsid w:val="2AD0654F"/>
    <w:rsid w:val="2AD40F00"/>
    <w:rsid w:val="2AE06B47"/>
    <w:rsid w:val="2AF22A8A"/>
    <w:rsid w:val="2AFA0B1C"/>
    <w:rsid w:val="2B1176EB"/>
    <w:rsid w:val="2B22542D"/>
    <w:rsid w:val="2B2362C5"/>
    <w:rsid w:val="2B37637B"/>
    <w:rsid w:val="2B470F1A"/>
    <w:rsid w:val="2BD5271E"/>
    <w:rsid w:val="2BD65825"/>
    <w:rsid w:val="2BF57C61"/>
    <w:rsid w:val="2BF61755"/>
    <w:rsid w:val="2C2A7048"/>
    <w:rsid w:val="2C2D712E"/>
    <w:rsid w:val="2C375E66"/>
    <w:rsid w:val="2C412A07"/>
    <w:rsid w:val="2C721548"/>
    <w:rsid w:val="2C862667"/>
    <w:rsid w:val="2C8B6A72"/>
    <w:rsid w:val="2C934D84"/>
    <w:rsid w:val="2CF11097"/>
    <w:rsid w:val="2D371BB4"/>
    <w:rsid w:val="2D812186"/>
    <w:rsid w:val="2D84255A"/>
    <w:rsid w:val="2D885DEC"/>
    <w:rsid w:val="2D9A51A0"/>
    <w:rsid w:val="2DB96A6D"/>
    <w:rsid w:val="2DCB5812"/>
    <w:rsid w:val="2DD37B2E"/>
    <w:rsid w:val="2DD67732"/>
    <w:rsid w:val="2DE2072E"/>
    <w:rsid w:val="2E110657"/>
    <w:rsid w:val="2E150147"/>
    <w:rsid w:val="2E1E4B22"/>
    <w:rsid w:val="2E513149"/>
    <w:rsid w:val="2E6120D2"/>
    <w:rsid w:val="2E7B5E16"/>
    <w:rsid w:val="2E921798"/>
    <w:rsid w:val="2EBF4557"/>
    <w:rsid w:val="2EF24721"/>
    <w:rsid w:val="2EFE0AAE"/>
    <w:rsid w:val="2F0116F1"/>
    <w:rsid w:val="2F29463B"/>
    <w:rsid w:val="2F3C7955"/>
    <w:rsid w:val="2F513423"/>
    <w:rsid w:val="2F586117"/>
    <w:rsid w:val="2F5F04B7"/>
    <w:rsid w:val="2F9D0A75"/>
    <w:rsid w:val="2FA12EAC"/>
    <w:rsid w:val="2FAB0637"/>
    <w:rsid w:val="2FB5654A"/>
    <w:rsid w:val="2FBB2F70"/>
    <w:rsid w:val="2FC21F2A"/>
    <w:rsid w:val="2FCF07C9"/>
    <w:rsid w:val="2FEA5603"/>
    <w:rsid w:val="2FF7387C"/>
    <w:rsid w:val="2FFB0D48"/>
    <w:rsid w:val="30090737"/>
    <w:rsid w:val="30100F99"/>
    <w:rsid w:val="302C5C1C"/>
    <w:rsid w:val="30405223"/>
    <w:rsid w:val="3072158B"/>
    <w:rsid w:val="30A67FD5"/>
    <w:rsid w:val="30E54E01"/>
    <w:rsid w:val="30F654A4"/>
    <w:rsid w:val="31175F84"/>
    <w:rsid w:val="311F0C14"/>
    <w:rsid w:val="313F372D"/>
    <w:rsid w:val="31551114"/>
    <w:rsid w:val="31666DF1"/>
    <w:rsid w:val="316867E0"/>
    <w:rsid w:val="31815AF3"/>
    <w:rsid w:val="31C05315"/>
    <w:rsid w:val="31DF1784"/>
    <w:rsid w:val="31EA5710"/>
    <w:rsid w:val="31F8415D"/>
    <w:rsid w:val="320012EA"/>
    <w:rsid w:val="321E244D"/>
    <w:rsid w:val="32241282"/>
    <w:rsid w:val="322A0418"/>
    <w:rsid w:val="324A237A"/>
    <w:rsid w:val="325772FC"/>
    <w:rsid w:val="3282667B"/>
    <w:rsid w:val="329F0F32"/>
    <w:rsid w:val="32AE46C6"/>
    <w:rsid w:val="32B0267D"/>
    <w:rsid w:val="32EF7827"/>
    <w:rsid w:val="32F33706"/>
    <w:rsid w:val="33092244"/>
    <w:rsid w:val="330934F9"/>
    <w:rsid w:val="330A3CD4"/>
    <w:rsid w:val="33223DBB"/>
    <w:rsid w:val="3324764B"/>
    <w:rsid w:val="33294832"/>
    <w:rsid w:val="33411C34"/>
    <w:rsid w:val="33430544"/>
    <w:rsid w:val="334A1891"/>
    <w:rsid w:val="335C2F87"/>
    <w:rsid w:val="338154FD"/>
    <w:rsid w:val="33854A63"/>
    <w:rsid w:val="33B27386"/>
    <w:rsid w:val="33E505BB"/>
    <w:rsid w:val="342370B7"/>
    <w:rsid w:val="342B60E5"/>
    <w:rsid w:val="343B75F5"/>
    <w:rsid w:val="34711A8A"/>
    <w:rsid w:val="347A51A8"/>
    <w:rsid w:val="34955C1C"/>
    <w:rsid w:val="349873DC"/>
    <w:rsid w:val="34A76673"/>
    <w:rsid w:val="34A83397"/>
    <w:rsid w:val="34A97460"/>
    <w:rsid w:val="34B00BC9"/>
    <w:rsid w:val="34D217C7"/>
    <w:rsid w:val="34E4106F"/>
    <w:rsid w:val="35073869"/>
    <w:rsid w:val="353510CF"/>
    <w:rsid w:val="356814A4"/>
    <w:rsid w:val="358267A2"/>
    <w:rsid w:val="359202CF"/>
    <w:rsid w:val="35B53FBD"/>
    <w:rsid w:val="35BF5183"/>
    <w:rsid w:val="35C01ECA"/>
    <w:rsid w:val="35F44AE6"/>
    <w:rsid w:val="360B4DCC"/>
    <w:rsid w:val="360F4492"/>
    <w:rsid w:val="361C228F"/>
    <w:rsid w:val="362A675A"/>
    <w:rsid w:val="363E7CED"/>
    <w:rsid w:val="36545584"/>
    <w:rsid w:val="366438D0"/>
    <w:rsid w:val="367D6985"/>
    <w:rsid w:val="368B345D"/>
    <w:rsid w:val="36A4539E"/>
    <w:rsid w:val="36AA1648"/>
    <w:rsid w:val="36C3270A"/>
    <w:rsid w:val="36CA2854"/>
    <w:rsid w:val="36EC1438"/>
    <w:rsid w:val="36EC1C61"/>
    <w:rsid w:val="373D45A1"/>
    <w:rsid w:val="373F2B29"/>
    <w:rsid w:val="374B4BD9"/>
    <w:rsid w:val="37503F9E"/>
    <w:rsid w:val="37572ABA"/>
    <w:rsid w:val="3757357E"/>
    <w:rsid w:val="375C413A"/>
    <w:rsid w:val="37865C12"/>
    <w:rsid w:val="37B92657"/>
    <w:rsid w:val="37CC76C3"/>
    <w:rsid w:val="37CE1367"/>
    <w:rsid w:val="37D51D41"/>
    <w:rsid w:val="37FF7772"/>
    <w:rsid w:val="3805122C"/>
    <w:rsid w:val="38356BB4"/>
    <w:rsid w:val="384F4255"/>
    <w:rsid w:val="38536076"/>
    <w:rsid w:val="38593326"/>
    <w:rsid w:val="3871281F"/>
    <w:rsid w:val="38810BDC"/>
    <w:rsid w:val="38833778"/>
    <w:rsid w:val="3885236D"/>
    <w:rsid w:val="38A95AD3"/>
    <w:rsid w:val="38BB4203"/>
    <w:rsid w:val="38D34707"/>
    <w:rsid w:val="38E45167"/>
    <w:rsid w:val="38E912D0"/>
    <w:rsid w:val="38EC5F48"/>
    <w:rsid w:val="3911775D"/>
    <w:rsid w:val="39353FF2"/>
    <w:rsid w:val="398268AC"/>
    <w:rsid w:val="39AE76A2"/>
    <w:rsid w:val="39B73BF8"/>
    <w:rsid w:val="39BC591B"/>
    <w:rsid w:val="39D7105F"/>
    <w:rsid w:val="39E76710"/>
    <w:rsid w:val="3A1209C9"/>
    <w:rsid w:val="3A3B3307"/>
    <w:rsid w:val="3A685AA2"/>
    <w:rsid w:val="3A7E7560"/>
    <w:rsid w:val="3A886B6C"/>
    <w:rsid w:val="3AA43EB6"/>
    <w:rsid w:val="3AC543E6"/>
    <w:rsid w:val="3AC95E1B"/>
    <w:rsid w:val="3AE44579"/>
    <w:rsid w:val="3B064A2E"/>
    <w:rsid w:val="3B1B2B15"/>
    <w:rsid w:val="3B3B5D4F"/>
    <w:rsid w:val="3B5853BD"/>
    <w:rsid w:val="3B9815AF"/>
    <w:rsid w:val="3B9C3C56"/>
    <w:rsid w:val="3BAC2ED4"/>
    <w:rsid w:val="3BB34CB8"/>
    <w:rsid w:val="3BC5478E"/>
    <w:rsid w:val="3C095063"/>
    <w:rsid w:val="3C434BCC"/>
    <w:rsid w:val="3C5E53AF"/>
    <w:rsid w:val="3C7E335B"/>
    <w:rsid w:val="3C870C47"/>
    <w:rsid w:val="3CC15ABF"/>
    <w:rsid w:val="3CD22091"/>
    <w:rsid w:val="3CD30B15"/>
    <w:rsid w:val="3CE753A4"/>
    <w:rsid w:val="3CED6733"/>
    <w:rsid w:val="3D363C36"/>
    <w:rsid w:val="3D602530"/>
    <w:rsid w:val="3D870CE6"/>
    <w:rsid w:val="3DC41339"/>
    <w:rsid w:val="3DC41A1A"/>
    <w:rsid w:val="3DD27E02"/>
    <w:rsid w:val="3E1B5535"/>
    <w:rsid w:val="3E203BE4"/>
    <w:rsid w:val="3E265BEF"/>
    <w:rsid w:val="3E444130"/>
    <w:rsid w:val="3E502554"/>
    <w:rsid w:val="3E540ED5"/>
    <w:rsid w:val="3EAD4A34"/>
    <w:rsid w:val="3ECD4DB7"/>
    <w:rsid w:val="3EE17BD1"/>
    <w:rsid w:val="3EEA36B4"/>
    <w:rsid w:val="3F0264C5"/>
    <w:rsid w:val="3F0A537A"/>
    <w:rsid w:val="3F4A39C9"/>
    <w:rsid w:val="3F577E93"/>
    <w:rsid w:val="3F696545"/>
    <w:rsid w:val="3F7904C7"/>
    <w:rsid w:val="3F964E60"/>
    <w:rsid w:val="3FD315C6"/>
    <w:rsid w:val="3FF85F46"/>
    <w:rsid w:val="40134D99"/>
    <w:rsid w:val="401C7D85"/>
    <w:rsid w:val="40342B7C"/>
    <w:rsid w:val="407A652F"/>
    <w:rsid w:val="407D063C"/>
    <w:rsid w:val="40B82BB4"/>
    <w:rsid w:val="40D774DE"/>
    <w:rsid w:val="40DB5220"/>
    <w:rsid w:val="40FA6902"/>
    <w:rsid w:val="41200E85"/>
    <w:rsid w:val="413125D0"/>
    <w:rsid w:val="41650F8E"/>
    <w:rsid w:val="41660596"/>
    <w:rsid w:val="41742F7F"/>
    <w:rsid w:val="41917295"/>
    <w:rsid w:val="41A53138"/>
    <w:rsid w:val="41D61CB1"/>
    <w:rsid w:val="41DF2AEE"/>
    <w:rsid w:val="41F52311"/>
    <w:rsid w:val="422C6E52"/>
    <w:rsid w:val="42554A1F"/>
    <w:rsid w:val="428E32D4"/>
    <w:rsid w:val="43045C0F"/>
    <w:rsid w:val="43096D44"/>
    <w:rsid w:val="43135248"/>
    <w:rsid w:val="43144A19"/>
    <w:rsid w:val="43715934"/>
    <w:rsid w:val="43996CCD"/>
    <w:rsid w:val="439D5F62"/>
    <w:rsid w:val="43B81625"/>
    <w:rsid w:val="43C27FD1"/>
    <w:rsid w:val="43C91A95"/>
    <w:rsid w:val="43CB4F3C"/>
    <w:rsid w:val="43D868B2"/>
    <w:rsid w:val="43E7452D"/>
    <w:rsid w:val="44020D16"/>
    <w:rsid w:val="443B21A4"/>
    <w:rsid w:val="444B4D7D"/>
    <w:rsid w:val="444E1AA8"/>
    <w:rsid w:val="445212DF"/>
    <w:rsid w:val="44735770"/>
    <w:rsid w:val="449C15EE"/>
    <w:rsid w:val="44D07864"/>
    <w:rsid w:val="44D62293"/>
    <w:rsid w:val="44F60F5F"/>
    <w:rsid w:val="44FF7E39"/>
    <w:rsid w:val="452B24C8"/>
    <w:rsid w:val="453B44DF"/>
    <w:rsid w:val="45667082"/>
    <w:rsid w:val="45833790"/>
    <w:rsid w:val="4597548E"/>
    <w:rsid w:val="459E43BC"/>
    <w:rsid w:val="45A5581A"/>
    <w:rsid w:val="45AB673F"/>
    <w:rsid w:val="45CC5137"/>
    <w:rsid w:val="45D24718"/>
    <w:rsid w:val="45D71D2E"/>
    <w:rsid w:val="45F97A71"/>
    <w:rsid w:val="46216D90"/>
    <w:rsid w:val="46217D67"/>
    <w:rsid w:val="463A4797"/>
    <w:rsid w:val="463C186B"/>
    <w:rsid w:val="46D51493"/>
    <w:rsid w:val="46F661E4"/>
    <w:rsid w:val="4700603D"/>
    <w:rsid w:val="47063FE1"/>
    <w:rsid w:val="471425D5"/>
    <w:rsid w:val="47354F5E"/>
    <w:rsid w:val="47736310"/>
    <w:rsid w:val="47737835"/>
    <w:rsid w:val="47990732"/>
    <w:rsid w:val="47B265AF"/>
    <w:rsid w:val="48286871"/>
    <w:rsid w:val="482A4397"/>
    <w:rsid w:val="48662AE6"/>
    <w:rsid w:val="48904B42"/>
    <w:rsid w:val="48912668"/>
    <w:rsid w:val="48D622BC"/>
    <w:rsid w:val="48F75B10"/>
    <w:rsid w:val="49162F62"/>
    <w:rsid w:val="49763089"/>
    <w:rsid w:val="4977360C"/>
    <w:rsid w:val="49902920"/>
    <w:rsid w:val="49C5081B"/>
    <w:rsid w:val="49E366AE"/>
    <w:rsid w:val="4A070E34"/>
    <w:rsid w:val="4A0A7C9D"/>
    <w:rsid w:val="4A107C78"/>
    <w:rsid w:val="4A273284"/>
    <w:rsid w:val="4A2A2D74"/>
    <w:rsid w:val="4A3B2EFB"/>
    <w:rsid w:val="4A467D74"/>
    <w:rsid w:val="4A4714F6"/>
    <w:rsid w:val="4A4F4589"/>
    <w:rsid w:val="4A8C1339"/>
    <w:rsid w:val="4AFF0E09"/>
    <w:rsid w:val="4AFF5FAF"/>
    <w:rsid w:val="4B00574E"/>
    <w:rsid w:val="4B3C4B0D"/>
    <w:rsid w:val="4B3F45FD"/>
    <w:rsid w:val="4B50680B"/>
    <w:rsid w:val="4B7666AB"/>
    <w:rsid w:val="4B7B3F14"/>
    <w:rsid w:val="4B8E4C43"/>
    <w:rsid w:val="4B9D544E"/>
    <w:rsid w:val="4BA24A06"/>
    <w:rsid w:val="4BAF34AB"/>
    <w:rsid w:val="4C0D0258"/>
    <w:rsid w:val="4C15074C"/>
    <w:rsid w:val="4C1647FF"/>
    <w:rsid w:val="4C187526"/>
    <w:rsid w:val="4C276416"/>
    <w:rsid w:val="4C4C3C82"/>
    <w:rsid w:val="4C7E0947"/>
    <w:rsid w:val="4D0201D0"/>
    <w:rsid w:val="4D2B4E39"/>
    <w:rsid w:val="4D2C4BAE"/>
    <w:rsid w:val="4D8608E4"/>
    <w:rsid w:val="4DA16EA9"/>
    <w:rsid w:val="4DA77626"/>
    <w:rsid w:val="4DA91DC5"/>
    <w:rsid w:val="4DB459E6"/>
    <w:rsid w:val="4DDC0C3D"/>
    <w:rsid w:val="4DDF79D2"/>
    <w:rsid w:val="4DEF40B9"/>
    <w:rsid w:val="4E006622"/>
    <w:rsid w:val="4E121E37"/>
    <w:rsid w:val="4E292021"/>
    <w:rsid w:val="4E361CE8"/>
    <w:rsid w:val="4E453CD9"/>
    <w:rsid w:val="4E676345"/>
    <w:rsid w:val="4E677448"/>
    <w:rsid w:val="4E745AC3"/>
    <w:rsid w:val="4E7D7917"/>
    <w:rsid w:val="4E9C3B15"/>
    <w:rsid w:val="4EC251F9"/>
    <w:rsid w:val="4ED432AF"/>
    <w:rsid w:val="4EDF693E"/>
    <w:rsid w:val="4EF43EBA"/>
    <w:rsid w:val="4F0A4F22"/>
    <w:rsid w:val="4F222301"/>
    <w:rsid w:val="4F477F24"/>
    <w:rsid w:val="4F566515"/>
    <w:rsid w:val="4F6C798B"/>
    <w:rsid w:val="4F6E2356"/>
    <w:rsid w:val="4F8C4102"/>
    <w:rsid w:val="4FD40D50"/>
    <w:rsid w:val="4FF82FCD"/>
    <w:rsid w:val="500F0A42"/>
    <w:rsid w:val="50410892"/>
    <w:rsid w:val="50483F54"/>
    <w:rsid w:val="50610E6E"/>
    <w:rsid w:val="507D1E47"/>
    <w:rsid w:val="5098719C"/>
    <w:rsid w:val="50A10F71"/>
    <w:rsid w:val="50C80BF1"/>
    <w:rsid w:val="50DD28EE"/>
    <w:rsid w:val="50EA5464"/>
    <w:rsid w:val="51032FBF"/>
    <w:rsid w:val="513026B6"/>
    <w:rsid w:val="51450494"/>
    <w:rsid w:val="515245C0"/>
    <w:rsid w:val="51C85101"/>
    <w:rsid w:val="51D13BDC"/>
    <w:rsid w:val="51D370CE"/>
    <w:rsid w:val="51F80C00"/>
    <w:rsid w:val="52344790"/>
    <w:rsid w:val="523B3D52"/>
    <w:rsid w:val="52473637"/>
    <w:rsid w:val="52631E17"/>
    <w:rsid w:val="52650DED"/>
    <w:rsid w:val="52E77BA3"/>
    <w:rsid w:val="52FE4D9E"/>
    <w:rsid w:val="530618DA"/>
    <w:rsid w:val="534E1882"/>
    <w:rsid w:val="534E25FD"/>
    <w:rsid w:val="534F1156"/>
    <w:rsid w:val="534F5864"/>
    <w:rsid w:val="5382777D"/>
    <w:rsid w:val="53840E18"/>
    <w:rsid w:val="53874D93"/>
    <w:rsid w:val="53911318"/>
    <w:rsid w:val="539A3E54"/>
    <w:rsid w:val="53AA560C"/>
    <w:rsid w:val="53B86CFB"/>
    <w:rsid w:val="53BC1E4D"/>
    <w:rsid w:val="53C438F2"/>
    <w:rsid w:val="53DA1367"/>
    <w:rsid w:val="53E9241A"/>
    <w:rsid w:val="540208BE"/>
    <w:rsid w:val="54246AB5"/>
    <w:rsid w:val="5426635A"/>
    <w:rsid w:val="542B3971"/>
    <w:rsid w:val="54405085"/>
    <w:rsid w:val="545B1498"/>
    <w:rsid w:val="548A04CB"/>
    <w:rsid w:val="548B445A"/>
    <w:rsid w:val="549A4653"/>
    <w:rsid w:val="54A97B1E"/>
    <w:rsid w:val="54C73E79"/>
    <w:rsid w:val="54E46B27"/>
    <w:rsid w:val="54F14BBA"/>
    <w:rsid w:val="54F93A6F"/>
    <w:rsid w:val="550153AB"/>
    <w:rsid w:val="551947B2"/>
    <w:rsid w:val="55213BF1"/>
    <w:rsid w:val="553B4087"/>
    <w:rsid w:val="55565474"/>
    <w:rsid w:val="55763178"/>
    <w:rsid w:val="55991F16"/>
    <w:rsid w:val="55A362D0"/>
    <w:rsid w:val="56226FF5"/>
    <w:rsid w:val="56301572"/>
    <w:rsid w:val="563A7E9B"/>
    <w:rsid w:val="56463D77"/>
    <w:rsid w:val="56665BE2"/>
    <w:rsid w:val="567053AF"/>
    <w:rsid w:val="56725887"/>
    <w:rsid w:val="567F7FA4"/>
    <w:rsid w:val="56905D0D"/>
    <w:rsid w:val="56C9121F"/>
    <w:rsid w:val="56C94841"/>
    <w:rsid w:val="56D61869"/>
    <w:rsid w:val="56E04EE6"/>
    <w:rsid w:val="56FA762A"/>
    <w:rsid w:val="571E77BD"/>
    <w:rsid w:val="57316401"/>
    <w:rsid w:val="573C4609"/>
    <w:rsid w:val="57572E94"/>
    <w:rsid w:val="575B631B"/>
    <w:rsid w:val="57672F12"/>
    <w:rsid w:val="57681389"/>
    <w:rsid w:val="57705424"/>
    <w:rsid w:val="57805D82"/>
    <w:rsid w:val="57A04676"/>
    <w:rsid w:val="57BB6E92"/>
    <w:rsid w:val="57E5652D"/>
    <w:rsid w:val="57F30C49"/>
    <w:rsid w:val="581035A9"/>
    <w:rsid w:val="58207565"/>
    <w:rsid w:val="58395C16"/>
    <w:rsid w:val="583E1A0D"/>
    <w:rsid w:val="585A783C"/>
    <w:rsid w:val="58623F85"/>
    <w:rsid w:val="58753143"/>
    <w:rsid w:val="58984430"/>
    <w:rsid w:val="58A363C3"/>
    <w:rsid w:val="58AB5080"/>
    <w:rsid w:val="58BD4DB3"/>
    <w:rsid w:val="590A624B"/>
    <w:rsid w:val="590F4FBA"/>
    <w:rsid w:val="595A0E62"/>
    <w:rsid w:val="5A0E3B19"/>
    <w:rsid w:val="5A3D7F5A"/>
    <w:rsid w:val="5A4D7877"/>
    <w:rsid w:val="5A5D23AA"/>
    <w:rsid w:val="5A7D0C9E"/>
    <w:rsid w:val="5A8764B0"/>
    <w:rsid w:val="5ABD553F"/>
    <w:rsid w:val="5AD24743"/>
    <w:rsid w:val="5AF356F2"/>
    <w:rsid w:val="5AF40F1C"/>
    <w:rsid w:val="5B035AB6"/>
    <w:rsid w:val="5B0C75D8"/>
    <w:rsid w:val="5B1234C3"/>
    <w:rsid w:val="5B147018"/>
    <w:rsid w:val="5B8B6139"/>
    <w:rsid w:val="5BB019A2"/>
    <w:rsid w:val="5BB10BFF"/>
    <w:rsid w:val="5BB22BCA"/>
    <w:rsid w:val="5BC56800"/>
    <w:rsid w:val="5BDE39BF"/>
    <w:rsid w:val="5BEF797A"/>
    <w:rsid w:val="5BFE196B"/>
    <w:rsid w:val="5C102605"/>
    <w:rsid w:val="5C3655A9"/>
    <w:rsid w:val="5C9F314E"/>
    <w:rsid w:val="5CA301D2"/>
    <w:rsid w:val="5CBA7F88"/>
    <w:rsid w:val="5CC05C74"/>
    <w:rsid w:val="5CC46711"/>
    <w:rsid w:val="5CD96E3F"/>
    <w:rsid w:val="5CEE0BCF"/>
    <w:rsid w:val="5D211DB5"/>
    <w:rsid w:val="5D2314AE"/>
    <w:rsid w:val="5D242688"/>
    <w:rsid w:val="5D2B5A9F"/>
    <w:rsid w:val="5D4635C9"/>
    <w:rsid w:val="5D7B6099"/>
    <w:rsid w:val="5D941425"/>
    <w:rsid w:val="5DCD4515"/>
    <w:rsid w:val="5DDC6200"/>
    <w:rsid w:val="5DF66D9E"/>
    <w:rsid w:val="5DF86805"/>
    <w:rsid w:val="5E3F69D4"/>
    <w:rsid w:val="5E6E2A0D"/>
    <w:rsid w:val="5E785A05"/>
    <w:rsid w:val="5EA0677E"/>
    <w:rsid w:val="5EBD5B94"/>
    <w:rsid w:val="5ED746F7"/>
    <w:rsid w:val="5EF45E5B"/>
    <w:rsid w:val="5F04148C"/>
    <w:rsid w:val="5F135CFC"/>
    <w:rsid w:val="5F1D47FE"/>
    <w:rsid w:val="5F395126"/>
    <w:rsid w:val="5F4E49B7"/>
    <w:rsid w:val="5F622211"/>
    <w:rsid w:val="5F6D51A9"/>
    <w:rsid w:val="5F7E529D"/>
    <w:rsid w:val="5F8403D9"/>
    <w:rsid w:val="5F9A19AB"/>
    <w:rsid w:val="6004682B"/>
    <w:rsid w:val="6010065E"/>
    <w:rsid w:val="602A0F80"/>
    <w:rsid w:val="606D70BF"/>
    <w:rsid w:val="60892D87"/>
    <w:rsid w:val="6098413C"/>
    <w:rsid w:val="60AD7263"/>
    <w:rsid w:val="60B04EBC"/>
    <w:rsid w:val="60B63A3C"/>
    <w:rsid w:val="60CC64DC"/>
    <w:rsid w:val="60D373D4"/>
    <w:rsid w:val="60E2185B"/>
    <w:rsid w:val="6105554A"/>
    <w:rsid w:val="611044C3"/>
    <w:rsid w:val="6135517E"/>
    <w:rsid w:val="61356CE4"/>
    <w:rsid w:val="61521F2D"/>
    <w:rsid w:val="619743F4"/>
    <w:rsid w:val="619C7C5C"/>
    <w:rsid w:val="61B609E4"/>
    <w:rsid w:val="628E3F7E"/>
    <w:rsid w:val="62A56FE4"/>
    <w:rsid w:val="62B15989"/>
    <w:rsid w:val="62BE055D"/>
    <w:rsid w:val="62C70D09"/>
    <w:rsid w:val="62CC7D62"/>
    <w:rsid w:val="62D67938"/>
    <w:rsid w:val="6314290A"/>
    <w:rsid w:val="631E5B99"/>
    <w:rsid w:val="63352116"/>
    <w:rsid w:val="63544514"/>
    <w:rsid w:val="637A464E"/>
    <w:rsid w:val="63957059"/>
    <w:rsid w:val="63B427A6"/>
    <w:rsid w:val="63C11BFC"/>
    <w:rsid w:val="63E34F0E"/>
    <w:rsid w:val="641C3A9C"/>
    <w:rsid w:val="642D7291"/>
    <w:rsid w:val="644F36B3"/>
    <w:rsid w:val="649015CE"/>
    <w:rsid w:val="64A37553"/>
    <w:rsid w:val="64C5571C"/>
    <w:rsid w:val="652F2E4A"/>
    <w:rsid w:val="653C56D7"/>
    <w:rsid w:val="65493C57"/>
    <w:rsid w:val="65541B18"/>
    <w:rsid w:val="6575538E"/>
    <w:rsid w:val="65BA5B46"/>
    <w:rsid w:val="65C861F4"/>
    <w:rsid w:val="65C92FEA"/>
    <w:rsid w:val="65C94D98"/>
    <w:rsid w:val="65E924E0"/>
    <w:rsid w:val="65EF0463"/>
    <w:rsid w:val="65FA13F5"/>
    <w:rsid w:val="662B2826"/>
    <w:rsid w:val="66303D02"/>
    <w:rsid w:val="66522FDF"/>
    <w:rsid w:val="667016B7"/>
    <w:rsid w:val="66715EAA"/>
    <w:rsid w:val="668F233C"/>
    <w:rsid w:val="66E300DB"/>
    <w:rsid w:val="66F81DD8"/>
    <w:rsid w:val="670B4535"/>
    <w:rsid w:val="670F3E92"/>
    <w:rsid w:val="6712775C"/>
    <w:rsid w:val="67377761"/>
    <w:rsid w:val="674364CA"/>
    <w:rsid w:val="67486190"/>
    <w:rsid w:val="674E19F8"/>
    <w:rsid w:val="67650EE8"/>
    <w:rsid w:val="678C32CE"/>
    <w:rsid w:val="67A61834"/>
    <w:rsid w:val="67E61B88"/>
    <w:rsid w:val="67E6412F"/>
    <w:rsid w:val="681D761D"/>
    <w:rsid w:val="68273FDB"/>
    <w:rsid w:val="684222A4"/>
    <w:rsid w:val="68741F8C"/>
    <w:rsid w:val="68784C4A"/>
    <w:rsid w:val="68795736"/>
    <w:rsid w:val="68A5389A"/>
    <w:rsid w:val="68A60FF0"/>
    <w:rsid w:val="68AE4314"/>
    <w:rsid w:val="68C5711E"/>
    <w:rsid w:val="68CE3E84"/>
    <w:rsid w:val="68D23DD5"/>
    <w:rsid w:val="68E425F7"/>
    <w:rsid w:val="68F214ED"/>
    <w:rsid w:val="68F61C88"/>
    <w:rsid w:val="691755F6"/>
    <w:rsid w:val="691C49C1"/>
    <w:rsid w:val="69286279"/>
    <w:rsid w:val="693E1966"/>
    <w:rsid w:val="69456E2B"/>
    <w:rsid w:val="694F7CAA"/>
    <w:rsid w:val="69531548"/>
    <w:rsid w:val="69562DE6"/>
    <w:rsid w:val="69586B5E"/>
    <w:rsid w:val="696704A0"/>
    <w:rsid w:val="69EB2713"/>
    <w:rsid w:val="6A190D62"/>
    <w:rsid w:val="6A490880"/>
    <w:rsid w:val="6A4C5C9E"/>
    <w:rsid w:val="6A7070A7"/>
    <w:rsid w:val="6A971908"/>
    <w:rsid w:val="6A9D7D69"/>
    <w:rsid w:val="6ACA3CB8"/>
    <w:rsid w:val="6ADA5212"/>
    <w:rsid w:val="6AE2678E"/>
    <w:rsid w:val="6B091892"/>
    <w:rsid w:val="6B0D366F"/>
    <w:rsid w:val="6B1E7960"/>
    <w:rsid w:val="6B2721FB"/>
    <w:rsid w:val="6B3233DF"/>
    <w:rsid w:val="6B376C47"/>
    <w:rsid w:val="6B42419F"/>
    <w:rsid w:val="6B60619E"/>
    <w:rsid w:val="6BAA7C35"/>
    <w:rsid w:val="6BAF2557"/>
    <w:rsid w:val="6BBF58E7"/>
    <w:rsid w:val="6BC8789F"/>
    <w:rsid w:val="6BCC7390"/>
    <w:rsid w:val="6BDB5825"/>
    <w:rsid w:val="6C027255"/>
    <w:rsid w:val="6C4369B9"/>
    <w:rsid w:val="6C627CF4"/>
    <w:rsid w:val="6C7041BF"/>
    <w:rsid w:val="6C7D0DC3"/>
    <w:rsid w:val="6C895281"/>
    <w:rsid w:val="6C940516"/>
    <w:rsid w:val="6CC462B9"/>
    <w:rsid w:val="6CCB2AC6"/>
    <w:rsid w:val="6CD01102"/>
    <w:rsid w:val="6CD60BA8"/>
    <w:rsid w:val="6CF20E0A"/>
    <w:rsid w:val="6CF80F83"/>
    <w:rsid w:val="6D050DAB"/>
    <w:rsid w:val="6D11069A"/>
    <w:rsid w:val="6D280898"/>
    <w:rsid w:val="6D3F3B91"/>
    <w:rsid w:val="6D79689C"/>
    <w:rsid w:val="6D7B106D"/>
    <w:rsid w:val="6D840CE8"/>
    <w:rsid w:val="6D89456F"/>
    <w:rsid w:val="6D9B3AD4"/>
    <w:rsid w:val="6D9E2FAE"/>
    <w:rsid w:val="6DF44179"/>
    <w:rsid w:val="6E06006F"/>
    <w:rsid w:val="6E27085A"/>
    <w:rsid w:val="6E3E6C13"/>
    <w:rsid w:val="6E494CC8"/>
    <w:rsid w:val="6E6516E8"/>
    <w:rsid w:val="6EBD7464"/>
    <w:rsid w:val="6EC72090"/>
    <w:rsid w:val="6EFD5AB2"/>
    <w:rsid w:val="6F6F4C02"/>
    <w:rsid w:val="6F8D5088"/>
    <w:rsid w:val="6F8F6751"/>
    <w:rsid w:val="6F9B77A5"/>
    <w:rsid w:val="6FA40F15"/>
    <w:rsid w:val="6FAB700D"/>
    <w:rsid w:val="6FC6760B"/>
    <w:rsid w:val="6FCD36D6"/>
    <w:rsid w:val="6FDE58E3"/>
    <w:rsid w:val="70072320"/>
    <w:rsid w:val="70154E99"/>
    <w:rsid w:val="70457711"/>
    <w:rsid w:val="70640D23"/>
    <w:rsid w:val="708B529E"/>
    <w:rsid w:val="70924B51"/>
    <w:rsid w:val="70A6501A"/>
    <w:rsid w:val="70A86CAA"/>
    <w:rsid w:val="70B95865"/>
    <w:rsid w:val="70CD7E32"/>
    <w:rsid w:val="70DD0ADF"/>
    <w:rsid w:val="70E21B61"/>
    <w:rsid w:val="710F474F"/>
    <w:rsid w:val="712B5F51"/>
    <w:rsid w:val="71353F2D"/>
    <w:rsid w:val="714238D8"/>
    <w:rsid w:val="71463193"/>
    <w:rsid w:val="714E008F"/>
    <w:rsid w:val="715C11B6"/>
    <w:rsid w:val="71877D2F"/>
    <w:rsid w:val="71891E40"/>
    <w:rsid w:val="718F4844"/>
    <w:rsid w:val="719E357C"/>
    <w:rsid w:val="71DF458A"/>
    <w:rsid w:val="71F31B1A"/>
    <w:rsid w:val="72086C48"/>
    <w:rsid w:val="720F2C75"/>
    <w:rsid w:val="721B4BCD"/>
    <w:rsid w:val="7232489D"/>
    <w:rsid w:val="723D2CCD"/>
    <w:rsid w:val="725954B8"/>
    <w:rsid w:val="726F170A"/>
    <w:rsid w:val="729A6E62"/>
    <w:rsid w:val="72A663F7"/>
    <w:rsid w:val="73130CA9"/>
    <w:rsid w:val="73441F01"/>
    <w:rsid w:val="73462E02"/>
    <w:rsid w:val="73474D4E"/>
    <w:rsid w:val="734B3290"/>
    <w:rsid w:val="73626737"/>
    <w:rsid w:val="73775F65"/>
    <w:rsid w:val="73885001"/>
    <w:rsid w:val="738B5D82"/>
    <w:rsid w:val="73942E89"/>
    <w:rsid w:val="73B51D3E"/>
    <w:rsid w:val="73C3551C"/>
    <w:rsid w:val="73C87CA0"/>
    <w:rsid w:val="73D6729E"/>
    <w:rsid w:val="73DD4830"/>
    <w:rsid w:val="73E7277B"/>
    <w:rsid w:val="73EE785B"/>
    <w:rsid w:val="73EF1E6D"/>
    <w:rsid w:val="740E0F31"/>
    <w:rsid w:val="74342C47"/>
    <w:rsid w:val="744E6F2A"/>
    <w:rsid w:val="745148D6"/>
    <w:rsid w:val="74D95872"/>
    <w:rsid w:val="74E874C8"/>
    <w:rsid w:val="750F6D8B"/>
    <w:rsid w:val="75153B55"/>
    <w:rsid w:val="75502DDF"/>
    <w:rsid w:val="757A1C0A"/>
    <w:rsid w:val="75867885"/>
    <w:rsid w:val="75C840D4"/>
    <w:rsid w:val="75CD7A84"/>
    <w:rsid w:val="75DA097F"/>
    <w:rsid w:val="75F417D6"/>
    <w:rsid w:val="76051E1C"/>
    <w:rsid w:val="760D6F22"/>
    <w:rsid w:val="7631070B"/>
    <w:rsid w:val="76721858"/>
    <w:rsid w:val="76AA4835"/>
    <w:rsid w:val="76B674DC"/>
    <w:rsid w:val="76B72C22"/>
    <w:rsid w:val="76EF62A4"/>
    <w:rsid w:val="771D7139"/>
    <w:rsid w:val="77275DC2"/>
    <w:rsid w:val="772C1FDE"/>
    <w:rsid w:val="774B3CC1"/>
    <w:rsid w:val="77545AB1"/>
    <w:rsid w:val="779C055E"/>
    <w:rsid w:val="779E0DF0"/>
    <w:rsid w:val="77BA6C36"/>
    <w:rsid w:val="77ED19F4"/>
    <w:rsid w:val="78544995"/>
    <w:rsid w:val="78686692"/>
    <w:rsid w:val="78726F42"/>
    <w:rsid w:val="78915BE9"/>
    <w:rsid w:val="78B74F24"/>
    <w:rsid w:val="78E23F08"/>
    <w:rsid w:val="78F637DD"/>
    <w:rsid w:val="78F9553C"/>
    <w:rsid w:val="78FB7506"/>
    <w:rsid w:val="78FD3215"/>
    <w:rsid w:val="78FF0DA4"/>
    <w:rsid w:val="790E0FE8"/>
    <w:rsid w:val="79246A5D"/>
    <w:rsid w:val="792F71B0"/>
    <w:rsid w:val="793B216C"/>
    <w:rsid w:val="794845D2"/>
    <w:rsid w:val="79927E6B"/>
    <w:rsid w:val="79CF671A"/>
    <w:rsid w:val="7A1A553D"/>
    <w:rsid w:val="7A2E2EA3"/>
    <w:rsid w:val="7A312500"/>
    <w:rsid w:val="7A314EBC"/>
    <w:rsid w:val="7A4F7B0A"/>
    <w:rsid w:val="7A661A9C"/>
    <w:rsid w:val="7A6A10A2"/>
    <w:rsid w:val="7A6F427A"/>
    <w:rsid w:val="7A7D4A57"/>
    <w:rsid w:val="7A7E738E"/>
    <w:rsid w:val="7A8111B2"/>
    <w:rsid w:val="7A8567A7"/>
    <w:rsid w:val="7AB35A30"/>
    <w:rsid w:val="7AC558FC"/>
    <w:rsid w:val="7B034450"/>
    <w:rsid w:val="7B1623D5"/>
    <w:rsid w:val="7B252618"/>
    <w:rsid w:val="7B326164"/>
    <w:rsid w:val="7B6C46EB"/>
    <w:rsid w:val="7B867D02"/>
    <w:rsid w:val="7BC10593"/>
    <w:rsid w:val="7BD06A28"/>
    <w:rsid w:val="7BE02EDB"/>
    <w:rsid w:val="7BF36F5A"/>
    <w:rsid w:val="7C095A86"/>
    <w:rsid w:val="7C273EA9"/>
    <w:rsid w:val="7C4E3433"/>
    <w:rsid w:val="7C604766"/>
    <w:rsid w:val="7C617859"/>
    <w:rsid w:val="7C8141C6"/>
    <w:rsid w:val="7C8326A8"/>
    <w:rsid w:val="7C8B5C72"/>
    <w:rsid w:val="7C9B5188"/>
    <w:rsid w:val="7CD10CAA"/>
    <w:rsid w:val="7CE502B1"/>
    <w:rsid w:val="7CFB66BA"/>
    <w:rsid w:val="7D102D76"/>
    <w:rsid w:val="7D1604F2"/>
    <w:rsid w:val="7D250FF6"/>
    <w:rsid w:val="7D364FB1"/>
    <w:rsid w:val="7D396D71"/>
    <w:rsid w:val="7D5040E4"/>
    <w:rsid w:val="7D591C49"/>
    <w:rsid w:val="7D5947FB"/>
    <w:rsid w:val="7D66561E"/>
    <w:rsid w:val="7D681FC6"/>
    <w:rsid w:val="7D6C452F"/>
    <w:rsid w:val="7D816BAC"/>
    <w:rsid w:val="7D924D11"/>
    <w:rsid w:val="7D947755"/>
    <w:rsid w:val="7D9B4E14"/>
    <w:rsid w:val="7DA168CE"/>
    <w:rsid w:val="7DAA32A9"/>
    <w:rsid w:val="7DB06EF1"/>
    <w:rsid w:val="7DCD1251"/>
    <w:rsid w:val="7DE247F1"/>
    <w:rsid w:val="7DFF2C2F"/>
    <w:rsid w:val="7E045DD5"/>
    <w:rsid w:val="7E094473"/>
    <w:rsid w:val="7E0D5EFC"/>
    <w:rsid w:val="7E427E5E"/>
    <w:rsid w:val="7E473333"/>
    <w:rsid w:val="7E5A4CCF"/>
    <w:rsid w:val="7E9A331D"/>
    <w:rsid w:val="7EB64EB7"/>
    <w:rsid w:val="7EB72739"/>
    <w:rsid w:val="7EC62364"/>
    <w:rsid w:val="7ECD4295"/>
    <w:rsid w:val="7F030EC3"/>
    <w:rsid w:val="7F231565"/>
    <w:rsid w:val="7F46449A"/>
    <w:rsid w:val="7F4D0390"/>
    <w:rsid w:val="7F737DF6"/>
    <w:rsid w:val="7FC142EE"/>
    <w:rsid w:val="7FCA05C5"/>
    <w:rsid w:val="7FE505C8"/>
    <w:rsid w:val="7FE90E95"/>
    <w:rsid w:val="7FEE3921"/>
    <w:rsid w:val="7FF556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iPriority="3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nhideWhenUsed="0" w:uiPriority="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1"/>
      <w:lang w:val="en-US" w:eastAsia="zh-CN" w:bidi="ar-SA"/>
    </w:rPr>
  </w:style>
  <w:style w:type="paragraph" w:styleId="8">
    <w:name w:val="heading 1"/>
    <w:basedOn w:val="1"/>
    <w:next w:val="1"/>
    <w:link w:val="39"/>
    <w:qFormat/>
    <w:uiPriority w:val="0"/>
    <w:pPr>
      <w:keepNext/>
      <w:keepLines/>
      <w:spacing w:line="360" w:lineRule="auto"/>
      <w:outlineLvl w:val="0"/>
    </w:pPr>
    <w:rPr>
      <w:b/>
      <w:bCs/>
      <w:kern w:val="44"/>
      <w:sz w:val="32"/>
      <w:szCs w:val="32"/>
    </w:rPr>
  </w:style>
  <w:style w:type="paragraph" w:styleId="9">
    <w:name w:val="heading 2"/>
    <w:basedOn w:val="8"/>
    <w:next w:val="1"/>
    <w:qFormat/>
    <w:uiPriority w:val="0"/>
    <w:pPr>
      <w:keepNext/>
      <w:keepLines/>
      <w:spacing w:before="260" w:after="260" w:line="415" w:lineRule="auto"/>
      <w:outlineLvl w:val="1"/>
    </w:pPr>
    <w:rPr>
      <w:rFonts w:ascii="Arial" w:hAnsi="Arial" w:eastAsia="黑体" w:cs="Arial"/>
      <w:sz w:val="32"/>
      <w:szCs w:val="32"/>
    </w:rPr>
  </w:style>
  <w:style w:type="paragraph" w:styleId="10">
    <w:name w:val="heading 3"/>
    <w:basedOn w:val="1"/>
    <w:next w:val="1"/>
    <w:qFormat/>
    <w:uiPriority w:val="0"/>
    <w:pPr>
      <w:keepNext/>
      <w:keepLines/>
      <w:spacing w:line="360" w:lineRule="auto"/>
      <w:outlineLvl w:val="2"/>
    </w:pPr>
    <w:rPr>
      <w:b/>
      <w:bCs/>
      <w:sz w:val="24"/>
      <w:szCs w:val="24"/>
    </w:rPr>
  </w:style>
  <w:style w:type="paragraph" w:styleId="11">
    <w:name w:val="heading 4"/>
    <w:basedOn w:val="1"/>
    <w:next w:val="1"/>
    <w:unhideWhenUsed/>
    <w:qFormat/>
    <w:uiPriority w:val="0"/>
    <w:pPr>
      <w:snapToGrid w:val="0"/>
      <w:spacing w:before="156" w:after="156" w:line="360" w:lineRule="auto"/>
      <w:ind w:left="907"/>
      <w:outlineLvl w:val="3"/>
    </w:pPr>
    <w:rPr>
      <w:rFonts w:ascii="Verdana" w:hAnsi="Verdana"/>
      <w:color w:val="000000"/>
      <w:sz w:val="24"/>
      <w:szCs w:val="24"/>
    </w:rPr>
  </w:style>
  <w:style w:type="paragraph" w:styleId="4">
    <w:name w:val="heading 8"/>
    <w:basedOn w:val="1"/>
    <w:next w:val="1"/>
    <w:qFormat/>
    <w:uiPriority w:val="0"/>
    <w:pPr>
      <w:keepNext/>
      <w:keepLines/>
      <w:tabs>
        <w:tab w:val="left" w:pos="1440"/>
      </w:tabs>
      <w:adjustRightInd w:val="0"/>
      <w:spacing w:before="240" w:beforeLines="0" w:after="64" w:afterLines="0" w:line="320" w:lineRule="atLeast"/>
      <w:ind w:left="1440" w:hanging="1440"/>
      <w:textAlignment w:val="baseline"/>
      <w:outlineLvl w:val="7"/>
    </w:pPr>
    <w:rPr>
      <w:rFonts w:ascii="Arial" w:hAnsi="Arial" w:eastAsia="黑体"/>
      <w:kern w:val="0"/>
      <w:sz w:val="24"/>
      <w:szCs w:val="20"/>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rPr>
      <w:szCs w:val="24"/>
    </w:rPr>
  </w:style>
  <w:style w:type="paragraph" w:styleId="3">
    <w:name w:val="Body Text Indent"/>
    <w:basedOn w:val="1"/>
    <w:next w:val="4"/>
    <w:qFormat/>
    <w:uiPriority w:val="0"/>
    <w:pPr>
      <w:spacing w:before="100" w:beforeAutospacing="1" w:after="120"/>
      <w:ind w:left="200" w:leftChars="200"/>
    </w:pPr>
  </w:style>
  <w:style w:type="paragraph" w:styleId="5">
    <w:name w:val="Body Text First Indent"/>
    <w:basedOn w:val="6"/>
    <w:next w:val="1"/>
    <w:qFormat/>
    <w:uiPriority w:val="99"/>
    <w:pPr>
      <w:spacing w:line="312" w:lineRule="auto"/>
      <w:ind w:firstLine="420"/>
    </w:pPr>
    <w:rPr>
      <w:rFonts w:ascii="Times New Roman" w:hAnsi="Times New Roman" w:cs="Times New Roman"/>
    </w:rPr>
  </w:style>
  <w:style w:type="paragraph" w:styleId="6">
    <w:name w:val="Body Text"/>
    <w:basedOn w:val="1"/>
    <w:next w:val="7"/>
    <w:qFormat/>
    <w:uiPriority w:val="1"/>
    <w:rPr>
      <w:rFonts w:ascii="宋体" w:hAnsi="宋体" w:cs="宋体"/>
      <w:lang w:val="zh-CN" w:bidi="zh-CN"/>
    </w:rPr>
  </w:style>
  <w:style w:type="paragraph" w:customStyle="1" w:styleId="7">
    <w:name w:val="段"/>
    <w:next w:val="1"/>
    <w:qFormat/>
    <w:uiPriority w:val="0"/>
    <w:pPr>
      <w:autoSpaceDE w:val="0"/>
      <w:autoSpaceDN w:val="0"/>
      <w:spacing w:line="540" w:lineRule="exact"/>
      <w:ind w:firstLine="200" w:firstLineChars="200"/>
      <w:jc w:val="both"/>
    </w:pPr>
    <w:rPr>
      <w:rFonts w:ascii="宋体" w:hAnsi="Times New Roman" w:eastAsia="宋体" w:cs="Times New Roman"/>
      <w:sz w:val="21"/>
      <w:lang w:val="en-US" w:eastAsia="zh-CN" w:bidi="ar-SA"/>
    </w:rPr>
  </w:style>
  <w:style w:type="paragraph" w:styleId="12">
    <w:name w:val="Normal Indent"/>
    <w:basedOn w:val="1"/>
    <w:semiHidden/>
    <w:qFormat/>
    <w:uiPriority w:val="0"/>
    <w:pPr>
      <w:ind w:firstLine="420"/>
    </w:pPr>
  </w:style>
  <w:style w:type="paragraph" w:styleId="13">
    <w:name w:val="toc 3"/>
    <w:basedOn w:val="1"/>
    <w:next w:val="1"/>
    <w:qFormat/>
    <w:uiPriority w:val="99"/>
    <w:pPr>
      <w:spacing w:before="192"/>
      <w:ind w:left="1053"/>
    </w:pPr>
  </w:style>
  <w:style w:type="paragraph" w:styleId="14">
    <w:name w:val="Plain Text"/>
    <w:basedOn w:val="1"/>
    <w:semiHidden/>
    <w:qFormat/>
    <w:uiPriority w:val="0"/>
    <w:rPr>
      <w:rFonts w:ascii="宋体" w:hAnsi="Courier New" w:cs="宋体"/>
    </w:rPr>
  </w:style>
  <w:style w:type="paragraph" w:styleId="15">
    <w:name w:val="Body Text Indent 2"/>
    <w:basedOn w:val="1"/>
    <w:unhideWhenUsed/>
    <w:qFormat/>
    <w:uiPriority w:val="0"/>
    <w:pPr>
      <w:spacing w:line="360" w:lineRule="auto"/>
      <w:ind w:left="-61" w:leftChars="-29" w:firstLine="458" w:firstLineChars="218"/>
    </w:pPr>
    <w:rPr>
      <w:rFonts w:hint="eastAsia"/>
      <w:szCs w:val="32"/>
      <w:lang w:eastAsia="en-US"/>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semiHidden/>
    <w:qFormat/>
    <w:uiPriority w:val="0"/>
    <w:pPr>
      <w:spacing w:line="360" w:lineRule="auto"/>
    </w:pPr>
  </w:style>
  <w:style w:type="paragraph" w:styleId="19">
    <w:name w:val="Body Text Indent 3"/>
    <w:basedOn w:val="1"/>
    <w:unhideWhenUsed/>
    <w:qFormat/>
    <w:uiPriority w:val="0"/>
    <w:pPr>
      <w:snapToGrid w:val="0"/>
      <w:spacing w:line="657" w:lineRule="atLeast"/>
      <w:ind w:firstLine="720"/>
    </w:pPr>
    <w:rPr>
      <w:rFonts w:hint="eastAsia" w:ascii="仿宋_GB2312" w:eastAsia="仿宋_GB2312"/>
      <w:b/>
      <w:sz w:val="36"/>
      <w:szCs w:val="22"/>
      <w:lang w:eastAsia="en-US"/>
    </w:rPr>
  </w:style>
  <w:style w:type="paragraph" w:styleId="20">
    <w:name w:val="toc 2"/>
    <w:basedOn w:val="1"/>
    <w:next w:val="1"/>
    <w:unhideWhenUsed/>
    <w:qFormat/>
    <w:uiPriority w:val="39"/>
    <w:pPr>
      <w:ind w:left="420" w:leftChars="200"/>
    </w:pPr>
  </w:style>
  <w:style w:type="paragraph" w:styleId="21">
    <w:name w:val="Normal (Web)"/>
    <w:basedOn w:val="1"/>
    <w:semiHidden/>
    <w:qFormat/>
    <w:uiPriority w:val="0"/>
    <w:pPr>
      <w:widowControl/>
      <w:jc w:val="left"/>
    </w:pPr>
    <w:rPr>
      <w:rFonts w:ascii="宋体" w:hAnsi="宋体" w:cs="宋体"/>
      <w:color w:val="000000"/>
      <w:kern w:val="0"/>
      <w:sz w:val="24"/>
      <w:szCs w:val="24"/>
    </w:rPr>
  </w:style>
  <w:style w:type="table" w:styleId="23">
    <w:name w:val="Table Grid"/>
    <w:basedOn w:val="2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rPr>
  </w:style>
  <w:style w:type="character" w:styleId="26">
    <w:name w:val="page number"/>
    <w:basedOn w:val="24"/>
    <w:unhideWhenUsed/>
    <w:qFormat/>
    <w:uiPriority w:val="0"/>
    <w:rPr>
      <w:rFonts w:hint="default"/>
      <w:sz w:val="24"/>
      <w:szCs w:val="24"/>
    </w:rPr>
  </w:style>
  <w:style w:type="character" w:styleId="27">
    <w:name w:val="FollowedHyperlink"/>
    <w:basedOn w:val="24"/>
    <w:qFormat/>
    <w:uiPriority w:val="0"/>
    <w:rPr>
      <w:color w:val="800080"/>
      <w:u w:val="none"/>
    </w:rPr>
  </w:style>
  <w:style w:type="character" w:styleId="28">
    <w:name w:val="HTML Definition"/>
    <w:basedOn w:val="24"/>
    <w:qFormat/>
    <w:uiPriority w:val="0"/>
  </w:style>
  <w:style w:type="character" w:styleId="29">
    <w:name w:val="HTML Typewriter"/>
    <w:basedOn w:val="24"/>
    <w:qFormat/>
    <w:uiPriority w:val="0"/>
    <w:rPr>
      <w:rFonts w:hint="default" w:ascii="monospace" w:hAnsi="monospace" w:eastAsia="monospace" w:cs="monospace"/>
      <w:sz w:val="20"/>
    </w:rPr>
  </w:style>
  <w:style w:type="character" w:styleId="30">
    <w:name w:val="HTML Acronym"/>
    <w:basedOn w:val="24"/>
    <w:qFormat/>
    <w:uiPriority w:val="0"/>
  </w:style>
  <w:style w:type="character" w:styleId="31">
    <w:name w:val="HTML Variable"/>
    <w:basedOn w:val="24"/>
    <w:qFormat/>
    <w:uiPriority w:val="0"/>
  </w:style>
  <w:style w:type="character" w:styleId="32">
    <w:name w:val="Hyperlink"/>
    <w:basedOn w:val="24"/>
    <w:qFormat/>
    <w:uiPriority w:val="0"/>
    <w:rPr>
      <w:color w:val="333333"/>
      <w:u w:val="none"/>
    </w:rPr>
  </w:style>
  <w:style w:type="character" w:styleId="33">
    <w:name w:val="HTML Code"/>
    <w:basedOn w:val="24"/>
    <w:qFormat/>
    <w:uiPriority w:val="0"/>
    <w:rPr>
      <w:rFonts w:hint="default" w:ascii="monospace" w:hAnsi="monospace" w:eastAsia="monospace" w:cs="monospace"/>
      <w:sz w:val="20"/>
    </w:rPr>
  </w:style>
  <w:style w:type="character" w:styleId="34">
    <w:name w:val="HTML Cite"/>
    <w:basedOn w:val="24"/>
    <w:qFormat/>
    <w:uiPriority w:val="0"/>
  </w:style>
  <w:style w:type="character" w:styleId="35">
    <w:name w:val="HTML Keyboard"/>
    <w:basedOn w:val="24"/>
    <w:qFormat/>
    <w:uiPriority w:val="0"/>
    <w:rPr>
      <w:rFonts w:hint="default" w:ascii="monospace" w:hAnsi="monospace" w:eastAsia="monospace" w:cs="monospace"/>
      <w:sz w:val="20"/>
    </w:rPr>
  </w:style>
  <w:style w:type="character" w:styleId="36">
    <w:name w:val="HTML Sample"/>
    <w:basedOn w:val="24"/>
    <w:qFormat/>
    <w:uiPriority w:val="0"/>
    <w:rPr>
      <w:rFonts w:ascii="monospace" w:hAnsi="monospace" w:eastAsia="monospace" w:cs="monospace"/>
    </w:rPr>
  </w:style>
  <w:style w:type="paragraph" w:customStyle="1" w:styleId="37">
    <w:name w:val="首行缩进"/>
    <w:basedOn w:val="38"/>
    <w:next w:val="1"/>
    <w:qFormat/>
    <w:uiPriority w:val="0"/>
    <w:pPr>
      <w:spacing w:line="360" w:lineRule="auto"/>
      <w:ind w:left="210" w:leftChars="100" w:firstLine="420" w:firstLineChars="200"/>
    </w:pPr>
    <w:rPr>
      <w:rFonts w:ascii="宋体" w:hAnsi="宋体" w:cs="宋体"/>
      <w:sz w:val="24"/>
      <w:szCs w:val="24"/>
    </w:rPr>
  </w:style>
  <w:style w:type="paragraph" w:customStyle="1" w:styleId="38">
    <w:name w:val="正文 New New New New New New"/>
    <w:next w:val="37"/>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39">
    <w:name w:val="标题 1 Char"/>
    <w:link w:val="8"/>
    <w:qFormat/>
    <w:uiPriority w:val="0"/>
    <w:rPr>
      <w:b/>
      <w:bCs/>
      <w:kern w:val="44"/>
      <w:sz w:val="32"/>
      <w:szCs w:val="32"/>
    </w:rPr>
  </w:style>
  <w:style w:type="character" w:customStyle="1" w:styleId="40">
    <w:name w:val="fontstyle01"/>
    <w:qFormat/>
    <w:uiPriority w:val="0"/>
    <w:rPr>
      <w:rFonts w:hint="eastAsia" w:ascii="宋体" w:hAnsi="宋体" w:eastAsia="宋体"/>
      <w:color w:val="000000"/>
      <w:sz w:val="22"/>
      <w:szCs w:val="22"/>
    </w:rPr>
  </w:style>
  <w:style w:type="character" w:customStyle="1" w:styleId="41">
    <w:name w:val="layui-layer-tabnow"/>
    <w:basedOn w:val="24"/>
    <w:qFormat/>
    <w:uiPriority w:val="0"/>
    <w:rPr>
      <w:bdr w:val="single" w:color="CCCCCC" w:sz="6" w:space="0"/>
      <w:shd w:val="clear" w:color="auto" w:fill="FFFFFF"/>
    </w:rPr>
  </w:style>
  <w:style w:type="character" w:customStyle="1" w:styleId="42">
    <w:name w:val="first-child"/>
    <w:basedOn w:val="24"/>
    <w:qFormat/>
    <w:uiPriority w:val="0"/>
  </w:style>
  <w:style w:type="paragraph" w:customStyle="1" w:styleId="43">
    <w:name w:val="Indent Normal"/>
    <w:basedOn w:val="1"/>
    <w:qFormat/>
    <w:uiPriority w:val="0"/>
    <w:pPr>
      <w:ind w:firstLine="150" w:firstLineChars="150"/>
    </w:pPr>
    <w:rPr>
      <w:sz w:val="24"/>
    </w:rPr>
  </w:style>
  <w:style w:type="paragraph" w:customStyle="1" w:styleId="44">
    <w:name w:val="样式5"/>
    <w:qFormat/>
    <w:uiPriority w:val="0"/>
    <w:pPr>
      <w:spacing w:line="500" w:lineRule="exact"/>
      <w:jc w:val="center"/>
      <w:textAlignment w:val="center"/>
    </w:pPr>
    <w:rPr>
      <w:rFonts w:ascii="Calibri" w:hAnsi="Calibri" w:eastAsia="宋体" w:cs="Times New Roman"/>
      <w:b/>
      <w:bCs/>
      <w:kern w:val="44"/>
      <w:sz w:val="30"/>
      <w:szCs w:val="44"/>
      <w:lang w:val="en-US" w:eastAsia="zh-CN" w:bidi="ar-SA"/>
    </w:rPr>
  </w:style>
  <w:style w:type="paragraph" w:customStyle="1" w:styleId="45">
    <w:name w:val="列表段落1"/>
    <w:basedOn w:val="1"/>
    <w:qFormat/>
    <w:uiPriority w:val="0"/>
    <w:pPr>
      <w:ind w:firstLine="420" w:firstLineChars="200"/>
    </w:pPr>
  </w:style>
  <w:style w:type="paragraph" w:customStyle="1" w:styleId="46">
    <w:name w:val="Table Paragraph"/>
    <w:basedOn w:val="1"/>
    <w:qFormat/>
    <w:uiPriority w:val="1"/>
    <w:rPr>
      <w:rFonts w:ascii="宋体" w:hAnsi="宋体" w:cs="宋体"/>
      <w:lang w:val="zh-CN" w:bidi="zh-CN"/>
    </w:rPr>
  </w:style>
  <w:style w:type="paragraph" w:customStyle="1" w:styleId="4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8">
    <w:name w:val="列出段落2"/>
    <w:basedOn w:val="1"/>
    <w:qFormat/>
    <w:uiPriority w:val="0"/>
    <w:rPr>
      <w:rFonts w:ascii="Times New Roman" w:hAnsi="Times New Roman"/>
      <w:szCs w:val="20"/>
    </w:rPr>
  </w:style>
  <w:style w:type="paragraph" w:customStyle="1" w:styleId="49">
    <w:name w:val="1"/>
    <w:basedOn w:val="1"/>
    <w:qFormat/>
    <w:uiPriority w:val="0"/>
  </w:style>
  <w:style w:type="paragraph" w:customStyle="1" w:styleId="50">
    <w:name w:val="样式 首行缩进:  2 字符"/>
    <w:basedOn w:val="1"/>
    <w:qFormat/>
    <w:uiPriority w:val="0"/>
    <w:pPr>
      <w:autoSpaceDE w:val="0"/>
      <w:autoSpaceDN w:val="0"/>
      <w:spacing w:line="360" w:lineRule="auto"/>
      <w:ind w:firstLine="200" w:firstLineChars="200"/>
      <w:jc w:val="left"/>
    </w:pPr>
    <w:rPr>
      <w:rFonts w:ascii="宋体" w:hAnsi="宋体" w:cs="宋体"/>
      <w:kern w:val="0"/>
      <w:sz w:val="24"/>
      <w:lang w:val="zh-CN" w:bidi="zh-CN"/>
    </w:rPr>
  </w:style>
  <w:style w:type="paragraph" w:customStyle="1" w:styleId="51">
    <w:name w:val="样式 样式 左侧:  2 字符 + 左侧:  0.85 厘米 首行缩进:  2 字符1"/>
    <w:basedOn w:val="1"/>
    <w:qFormat/>
    <w:uiPriority w:val="0"/>
    <w:pPr>
      <w:ind w:left="482" w:firstLine="200" w:firstLineChars="200"/>
    </w:pPr>
    <w:rPr>
      <w:rFonts w:cs="宋体"/>
    </w:rPr>
  </w:style>
  <w:style w:type="paragraph" w:customStyle="1" w:styleId="52">
    <w:name w:val="无间隔1"/>
    <w:qFormat/>
    <w:uiPriority w:val="0"/>
    <w:pPr>
      <w:widowControl w:val="0"/>
      <w:jc w:val="both"/>
    </w:pPr>
    <w:rPr>
      <w:rFonts w:ascii="Times New Roman" w:hAnsi="Times New Roman" w:eastAsia="Times New Roman" w:cs="黑体"/>
      <w:kern w:val="2"/>
      <w:sz w:val="21"/>
      <w:szCs w:val="22"/>
      <w:lang w:val="en-US" w:eastAsia="zh-CN" w:bidi="ar-SA"/>
    </w:rPr>
  </w:style>
  <w:style w:type="paragraph" w:customStyle="1" w:styleId="53">
    <w:name w:val="Blockquote"/>
    <w:basedOn w:val="1"/>
    <w:qFormat/>
    <w:uiPriority w:val="0"/>
    <w:pPr>
      <w:autoSpaceDE w:val="0"/>
      <w:autoSpaceDN w:val="0"/>
      <w:adjustRightInd w:val="0"/>
      <w:spacing w:before="100" w:after="100"/>
      <w:ind w:left="360" w:right="360"/>
      <w:jc w:val="left"/>
    </w:pPr>
    <w:rPr>
      <w:rFonts w:ascii="Times New Roman" w:hAnsi="Times New Roman" w:cs="宋体"/>
      <w:kern w:val="0"/>
      <w:sz w:val="24"/>
      <w:szCs w:val="24"/>
    </w:rPr>
  </w:style>
  <w:style w:type="paragraph" w:customStyle="1" w:styleId="54">
    <w:name w:val="Char Char Char1 Char1"/>
    <w:basedOn w:val="1"/>
    <w:next w:val="1"/>
    <w:unhideWhenUsed/>
    <w:qFormat/>
    <w:uiPriority w:val="0"/>
    <w:pPr>
      <w:spacing w:line="360" w:lineRule="auto"/>
      <w:ind w:firstLine="200"/>
    </w:pPr>
    <w:rPr>
      <w:rFonts w:hint="eastAsia" w:hAnsi="Times New Roman"/>
      <w:sz w:val="24"/>
      <w:szCs w:val="24"/>
    </w:rPr>
  </w:style>
  <w:style w:type="paragraph" w:customStyle="1" w:styleId="55">
    <w:name w:val="hidinshow"/>
    <w:basedOn w:val="1"/>
    <w:unhideWhenUsed/>
    <w:qFormat/>
    <w:uiPriority w:val="0"/>
    <w:pPr>
      <w:widowControl/>
    </w:pPr>
    <w:rPr>
      <w:rFonts w:hint="eastAsia"/>
      <w:vanish/>
      <w:sz w:val="24"/>
      <w:szCs w:val="24"/>
    </w:rPr>
  </w:style>
  <w:style w:type="paragraph" w:customStyle="1" w:styleId="56">
    <w:name w:val="Char Char Char1 Char"/>
    <w:basedOn w:val="1"/>
    <w:next w:val="1"/>
    <w:semiHidden/>
    <w:qFormat/>
    <w:uiPriority w:val="0"/>
    <w:pPr>
      <w:spacing w:line="360" w:lineRule="auto"/>
      <w:ind w:firstLine="200"/>
    </w:pPr>
    <w:rPr>
      <w:rFonts w:ascii="宋体"/>
      <w:sz w:val="24"/>
    </w:rPr>
  </w:style>
  <w:style w:type="paragraph" w:styleId="57">
    <w:name w:val="List Paragraph"/>
    <w:basedOn w:val="1"/>
    <w:unhideWhenUsed/>
    <w:qFormat/>
    <w:uiPriority w:val="99"/>
    <w:pPr>
      <w:ind w:firstLine="420" w:firstLineChars="200"/>
    </w:pPr>
  </w:style>
  <w:style w:type="character" w:customStyle="1" w:styleId="58">
    <w:name w:val="NormalCharacter"/>
    <w:semiHidden/>
    <w:qFormat/>
    <w:uiPriority w:val="0"/>
    <w:rPr>
      <w:rFonts w:ascii="Calibri" w:hAnsi="Calibri" w:eastAsia="宋体" w:cs="Times New Roman"/>
      <w:kern w:val="2"/>
      <w:sz w:val="21"/>
      <w:szCs w:val="24"/>
      <w:lang w:val="en-US" w:eastAsia="zh-CN" w:bidi="ar-SA"/>
    </w:rPr>
  </w:style>
  <w:style w:type="paragraph" w:customStyle="1" w:styleId="59">
    <w:name w:val="！正文"/>
    <w:basedOn w:val="1"/>
    <w:qFormat/>
    <w:uiPriority w:val="0"/>
    <w:pPr>
      <w:spacing w:line="360" w:lineRule="auto"/>
      <w:ind w:firstLine="200" w:firstLineChars="200"/>
    </w:pPr>
    <w:rPr>
      <w:rFonts w:ascii="Times New Roman" w:hAnsi="Times New Roman" w:eastAsia="仿宋"/>
      <w:kern w:val="0"/>
      <w:sz w:val="32"/>
      <w:szCs w:val="28"/>
      <w:lang w:val="zh-CN"/>
    </w:rPr>
  </w:style>
  <w:style w:type="table" w:customStyle="1" w:styleId="60">
    <w:name w:val="Table Normal"/>
    <w:unhideWhenUsed/>
    <w:qFormat/>
    <w:uiPriority w:val="0"/>
    <w:tblPr>
      <w:tblCellMar>
        <w:top w:w="0" w:type="dxa"/>
        <w:left w:w="0" w:type="dxa"/>
        <w:bottom w:w="0" w:type="dxa"/>
        <w:right w:w="0" w:type="dxa"/>
      </w:tblCellMar>
    </w:tblPr>
  </w:style>
  <w:style w:type="paragraph" w:customStyle="1" w:styleId="61">
    <w:name w:val="Style1"/>
    <w:basedOn w:val="1"/>
    <w:qFormat/>
    <w:uiPriority w:val="0"/>
    <w:pPr>
      <w:widowControl/>
      <w:tabs>
        <w:tab w:val="left" w:pos="-720"/>
      </w:tabs>
      <w:spacing w:after="120" w:afterLines="0"/>
    </w:pPr>
    <w:rPr>
      <w:rFonts w:ascii="Times New Roman" w:hAnsi="Times New Roman" w:eastAsia="宋体" w:cs="Times New Roman"/>
      <w:spacing w:val="-3"/>
      <w:kern w:val="0"/>
      <w:sz w:val="24"/>
      <w:szCs w:val="20"/>
      <w:lang w:val="en-AU"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microsoft.com/office/2011/relationships/people" Target="people.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jpe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7270</Words>
  <Characters>41440</Characters>
  <Lines>345</Lines>
  <Paragraphs>97</Paragraphs>
  <TotalTime>240</TotalTime>
  <ScaleCrop>false</ScaleCrop>
  <LinksUpToDate>false</LinksUpToDate>
  <CharactersWithSpaces>48613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2021-06-25T00:25:00Z</dcterms:created>
  <dc:creator>Administrator</dc:creator>
  <cp:lastModifiedBy>微信用户</cp:lastModifiedBy>
  <cp:lastPrinted>2023-10-08T06:19:00Z</cp:lastPrinted>
  <dcterms:modified xsi:type="dcterms:W3CDTF">2023-10-10T01:55:19Z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9FEB7E7376964DB9824D4B1CC4C3309D_13</vt:lpwstr>
  </property>
  <property fmtid="{D5CDD505-2E9C-101B-9397-08002B2CF9AE}" pid="4" name="commondata">
    <vt:lpwstr>eyJoZGlkIjoiODA1MTczYjhjZjZhOTNmODJjNTkxMDFhZDg5ZmY2ODkifQ==</vt:lpwstr>
  </property>
</Properties>
</file>